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83" w:rsidRDefault="00EF4246" w:rsidP="00F178A3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Additional file 2: </w:t>
      </w:r>
      <w:r w:rsidR="00EE7F83">
        <w:rPr>
          <w:rFonts w:ascii="Times New Roman" w:eastAsia="Times New Roman" w:hAnsi="Times New Roman" w:cs="Times New Roman"/>
          <w:b/>
          <w:sz w:val="32"/>
          <w:szCs w:val="32"/>
        </w:rPr>
        <w:t xml:space="preserve">Supplementary </w:t>
      </w:r>
      <w:r w:rsidR="008C0ADC">
        <w:rPr>
          <w:rFonts w:ascii="Times New Roman" w:eastAsia="Times New Roman" w:hAnsi="Times New Roman" w:cs="Times New Roman"/>
          <w:b/>
          <w:sz w:val="32"/>
          <w:szCs w:val="32"/>
        </w:rPr>
        <w:t>Method</w:t>
      </w:r>
    </w:p>
    <w:p w:rsidR="00EE7F83" w:rsidRDefault="00EE7F83" w:rsidP="00EE7F83">
      <w:pPr>
        <w:pStyle w:val="Normal1"/>
        <w:spacing w:after="0" w:line="48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Pretest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Immunohistochemistry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E7F83" w:rsidRDefault="00EE7F83" w:rsidP="00EE7F83">
      <w:pPr>
        <w:pStyle w:val="Normal1"/>
        <w:spacing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pretest mouse, In addition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H&amp;E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following rabbit polyclonal antibodies were used: cleaved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caspase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cC3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CP229C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Medical, Concord, CA),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CD11b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NB110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-89474 (Novus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Biologicals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Littleton, CO),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CD31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ab28364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Cambridge, MA),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GFAP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Z0334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Carpinteria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-67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NCL-Ki67p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Inc., Vista, CA); Rabbit monoclonal anti-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clone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EPR3821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ab92552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(Cambridge, MA) and Rat monoclonal antibodies against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/80 (#14-4801-82, clone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bM8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and Myelin Basic Protein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ab7349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clone 12) were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eBioscience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(San Diego, CA)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(Cambridge, MA) respectively.</w:t>
      </w:r>
    </w:p>
    <w:p w:rsidR="00EE7F83" w:rsidRDefault="00EE7F83" w:rsidP="00EE7F83">
      <w:pPr>
        <w:pStyle w:val="Normal1"/>
        <w:spacing w:after="0" w:line="48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immunofluorescence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carried in Bond the fully automated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immunostainer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Slides were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dewaxed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Bond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Dewax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solution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AR9222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and hydrated in Bond Wash solution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AR9590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Antigen retrieval for all antibodies except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cC3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performed for 30 min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100ºC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Bond-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Epitope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Retrieval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solution1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pH-6.0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AR9961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and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solution2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pH9.0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cC3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F83" w:rsidRDefault="00EE7F83" w:rsidP="00EE7F83">
      <w:pPr>
        <w:pStyle w:val="Normal1"/>
        <w:spacing w:after="0" w:line="48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After pretreatment slides were incubated for 30 min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(1:1000),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CD11b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(1:1500),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GFAP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(1:2500)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-67 (1:300) and for 60 min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cC3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(1:50),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CD31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(1:200),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/80 (1:50)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(1:200).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Detection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CD31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cC3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-67,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CD11b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PCNA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performed using Bond™ Polymer Refine Detection system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DS9800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Detection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/80 was done using Bond Intense R Detection system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DS9263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supplemented with 1:500 Goat Anti-Rat (Biotin) secondary antibody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ab7096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Stained slides were dehydrated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coverslipped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F83" w:rsidRDefault="00EE7F83" w:rsidP="008C0ADC">
      <w:pPr>
        <w:pStyle w:val="Normal1"/>
        <w:spacing w:after="0" w:line="48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Immunofluorescent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(IF) detection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done using Bond Intense R Detection kit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DS9263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supplemented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biotinylated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Rabbit Anti-Rat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Immunoglobulins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E0468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TSA-Cy3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SAT704A001EA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Perkin Elmer) reagent; slides were counter-stained with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Hoechst 33258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Invitrogen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and mounted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antifade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reagent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P36934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Life Technologies). Positive and negative controls (no primary antibody) were included for each antibody. High-resolution acquisition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objective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of the IF slides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channels were performed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ScanScope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sectPr w:rsidR="00EE7F83" w:rsidSect="00B963F4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6B" w:rsidRDefault="00B35D6B" w:rsidP="00B963F4">
      <w:pPr>
        <w:spacing w:after="0" w:line="240" w:lineRule="auto"/>
      </w:pPr>
      <w:r>
        <w:separator/>
      </w:r>
    </w:p>
  </w:endnote>
  <w:endnote w:type="continuationSeparator" w:id="0">
    <w:p w:rsidR="00B35D6B" w:rsidRDefault="00B35D6B" w:rsidP="00B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DC" w:rsidRDefault="00BE58B9" w:rsidP="00EE7F83">
    <w:pPr>
      <w:pStyle w:val="Normal1"/>
      <w:tabs>
        <w:tab w:val="center" w:pos="4680"/>
        <w:tab w:val="right" w:pos="9360"/>
      </w:tabs>
      <w:spacing w:after="0" w:line="240" w:lineRule="auto"/>
      <w:jc w:val="right"/>
    </w:pPr>
    <w:r w:rsidRPr="00F64A81">
      <w:fldChar w:fldCharType="begin"/>
    </w:r>
    <w:r w:rsidR="008C0ADC" w:rsidRPr="00F64A81">
      <w:instrText>PAGE</w:instrText>
    </w:r>
    <w:r w:rsidRPr="00F64A81">
      <w:fldChar w:fldCharType="separate"/>
    </w:r>
    <w:r w:rsidR="006744A0">
      <w:rPr>
        <w:noProof/>
      </w:rPr>
      <w:t>1</w:t>
    </w:r>
    <w:r w:rsidRPr="00F64A8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6B" w:rsidRDefault="00B35D6B" w:rsidP="00B963F4">
      <w:pPr>
        <w:spacing w:after="0" w:line="240" w:lineRule="auto"/>
      </w:pPr>
      <w:r>
        <w:separator/>
      </w:r>
    </w:p>
  </w:footnote>
  <w:footnote w:type="continuationSeparator" w:id="0">
    <w:p w:rsidR="00B35D6B" w:rsidRDefault="00B35D6B" w:rsidP="00B9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Total_Editing_Time" w:val="4"/>
  </w:docVars>
  <w:rsids>
    <w:rsidRoot w:val="00EE7F83"/>
    <w:rsid w:val="006744A0"/>
    <w:rsid w:val="008C0ADC"/>
    <w:rsid w:val="00B35D6B"/>
    <w:rsid w:val="00B963F4"/>
    <w:rsid w:val="00BE58B9"/>
    <w:rsid w:val="00E57603"/>
    <w:rsid w:val="00EE7F83"/>
    <w:rsid w:val="00EF4246"/>
    <w:rsid w:val="00F178A3"/>
    <w:rsid w:val="00F9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8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E7F8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7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8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E7F8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7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1796</Characters>
  <Application>Microsoft Office Word</Application>
  <DocSecurity>0</DocSecurity>
  <Lines>29</Lines>
  <Paragraphs>3</Paragraphs>
  <ScaleCrop>false</ScaleCrop>
  <Company>UNC at Chapel Hill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 Bazyar</dc:creator>
  <cp:keywords/>
  <dc:description/>
  <cp:lastModifiedBy>LCAYETANO</cp:lastModifiedBy>
  <cp:revision>3</cp:revision>
  <dcterms:created xsi:type="dcterms:W3CDTF">2017-02-09T01:47:00Z</dcterms:created>
  <dcterms:modified xsi:type="dcterms:W3CDTF">2017-08-08T18:45:00Z</dcterms:modified>
</cp:coreProperties>
</file>