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F91B5" w14:textId="500DF767" w:rsidR="00F34DD2" w:rsidRPr="00D94365" w:rsidRDefault="00F34DD2" w:rsidP="00D94365">
      <w:pPr>
        <w:rPr>
          <w:rFonts w:ascii="Arial" w:hAnsi="Arial"/>
          <w:lang w:val="en-GB"/>
        </w:rPr>
      </w:pPr>
      <w:r w:rsidRPr="003054E9">
        <w:rPr>
          <w:rFonts w:ascii="Arial" w:eastAsia="Times New Roman" w:hAnsi="Arial" w:cs="Arial"/>
          <w:b/>
          <w:bCs/>
          <w:lang w:val="en-GB"/>
        </w:rPr>
        <w:t>Efficacy and safety of direct switch to indacaterol/glycopyrronium in patients with moderate COPD: The CRYSTAL open-label randomised trial</w:t>
      </w:r>
    </w:p>
    <w:p w14:paraId="46379397" w14:textId="77777777" w:rsidR="00293A00" w:rsidRPr="00F20375" w:rsidRDefault="00293A00" w:rsidP="00293A00">
      <w:pPr>
        <w:rPr>
          <w:rFonts w:ascii="Arial" w:hAnsi="Arial" w:cs="Arial"/>
          <w:lang w:val="en-GB"/>
        </w:rPr>
      </w:pPr>
    </w:p>
    <w:p w14:paraId="11A5B3C9" w14:textId="77777777" w:rsidR="00F34DD2" w:rsidRPr="001A6367" w:rsidRDefault="00F34DD2" w:rsidP="001E3745">
      <w:pPr>
        <w:pStyle w:val="ListParagraph"/>
        <w:numPr>
          <w:ilvl w:val="1"/>
          <w:numId w:val="6"/>
        </w:numPr>
        <w:spacing w:after="0" w:line="480" w:lineRule="auto"/>
        <w:ind w:left="360" w:hanging="360"/>
        <w:rPr>
          <w:rFonts w:ascii="Arial" w:hAnsi="Arial" w:cs="Arial"/>
          <w:b/>
          <w:lang w:val="en-GB"/>
        </w:rPr>
      </w:pPr>
      <w:r w:rsidRPr="001A6367">
        <w:rPr>
          <w:rFonts w:ascii="Arial" w:hAnsi="Arial" w:cs="Arial"/>
          <w:b/>
          <w:lang w:val="en-GB"/>
        </w:rPr>
        <w:t>Overall design of the CRYSTAL study</w:t>
      </w:r>
      <w:r w:rsidRPr="001A6367" w:rsidDel="004D63F5">
        <w:rPr>
          <w:rFonts w:ascii="Arial" w:hAnsi="Arial" w:cs="Arial"/>
          <w:b/>
          <w:lang w:val="en-GB"/>
        </w:rPr>
        <w:t xml:space="preserve"> </w:t>
      </w:r>
    </w:p>
    <w:p w14:paraId="1CEED035" w14:textId="77777777" w:rsidR="00F34DD2" w:rsidRDefault="00F34DD2" w:rsidP="00E35C7C">
      <w:pPr>
        <w:spacing w:after="0" w:line="480" w:lineRule="auto"/>
        <w:rPr>
          <w:rFonts w:ascii="Arial" w:hAnsi="Arial" w:cs="Arial"/>
          <w:b/>
          <w:lang w:val="en-GB"/>
        </w:rPr>
      </w:pPr>
      <w:r>
        <w:rPr>
          <w:rFonts w:ascii="Arial" w:hAnsi="Arial" w:cs="Arial"/>
          <w:b/>
          <w:lang w:val="en-GB"/>
        </w:rPr>
        <w:t>Figure S1. Study design</w:t>
      </w:r>
    </w:p>
    <w:p w14:paraId="10B63ED9" w14:textId="28BC410F" w:rsidR="00F34DD2" w:rsidRDefault="00326257" w:rsidP="00326257">
      <w:pPr>
        <w:spacing w:after="0" w:line="480" w:lineRule="auto"/>
        <w:jc w:val="center"/>
        <w:rPr>
          <w:rFonts w:ascii="Arial" w:hAnsi="Arial" w:cs="Arial"/>
          <w:b/>
          <w:lang w:val="en-GB"/>
        </w:rPr>
      </w:pPr>
      <w:r>
        <w:rPr>
          <w:rFonts w:ascii="Arial" w:hAnsi="Arial" w:cs="Arial"/>
          <w:b/>
          <w:noProof/>
        </w:rPr>
        <w:drawing>
          <wp:inline distT="0" distB="0" distL="0" distR="0" wp14:anchorId="796D97BE" wp14:editId="74A0BFBD">
            <wp:extent cx="5771757" cy="40802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6273" cy="4104696"/>
                    </a:xfrm>
                    <a:prstGeom prst="rect">
                      <a:avLst/>
                    </a:prstGeom>
                    <a:noFill/>
                  </pic:spPr>
                </pic:pic>
              </a:graphicData>
            </a:graphic>
          </wp:inline>
        </w:drawing>
      </w:r>
    </w:p>
    <w:p w14:paraId="3A95CA26" w14:textId="77777777" w:rsidR="00F34DD2" w:rsidRPr="00890DB6" w:rsidRDefault="00F34DD2" w:rsidP="001E3745">
      <w:pPr>
        <w:spacing w:after="0" w:line="240" w:lineRule="auto"/>
        <w:ind w:left="360"/>
        <w:rPr>
          <w:rFonts w:ascii="Arial" w:eastAsia="Times New Roman" w:hAnsi="Arial" w:cs="Arial"/>
          <w:color w:val="000000"/>
          <w:kern w:val="24"/>
          <w:sz w:val="20"/>
          <w:szCs w:val="20"/>
          <w:lang w:val="en-GB"/>
        </w:rPr>
      </w:pPr>
      <w:r w:rsidRPr="00890DB6">
        <w:rPr>
          <w:rFonts w:ascii="Arial" w:eastAsia="Times New Roman" w:hAnsi="Arial" w:cs="Arial"/>
          <w:color w:val="000000"/>
          <w:kern w:val="24"/>
          <w:sz w:val="20"/>
          <w:szCs w:val="20"/>
          <w:lang w:val="en-GB"/>
        </w:rPr>
        <w:t xml:space="preserve">*Free or fixed-dose combination. </w:t>
      </w:r>
    </w:p>
    <w:p w14:paraId="1F78D9F1" w14:textId="77777777" w:rsidR="00F34DD2" w:rsidRPr="00890DB6" w:rsidRDefault="00F34DD2" w:rsidP="001E3745">
      <w:pPr>
        <w:spacing w:after="0" w:line="240" w:lineRule="auto"/>
        <w:ind w:left="360"/>
        <w:rPr>
          <w:rFonts w:ascii="Arial" w:eastAsia="Times New Roman" w:hAnsi="Arial" w:cs="Arial"/>
          <w:color w:val="000000"/>
          <w:kern w:val="24"/>
          <w:sz w:val="20"/>
          <w:szCs w:val="20"/>
          <w:lang w:val="en-GB"/>
        </w:rPr>
      </w:pPr>
      <w:r w:rsidRPr="00890DB6">
        <w:rPr>
          <w:rFonts w:ascii="Arial" w:eastAsia="Times New Roman" w:hAnsi="Arial" w:cs="Arial"/>
          <w:color w:val="000000"/>
          <w:kern w:val="24"/>
          <w:position w:val="7"/>
          <w:sz w:val="20"/>
          <w:szCs w:val="20"/>
          <w:vertAlign w:val="superscript"/>
          <w:lang w:val="en-GB"/>
        </w:rPr>
        <w:t>†</w:t>
      </w:r>
      <w:r w:rsidRPr="00890DB6">
        <w:rPr>
          <w:rFonts w:ascii="Arial" w:eastAsia="Times New Roman" w:hAnsi="Arial" w:cs="Arial"/>
          <w:color w:val="000000"/>
          <w:kern w:val="24"/>
          <w:sz w:val="20"/>
          <w:szCs w:val="20"/>
          <w:lang w:val="en-GB"/>
        </w:rPr>
        <w:t xml:space="preserve">Randomisation ratio (switched: baseline treatments) = 3:1 by stratifying background medications. </w:t>
      </w:r>
      <w:r w:rsidRPr="00890DB6">
        <w:rPr>
          <w:rFonts w:ascii="Arial" w:eastAsia="Times New Roman" w:hAnsi="Arial" w:cs="Arial"/>
          <w:color w:val="000000"/>
          <w:kern w:val="24"/>
          <w:position w:val="7"/>
          <w:sz w:val="20"/>
          <w:szCs w:val="20"/>
          <w:vertAlign w:val="superscript"/>
          <w:lang w:val="en-GB"/>
        </w:rPr>
        <w:t>#</w:t>
      </w:r>
      <w:r w:rsidRPr="00890DB6">
        <w:rPr>
          <w:rFonts w:ascii="Arial" w:eastAsia="Times New Roman" w:hAnsi="Arial" w:cs="Arial"/>
          <w:color w:val="000000"/>
          <w:kern w:val="24"/>
          <w:sz w:val="20"/>
          <w:szCs w:val="20"/>
          <w:lang w:val="en-GB"/>
        </w:rPr>
        <w:t xml:space="preserve">Due to the low recruitment in GLY groups, inclusion of patients in these groups </w:t>
      </w:r>
      <w:r>
        <w:rPr>
          <w:rFonts w:ascii="Arial" w:eastAsia="Times New Roman" w:hAnsi="Arial" w:cs="Arial"/>
          <w:color w:val="000000"/>
          <w:kern w:val="24"/>
          <w:sz w:val="20"/>
          <w:szCs w:val="20"/>
          <w:lang w:val="en-GB"/>
        </w:rPr>
        <w:t>was</w:t>
      </w:r>
      <w:r w:rsidRPr="00890DB6">
        <w:rPr>
          <w:rFonts w:ascii="Arial" w:eastAsia="Times New Roman" w:hAnsi="Arial" w:cs="Arial"/>
          <w:color w:val="000000"/>
          <w:kern w:val="24"/>
          <w:sz w:val="20"/>
          <w:szCs w:val="20"/>
          <w:lang w:val="en-GB"/>
        </w:rPr>
        <w:t xml:space="preserve"> stopped at the time that the randomization in IND/GLY groups was completed. All comparisons were for superiority of the switched treatment, with the exception of group 2, which was a non-inferiority analysis. </w:t>
      </w:r>
    </w:p>
    <w:p w14:paraId="7A4DA69F" w14:textId="77777777" w:rsidR="00F34DD2" w:rsidRPr="00890DB6" w:rsidRDefault="00F34DD2" w:rsidP="001E3745">
      <w:pPr>
        <w:spacing w:after="0" w:line="240" w:lineRule="auto"/>
        <w:ind w:left="360"/>
        <w:rPr>
          <w:rFonts w:ascii="Arial" w:eastAsia="Times New Roman" w:hAnsi="Arial" w:cs="Arial"/>
          <w:color w:val="000000"/>
          <w:kern w:val="24"/>
          <w:sz w:val="20"/>
          <w:szCs w:val="20"/>
          <w:lang w:val="en-GB"/>
        </w:rPr>
      </w:pPr>
      <w:r w:rsidRPr="00890DB6">
        <w:rPr>
          <w:rFonts w:ascii="Arial" w:eastAsia="Times New Roman" w:hAnsi="Arial" w:cs="Arial"/>
          <w:color w:val="000000"/>
          <w:kern w:val="24"/>
          <w:sz w:val="20"/>
          <w:szCs w:val="20"/>
          <w:lang w:val="en-GB"/>
        </w:rPr>
        <w:t xml:space="preserve">COPD, </w:t>
      </w:r>
      <w:r w:rsidRPr="00890DB6">
        <w:rPr>
          <w:rFonts w:ascii="Arial" w:eastAsia="Times New Roman" w:hAnsi="Arial" w:cs="Arial"/>
          <w:sz w:val="20"/>
          <w:szCs w:val="20"/>
          <w:lang w:val="en-GB"/>
        </w:rPr>
        <w:t>c</w:t>
      </w:r>
      <w:r w:rsidRPr="00890DB6">
        <w:rPr>
          <w:rFonts w:ascii="Arial" w:eastAsia="Times New Roman" w:hAnsi="Arial" w:cs="Arial"/>
          <w:bCs/>
          <w:sz w:val="20"/>
          <w:szCs w:val="20"/>
          <w:lang w:val="en-GB"/>
        </w:rPr>
        <w:t>hronic obstructive pulmonary disease;</w:t>
      </w:r>
      <w:r w:rsidRPr="00890DB6">
        <w:rPr>
          <w:rFonts w:ascii="Arial" w:eastAsia="Times New Roman" w:hAnsi="Arial" w:cs="Arial"/>
          <w:sz w:val="20"/>
          <w:szCs w:val="20"/>
          <w:lang w:val="en-GB"/>
        </w:rPr>
        <w:t xml:space="preserve"> </w:t>
      </w:r>
      <w:r w:rsidRPr="00890DB6">
        <w:rPr>
          <w:rFonts w:ascii="Arial" w:eastAsia="Times New Roman" w:hAnsi="Arial" w:cs="Arial"/>
          <w:color w:val="000000"/>
          <w:kern w:val="24"/>
          <w:sz w:val="20"/>
          <w:szCs w:val="20"/>
          <w:lang w:val="en-GB"/>
        </w:rPr>
        <w:t>GLY, glycopyrronium; ICS, inhaled corticosteroid; IND/GLY, indacaterol/glycopyrronium; LABA, long-acting β</w:t>
      </w:r>
      <w:r w:rsidRPr="00890DB6">
        <w:rPr>
          <w:rFonts w:ascii="Arial" w:eastAsia="Times New Roman" w:hAnsi="Arial" w:cs="Arial"/>
          <w:color w:val="000000"/>
          <w:kern w:val="24"/>
          <w:position w:val="-6"/>
          <w:sz w:val="20"/>
          <w:szCs w:val="20"/>
          <w:vertAlign w:val="subscript"/>
          <w:lang w:val="en-GB"/>
        </w:rPr>
        <w:t>2</w:t>
      </w:r>
      <w:r w:rsidRPr="00890DB6">
        <w:rPr>
          <w:rFonts w:ascii="Arial" w:eastAsia="Times New Roman" w:hAnsi="Arial" w:cs="Arial"/>
          <w:color w:val="000000"/>
          <w:kern w:val="24"/>
          <w:sz w:val="20"/>
          <w:szCs w:val="20"/>
          <w:lang w:val="en-GB"/>
        </w:rPr>
        <w:t xml:space="preserve">-agonist; LAMA, long-acting muscarinic antagonist; mMRC, modified Medical </w:t>
      </w:r>
      <w:r>
        <w:rPr>
          <w:rFonts w:ascii="Arial" w:eastAsia="Times New Roman" w:hAnsi="Arial" w:cs="Arial"/>
          <w:color w:val="000000"/>
          <w:kern w:val="24"/>
          <w:sz w:val="20"/>
          <w:szCs w:val="20"/>
          <w:lang w:val="en-GB"/>
        </w:rPr>
        <w:t>R</w:t>
      </w:r>
      <w:r w:rsidRPr="00890DB6">
        <w:rPr>
          <w:rFonts w:ascii="Arial" w:eastAsia="Times New Roman" w:hAnsi="Arial" w:cs="Arial"/>
          <w:color w:val="000000"/>
          <w:kern w:val="24"/>
          <w:sz w:val="20"/>
          <w:szCs w:val="20"/>
          <w:lang w:val="en-GB"/>
        </w:rPr>
        <w:t xml:space="preserve">esearch Council; </w:t>
      </w:r>
      <w:r>
        <w:rPr>
          <w:rFonts w:ascii="Arial" w:eastAsia="Times New Roman" w:hAnsi="Arial" w:cs="Arial"/>
          <w:color w:val="000000"/>
          <w:kern w:val="24"/>
          <w:sz w:val="20"/>
          <w:szCs w:val="20"/>
          <w:lang w:val="en-GB"/>
        </w:rPr>
        <w:t>q</w:t>
      </w:r>
      <w:r w:rsidRPr="00890DB6">
        <w:rPr>
          <w:rFonts w:ascii="Arial" w:eastAsia="Times New Roman" w:hAnsi="Arial" w:cs="Arial"/>
          <w:color w:val="000000"/>
          <w:kern w:val="24"/>
          <w:sz w:val="20"/>
          <w:szCs w:val="20"/>
          <w:lang w:val="en-GB"/>
        </w:rPr>
        <w:t>.d., once daily; SABA, short-acting β</w:t>
      </w:r>
      <w:r w:rsidRPr="00890DB6">
        <w:rPr>
          <w:rFonts w:ascii="Arial" w:eastAsia="Times New Roman" w:hAnsi="Arial" w:cs="Arial"/>
          <w:color w:val="000000"/>
          <w:kern w:val="24"/>
          <w:position w:val="-6"/>
          <w:sz w:val="20"/>
          <w:szCs w:val="20"/>
          <w:vertAlign w:val="subscript"/>
          <w:lang w:val="en-GB"/>
        </w:rPr>
        <w:t>2</w:t>
      </w:r>
      <w:r w:rsidRPr="00890DB6">
        <w:rPr>
          <w:rFonts w:ascii="Arial" w:eastAsia="Times New Roman" w:hAnsi="Arial" w:cs="Arial"/>
          <w:color w:val="000000"/>
          <w:kern w:val="24"/>
          <w:sz w:val="20"/>
          <w:szCs w:val="20"/>
          <w:lang w:val="en-GB"/>
        </w:rPr>
        <w:t>-agonist; SAMA, short-acting muscarinic antagonist</w:t>
      </w:r>
    </w:p>
    <w:p w14:paraId="0FFE2B2F" w14:textId="77777777" w:rsidR="00F34DD2" w:rsidRPr="00F20375" w:rsidRDefault="00F34DD2" w:rsidP="00E35C7C">
      <w:pPr>
        <w:spacing w:after="0" w:line="480" w:lineRule="auto"/>
        <w:rPr>
          <w:rFonts w:ascii="Arial" w:hAnsi="Arial" w:cs="Arial"/>
          <w:b/>
          <w:lang w:val="en-GB"/>
        </w:rPr>
      </w:pPr>
    </w:p>
    <w:p w14:paraId="24CB62A6" w14:textId="77777777" w:rsidR="00F34DD2" w:rsidRDefault="00F34DD2">
      <w:pPr>
        <w:spacing w:after="0" w:line="240" w:lineRule="auto"/>
        <w:rPr>
          <w:rFonts w:ascii="Arial" w:hAnsi="Arial" w:cs="Arial"/>
          <w:b/>
          <w:lang w:val="en-GB"/>
        </w:rPr>
      </w:pPr>
      <w:r>
        <w:rPr>
          <w:rFonts w:ascii="Arial" w:hAnsi="Arial" w:cs="Arial"/>
          <w:b/>
          <w:lang w:val="en-GB"/>
        </w:rPr>
        <w:br w:type="page"/>
      </w:r>
    </w:p>
    <w:p w14:paraId="2994331A" w14:textId="2CA12A92" w:rsidR="00F34DD2" w:rsidRPr="00A22412" w:rsidRDefault="00F34DD2" w:rsidP="00D94365">
      <w:pPr>
        <w:spacing w:after="0" w:line="480" w:lineRule="auto"/>
        <w:ind w:left="360"/>
        <w:rPr>
          <w:rFonts w:ascii="Arial" w:hAnsi="Arial" w:cs="Arial"/>
          <w:b/>
          <w:lang w:val="en-GB"/>
        </w:rPr>
      </w:pPr>
      <w:r>
        <w:rPr>
          <w:rFonts w:ascii="Arial" w:hAnsi="Arial" w:cs="Arial"/>
          <w:b/>
          <w:lang w:val="en-GB"/>
        </w:rPr>
        <w:lastRenderedPageBreak/>
        <w:t xml:space="preserve">S1.1. </w:t>
      </w:r>
      <w:r w:rsidRPr="00A22412">
        <w:rPr>
          <w:rFonts w:ascii="Arial" w:hAnsi="Arial" w:cs="Arial"/>
          <w:b/>
          <w:lang w:val="en-GB"/>
        </w:rPr>
        <w:t>Inclusion criteria</w:t>
      </w:r>
    </w:p>
    <w:p w14:paraId="35793A26" w14:textId="77777777" w:rsidR="00F34DD2" w:rsidRPr="00F20375" w:rsidRDefault="00F34DD2" w:rsidP="001E3745">
      <w:pPr>
        <w:numPr>
          <w:ilvl w:val="0"/>
          <w:numId w:val="2"/>
        </w:numPr>
        <w:spacing w:after="0" w:line="480" w:lineRule="auto"/>
        <w:rPr>
          <w:rFonts w:ascii="Arial" w:hAnsi="Arial" w:cs="Arial"/>
          <w:lang w:val="en-GB"/>
        </w:rPr>
      </w:pPr>
      <w:r w:rsidRPr="00F20375">
        <w:rPr>
          <w:rFonts w:ascii="Arial" w:hAnsi="Arial" w:cs="Arial"/>
          <w:lang w:val="en-GB"/>
        </w:rPr>
        <w:t xml:space="preserve">Patients who have signed an </w:t>
      </w:r>
      <w:r>
        <w:rPr>
          <w:rFonts w:ascii="Arial" w:hAnsi="Arial" w:cs="Arial"/>
          <w:lang w:val="en-GB"/>
        </w:rPr>
        <w:t>i</w:t>
      </w:r>
      <w:r w:rsidRPr="00F20375">
        <w:rPr>
          <w:rFonts w:ascii="Arial" w:hAnsi="Arial" w:cs="Arial"/>
          <w:lang w:val="en-GB"/>
        </w:rPr>
        <w:t xml:space="preserve">nformed </w:t>
      </w:r>
      <w:r>
        <w:rPr>
          <w:rFonts w:ascii="Arial" w:hAnsi="Arial" w:cs="Arial"/>
          <w:lang w:val="en-GB"/>
        </w:rPr>
        <w:t>c</w:t>
      </w:r>
      <w:r w:rsidRPr="00F20375">
        <w:rPr>
          <w:rFonts w:ascii="Arial" w:hAnsi="Arial" w:cs="Arial"/>
          <w:lang w:val="en-GB"/>
        </w:rPr>
        <w:t xml:space="preserve">onsent </w:t>
      </w:r>
      <w:r>
        <w:rPr>
          <w:rFonts w:ascii="Arial" w:hAnsi="Arial" w:cs="Arial"/>
          <w:lang w:val="en-GB"/>
        </w:rPr>
        <w:t>f</w:t>
      </w:r>
      <w:r w:rsidRPr="00F20375">
        <w:rPr>
          <w:rFonts w:ascii="Arial" w:hAnsi="Arial" w:cs="Arial"/>
          <w:lang w:val="en-GB"/>
        </w:rPr>
        <w:t>orm before any assessment is performed</w:t>
      </w:r>
    </w:p>
    <w:p w14:paraId="06B88525" w14:textId="77777777" w:rsidR="00F34DD2" w:rsidRPr="00F20375" w:rsidRDefault="00F34DD2" w:rsidP="001E3745">
      <w:pPr>
        <w:numPr>
          <w:ilvl w:val="0"/>
          <w:numId w:val="2"/>
        </w:numPr>
        <w:spacing w:after="0" w:line="480" w:lineRule="auto"/>
        <w:rPr>
          <w:rFonts w:ascii="Arial" w:hAnsi="Arial" w:cs="Arial"/>
          <w:lang w:val="en-GB"/>
        </w:rPr>
      </w:pPr>
      <w:r w:rsidRPr="00F20375">
        <w:rPr>
          <w:rFonts w:ascii="Arial" w:hAnsi="Arial" w:cs="Arial"/>
          <w:lang w:val="en-GB"/>
        </w:rPr>
        <w:t>Men and women aged ≥40 years</w:t>
      </w:r>
    </w:p>
    <w:p w14:paraId="6FD89EE6" w14:textId="77777777" w:rsidR="00F34DD2" w:rsidRPr="00F20375" w:rsidRDefault="00F34DD2" w:rsidP="001E3745">
      <w:pPr>
        <w:numPr>
          <w:ilvl w:val="0"/>
          <w:numId w:val="2"/>
        </w:numPr>
        <w:spacing w:after="0" w:line="480" w:lineRule="auto"/>
        <w:rPr>
          <w:rFonts w:ascii="Arial" w:hAnsi="Arial" w:cs="Arial"/>
          <w:lang w:val="en-GB"/>
        </w:rPr>
      </w:pPr>
      <w:r w:rsidRPr="00F20375">
        <w:rPr>
          <w:rFonts w:ascii="Arial" w:hAnsi="Arial" w:cs="Arial"/>
          <w:lang w:val="en-GB"/>
        </w:rPr>
        <w:t xml:space="preserve">Patients with moderate COPD according to the </w:t>
      </w:r>
      <w:bookmarkStart w:id="0" w:name="_Hlk485732687"/>
      <w:r w:rsidRPr="003077F1">
        <w:rPr>
          <w:rFonts w:ascii="Arial" w:hAnsi="Arial" w:cs="Arial"/>
          <w:lang w:val="en-GB"/>
        </w:rPr>
        <w:t xml:space="preserve">Global Initiative for Chronic Obstructive Lung Disease </w:t>
      </w:r>
      <w:r>
        <w:rPr>
          <w:rFonts w:ascii="Arial" w:hAnsi="Arial" w:cs="Arial"/>
          <w:lang w:val="en-GB"/>
        </w:rPr>
        <w:t>(</w:t>
      </w:r>
      <w:r w:rsidRPr="00F20375">
        <w:rPr>
          <w:rFonts w:ascii="Arial" w:hAnsi="Arial" w:cs="Arial"/>
          <w:lang w:val="en-GB"/>
        </w:rPr>
        <w:t>GOLD</w:t>
      </w:r>
      <w:bookmarkEnd w:id="0"/>
      <w:r>
        <w:rPr>
          <w:rFonts w:ascii="Arial" w:hAnsi="Arial" w:cs="Arial"/>
          <w:lang w:val="en-GB"/>
        </w:rPr>
        <w:t>)</w:t>
      </w:r>
      <w:r w:rsidRPr="00F20375">
        <w:rPr>
          <w:rFonts w:ascii="Arial" w:hAnsi="Arial" w:cs="Arial"/>
          <w:lang w:val="en-GB"/>
        </w:rPr>
        <w:t xml:space="preserve"> criteria, 2013</w:t>
      </w:r>
    </w:p>
    <w:p w14:paraId="6454E22D" w14:textId="77777777" w:rsidR="00F34DD2" w:rsidRPr="00F20375" w:rsidRDefault="00F34DD2" w:rsidP="001E3745">
      <w:pPr>
        <w:numPr>
          <w:ilvl w:val="0"/>
          <w:numId w:val="2"/>
        </w:numPr>
        <w:spacing w:after="0" w:line="480" w:lineRule="auto"/>
        <w:rPr>
          <w:rFonts w:ascii="Arial" w:hAnsi="Arial" w:cs="Arial"/>
          <w:lang w:val="en-GB"/>
        </w:rPr>
      </w:pPr>
      <w:r w:rsidRPr="00F20375">
        <w:rPr>
          <w:rFonts w:ascii="Arial" w:hAnsi="Arial" w:cs="Arial"/>
          <w:lang w:val="en-GB"/>
        </w:rPr>
        <w:t>Current or ex-smokers who have a smoking history of at least 10 pack</w:t>
      </w:r>
      <w:r>
        <w:rPr>
          <w:rFonts w:ascii="Arial" w:hAnsi="Arial" w:cs="Arial"/>
          <w:lang w:val="en-GB"/>
        </w:rPr>
        <w:t>-</w:t>
      </w:r>
      <w:r w:rsidRPr="00F20375">
        <w:rPr>
          <w:rFonts w:ascii="Arial" w:hAnsi="Arial" w:cs="Arial"/>
          <w:lang w:val="en-GB"/>
        </w:rPr>
        <w:t xml:space="preserve">years </w:t>
      </w:r>
    </w:p>
    <w:p w14:paraId="2775C5AB" w14:textId="1909BAB9" w:rsidR="00F34DD2" w:rsidRPr="00F20375" w:rsidRDefault="00F34DD2" w:rsidP="001E3745">
      <w:pPr>
        <w:numPr>
          <w:ilvl w:val="0"/>
          <w:numId w:val="2"/>
        </w:numPr>
        <w:spacing w:after="0" w:line="480" w:lineRule="auto"/>
        <w:rPr>
          <w:rFonts w:ascii="Arial" w:hAnsi="Arial" w:cs="Arial"/>
          <w:lang w:val="en-GB"/>
        </w:rPr>
      </w:pPr>
      <w:r w:rsidRPr="00F20375">
        <w:rPr>
          <w:rFonts w:ascii="Arial" w:hAnsi="Arial" w:cs="Arial"/>
          <w:lang w:val="en-GB"/>
        </w:rPr>
        <w:t xml:space="preserve">Patients with airflow limitation indicated by a post-bronchodilator </w:t>
      </w:r>
      <w:bookmarkStart w:id="1" w:name="_Hlk485732696"/>
      <w:r w:rsidRPr="00F20375">
        <w:rPr>
          <w:rFonts w:ascii="Arial" w:hAnsi="Arial" w:cs="Arial"/>
          <w:lang w:val="en-GB"/>
        </w:rPr>
        <w:t>forced expiratory volume in 1 second (FEV</w:t>
      </w:r>
      <w:r w:rsidRPr="00F20375">
        <w:rPr>
          <w:rFonts w:ascii="Arial" w:hAnsi="Arial" w:cs="Arial"/>
          <w:vertAlign w:val="subscript"/>
          <w:lang w:val="en-GB"/>
        </w:rPr>
        <w:t>1</w:t>
      </w:r>
      <w:bookmarkEnd w:id="1"/>
      <w:r w:rsidRPr="00F20375">
        <w:rPr>
          <w:rFonts w:ascii="Arial" w:hAnsi="Arial" w:cs="Arial"/>
          <w:lang w:val="en-GB"/>
        </w:rPr>
        <w:t>) ≥50% and &lt;80% of the predicted normal value and a post-bronchodilator FEV</w:t>
      </w:r>
      <w:r w:rsidRPr="00F20375">
        <w:rPr>
          <w:rFonts w:ascii="Arial" w:hAnsi="Arial" w:cs="Arial"/>
          <w:vertAlign w:val="subscript"/>
          <w:lang w:val="en-GB"/>
        </w:rPr>
        <w:t>1</w:t>
      </w:r>
      <w:r w:rsidRPr="00F20375">
        <w:rPr>
          <w:rFonts w:ascii="Arial" w:hAnsi="Arial" w:cs="Arial"/>
          <w:lang w:val="en-GB"/>
        </w:rPr>
        <w:t>/</w:t>
      </w:r>
      <w:bookmarkStart w:id="2" w:name="_Hlk485732721"/>
      <w:r w:rsidRPr="00F20375">
        <w:rPr>
          <w:rFonts w:ascii="Arial" w:hAnsi="Arial" w:cs="Arial"/>
          <w:lang w:val="en-GB"/>
        </w:rPr>
        <w:t>forced vital capacity (FVC</w:t>
      </w:r>
      <w:bookmarkEnd w:id="2"/>
      <w:r w:rsidRPr="00F20375">
        <w:rPr>
          <w:rFonts w:ascii="Arial" w:hAnsi="Arial" w:cs="Arial"/>
          <w:lang w:val="en-GB"/>
        </w:rPr>
        <w:t xml:space="preserve">) &lt;0.7 at </w:t>
      </w:r>
      <w:r>
        <w:rPr>
          <w:rFonts w:ascii="Arial" w:hAnsi="Arial" w:cs="Arial"/>
          <w:lang w:val="en-GB"/>
        </w:rPr>
        <w:t>V</w:t>
      </w:r>
      <w:r w:rsidRPr="00F20375">
        <w:rPr>
          <w:rFonts w:ascii="Arial" w:hAnsi="Arial" w:cs="Arial"/>
          <w:lang w:val="en-GB"/>
        </w:rPr>
        <w:t>isit 2</w:t>
      </w:r>
      <w:r>
        <w:rPr>
          <w:rFonts w:ascii="Arial" w:hAnsi="Arial" w:cs="Arial"/>
          <w:lang w:val="en-GB"/>
        </w:rPr>
        <w:t xml:space="preserve"> (between Day -7 to Day 1)</w:t>
      </w:r>
    </w:p>
    <w:p w14:paraId="6C2D0B7B" w14:textId="728849DF" w:rsidR="00F34DD2" w:rsidRPr="00F20375" w:rsidRDefault="00F34DD2" w:rsidP="001E3745">
      <w:pPr>
        <w:numPr>
          <w:ilvl w:val="0"/>
          <w:numId w:val="2"/>
        </w:numPr>
        <w:spacing w:after="0" w:line="480" w:lineRule="auto"/>
        <w:rPr>
          <w:rFonts w:ascii="Arial" w:hAnsi="Arial" w:cs="Arial"/>
          <w:lang w:val="en-GB"/>
        </w:rPr>
      </w:pPr>
      <w:r w:rsidRPr="00F20375">
        <w:rPr>
          <w:rFonts w:ascii="Arial" w:hAnsi="Arial" w:cs="Arial"/>
          <w:lang w:val="en-GB"/>
        </w:rPr>
        <w:t xml:space="preserve">Patients who have been on a stable dose of one of the following COPD baseline treatments for at least 3 months at </w:t>
      </w:r>
      <w:r>
        <w:rPr>
          <w:rFonts w:ascii="Arial" w:hAnsi="Arial" w:cs="Arial"/>
          <w:lang w:val="en-GB"/>
        </w:rPr>
        <w:t>V</w:t>
      </w:r>
      <w:r w:rsidRPr="00F20375">
        <w:rPr>
          <w:rFonts w:ascii="Arial" w:hAnsi="Arial" w:cs="Arial"/>
          <w:lang w:val="en-GB"/>
        </w:rPr>
        <w:t>isit 1</w:t>
      </w:r>
      <w:r>
        <w:rPr>
          <w:rFonts w:ascii="Arial" w:hAnsi="Arial" w:cs="Arial"/>
          <w:lang w:val="en-GB"/>
        </w:rPr>
        <w:t xml:space="preserve"> (Day -30)</w:t>
      </w:r>
      <w:r w:rsidRPr="00F20375">
        <w:rPr>
          <w:rFonts w:ascii="Arial" w:hAnsi="Arial" w:cs="Arial"/>
          <w:lang w:val="en-GB"/>
        </w:rPr>
        <w:t>:</w:t>
      </w:r>
    </w:p>
    <w:p w14:paraId="171E7023" w14:textId="77777777" w:rsidR="00F34DD2" w:rsidRPr="00F20375" w:rsidRDefault="00F34DD2" w:rsidP="001E3745">
      <w:pPr>
        <w:numPr>
          <w:ilvl w:val="1"/>
          <w:numId w:val="2"/>
        </w:numPr>
        <w:spacing w:after="0" w:line="480" w:lineRule="auto"/>
        <w:rPr>
          <w:rFonts w:ascii="Arial" w:hAnsi="Arial" w:cs="Arial"/>
          <w:lang w:val="en-GB"/>
        </w:rPr>
      </w:pPr>
      <w:r w:rsidRPr="00F20375">
        <w:rPr>
          <w:rFonts w:ascii="Arial" w:hAnsi="Arial" w:cs="Arial"/>
          <w:lang w:val="en-GB"/>
        </w:rPr>
        <w:t>Any short-acting β</w:t>
      </w:r>
      <w:r w:rsidRPr="00F20375">
        <w:rPr>
          <w:rFonts w:ascii="Arial" w:hAnsi="Arial" w:cs="Arial"/>
          <w:vertAlign w:val="subscript"/>
          <w:lang w:val="en-GB"/>
        </w:rPr>
        <w:t>2</w:t>
      </w:r>
      <w:r w:rsidRPr="00F20375">
        <w:rPr>
          <w:rFonts w:ascii="Arial" w:hAnsi="Arial" w:cs="Arial"/>
          <w:lang w:val="en-GB"/>
        </w:rPr>
        <w:t>-agonist (SABA) monotherapy (such as, but not limited to, salbutamol),</w:t>
      </w:r>
    </w:p>
    <w:p w14:paraId="05C0AB56" w14:textId="77777777" w:rsidR="00F34DD2" w:rsidRPr="00F20375" w:rsidRDefault="00F34DD2" w:rsidP="001E3745">
      <w:pPr>
        <w:numPr>
          <w:ilvl w:val="1"/>
          <w:numId w:val="2"/>
        </w:numPr>
        <w:spacing w:after="0" w:line="480" w:lineRule="auto"/>
        <w:rPr>
          <w:rFonts w:ascii="Arial" w:hAnsi="Arial" w:cs="Arial"/>
          <w:lang w:val="en-GB"/>
        </w:rPr>
      </w:pPr>
      <w:r w:rsidRPr="00F20375">
        <w:rPr>
          <w:rFonts w:ascii="Arial" w:hAnsi="Arial" w:cs="Arial"/>
          <w:lang w:val="en-GB"/>
        </w:rPr>
        <w:t>Any short-acting muscarinic antagonist (SAMA) monotherapy (such as, but not limited to, ipratropium),</w:t>
      </w:r>
    </w:p>
    <w:p w14:paraId="4B79B3B2" w14:textId="77777777" w:rsidR="00F34DD2" w:rsidRPr="00F20375" w:rsidRDefault="00F34DD2" w:rsidP="001E3745">
      <w:pPr>
        <w:numPr>
          <w:ilvl w:val="1"/>
          <w:numId w:val="2"/>
        </w:numPr>
        <w:spacing w:after="0" w:line="480" w:lineRule="auto"/>
        <w:rPr>
          <w:rFonts w:ascii="Arial" w:hAnsi="Arial" w:cs="Arial"/>
          <w:lang w:val="en-GB"/>
        </w:rPr>
      </w:pPr>
      <w:r w:rsidRPr="00F20375">
        <w:rPr>
          <w:rFonts w:ascii="Arial" w:hAnsi="Arial" w:cs="Arial"/>
          <w:lang w:val="en-GB"/>
        </w:rPr>
        <w:t xml:space="preserve">Any SABA and SAMA in free or </w:t>
      </w:r>
      <w:r>
        <w:rPr>
          <w:rFonts w:ascii="Arial" w:hAnsi="Arial" w:cs="Arial"/>
          <w:lang w:val="en-GB"/>
        </w:rPr>
        <w:t>fixed-dose combination (</w:t>
      </w:r>
      <w:r w:rsidRPr="00F20375">
        <w:rPr>
          <w:rFonts w:ascii="Arial" w:hAnsi="Arial" w:cs="Arial"/>
          <w:lang w:val="en-GB"/>
        </w:rPr>
        <w:t>FDC</w:t>
      </w:r>
      <w:r>
        <w:rPr>
          <w:rFonts w:ascii="Arial" w:hAnsi="Arial" w:cs="Arial"/>
          <w:lang w:val="en-GB"/>
        </w:rPr>
        <w:t>;</w:t>
      </w:r>
      <w:r w:rsidRPr="00F20375">
        <w:rPr>
          <w:rFonts w:ascii="Arial" w:hAnsi="Arial" w:cs="Arial"/>
          <w:lang w:val="en-GB"/>
        </w:rPr>
        <w:t xml:space="preserve"> such as, but not limited to, salbutamol/ipratropium),</w:t>
      </w:r>
    </w:p>
    <w:p w14:paraId="16EF8903" w14:textId="77777777" w:rsidR="00F34DD2" w:rsidRPr="00F20375" w:rsidRDefault="00F34DD2" w:rsidP="001E3745">
      <w:pPr>
        <w:numPr>
          <w:ilvl w:val="1"/>
          <w:numId w:val="2"/>
        </w:numPr>
        <w:spacing w:after="0" w:line="480" w:lineRule="auto"/>
        <w:rPr>
          <w:rFonts w:ascii="Arial" w:hAnsi="Arial" w:cs="Arial"/>
          <w:lang w:val="en-GB"/>
        </w:rPr>
      </w:pPr>
      <w:r w:rsidRPr="00F20375">
        <w:rPr>
          <w:rFonts w:ascii="Arial" w:hAnsi="Arial" w:cs="Arial"/>
          <w:lang w:val="en-GB"/>
        </w:rPr>
        <w:t>Any long-acting β</w:t>
      </w:r>
      <w:r w:rsidRPr="00F20375">
        <w:rPr>
          <w:rFonts w:ascii="Arial" w:hAnsi="Arial" w:cs="Arial"/>
          <w:vertAlign w:val="subscript"/>
          <w:lang w:val="en-GB"/>
        </w:rPr>
        <w:t>2</w:t>
      </w:r>
      <w:r w:rsidRPr="00F20375">
        <w:rPr>
          <w:rFonts w:ascii="Arial" w:hAnsi="Arial" w:cs="Arial"/>
          <w:lang w:val="en-GB"/>
        </w:rPr>
        <w:t>-agonist (LABA) monotherapy (such as, but not limited to, formoterol, salmeterol or indacaterol),</w:t>
      </w:r>
    </w:p>
    <w:p w14:paraId="7E67E74B" w14:textId="7186DE74" w:rsidR="00F34DD2" w:rsidRPr="00F20375" w:rsidRDefault="00F34DD2" w:rsidP="001E3745">
      <w:pPr>
        <w:numPr>
          <w:ilvl w:val="1"/>
          <w:numId w:val="2"/>
        </w:numPr>
        <w:spacing w:after="0" w:line="480" w:lineRule="auto"/>
        <w:rPr>
          <w:rFonts w:ascii="Arial" w:hAnsi="Arial" w:cs="Arial"/>
          <w:lang w:val="en-GB"/>
        </w:rPr>
      </w:pPr>
      <w:r w:rsidRPr="00F20375">
        <w:rPr>
          <w:rFonts w:ascii="Arial" w:hAnsi="Arial" w:cs="Arial"/>
          <w:lang w:val="en-GB"/>
        </w:rPr>
        <w:t>Any long-acting muscarinic antagonist (LAMA) monotherapy (such as, but not limited to, tiotropium or aclidinium) except glycopyrronium bromide or</w:t>
      </w:r>
    </w:p>
    <w:p w14:paraId="732112B7" w14:textId="77777777" w:rsidR="00F34DD2" w:rsidRPr="00F20375" w:rsidRDefault="00F34DD2" w:rsidP="001E3745">
      <w:pPr>
        <w:numPr>
          <w:ilvl w:val="1"/>
          <w:numId w:val="2"/>
        </w:numPr>
        <w:spacing w:after="0" w:line="480" w:lineRule="auto"/>
        <w:rPr>
          <w:rFonts w:ascii="Arial" w:hAnsi="Arial" w:cs="Arial"/>
          <w:lang w:val="en-GB"/>
        </w:rPr>
      </w:pPr>
      <w:r w:rsidRPr="00F20375">
        <w:rPr>
          <w:rFonts w:ascii="Arial" w:hAnsi="Arial" w:cs="Arial"/>
          <w:lang w:val="en-GB"/>
        </w:rPr>
        <w:t xml:space="preserve">Any LABA and </w:t>
      </w:r>
      <w:bookmarkStart w:id="3" w:name="_Hlk485732939"/>
      <w:r w:rsidRPr="00F20375">
        <w:rPr>
          <w:rFonts w:ascii="Arial" w:hAnsi="Arial" w:cs="Arial"/>
          <w:lang w:val="en-GB"/>
        </w:rPr>
        <w:t>inhaled corticosteroid (ICS</w:t>
      </w:r>
      <w:bookmarkEnd w:id="3"/>
      <w:r w:rsidRPr="00F20375">
        <w:rPr>
          <w:rFonts w:ascii="Arial" w:hAnsi="Arial" w:cs="Arial"/>
          <w:lang w:val="en-GB"/>
        </w:rPr>
        <w:t>) in free (such as, but not limited to, beclomethasone or fluticasone) or FDC (such as, but not limited to, salmeterol/fluticasone or formoterol/budesonide)</w:t>
      </w:r>
    </w:p>
    <w:p w14:paraId="56D7FB07" w14:textId="4CFE7AC9" w:rsidR="00F34DD2" w:rsidRPr="00E35C7C" w:rsidRDefault="00F34DD2" w:rsidP="001E3745">
      <w:pPr>
        <w:numPr>
          <w:ilvl w:val="0"/>
          <w:numId w:val="2"/>
        </w:numPr>
        <w:spacing w:after="0" w:line="480" w:lineRule="auto"/>
        <w:rPr>
          <w:rFonts w:ascii="Arial" w:hAnsi="Arial" w:cs="Arial"/>
          <w:lang w:val="en-GB"/>
        </w:rPr>
      </w:pPr>
      <w:r w:rsidRPr="00F20375">
        <w:rPr>
          <w:rFonts w:ascii="Arial" w:hAnsi="Arial" w:cs="Arial"/>
          <w:lang w:val="en-GB"/>
        </w:rPr>
        <w:t xml:space="preserve">Patients with a </w:t>
      </w:r>
      <w:bookmarkStart w:id="4" w:name="_Hlk485732961"/>
      <w:r w:rsidRPr="00F20375">
        <w:rPr>
          <w:rFonts w:ascii="Arial" w:hAnsi="Arial" w:cs="Arial"/>
          <w:lang w:val="en-GB"/>
        </w:rPr>
        <w:t>modified Medical Research Council (mMRC</w:t>
      </w:r>
      <w:bookmarkEnd w:id="4"/>
      <w:r w:rsidRPr="00F20375">
        <w:rPr>
          <w:rFonts w:ascii="Arial" w:hAnsi="Arial" w:cs="Arial"/>
          <w:lang w:val="en-GB"/>
        </w:rPr>
        <w:t xml:space="preserve">) score ≥1 at </w:t>
      </w:r>
      <w:bookmarkStart w:id="5" w:name="_GoBack"/>
      <w:r>
        <w:rPr>
          <w:rFonts w:ascii="Arial" w:hAnsi="Arial" w:cs="Arial"/>
          <w:lang w:val="en-GB"/>
        </w:rPr>
        <w:t>V</w:t>
      </w:r>
      <w:r w:rsidRPr="00F20375">
        <w:rPr>
          <w:rFonts w:ascii="Arial" w:hAnsi="Arial" w:cs="Arial"/>
          <w:lang w:val="en-GB"/>
        </w:rPr>
        <w:t>isit</w:t>
      </w:r>
      <w:bookmarkEnd w:id="5"/>
      <w:r w:rsidRPr="00F20375">
        <w:rPr>
          <w:rFonts w:ascii="Arial" w:hAnsi="Arial" w:cs="Arial"/>
          <w:lang w:val="en-GB"/>
        </w:rPr>
        <w:t xml:space="preserve"> 1</w:t>
      </w:r>
      <w:r>
        <w:rPr>
          <w:rFonts w:ascii="Arial" w:hAnsi="Arial" w:cs="Arial"/>
          <w:lang w:val="en-GB"/>
        </w:rPr>
        <w:t xml:space="preserve"> (Day -30)</w:t>
      </w:r>
    </w:p>
    <w:p w14:paraId="36C621D2" w14:textId="77777777" w:rsidR="00F34DD2" w:rsidRPr="00A22412" w:rsidRDefault="00F34DD2" w:rsidP="00D94365">
      <w:pPr>
        <w:spacing w:after="0" w:line="480" w:lineRule="auto"/>
        <w:ind w:left="360"/>
        <w:rPr>
          <w:rFonts w:ascii="Arial" w:hAnsi="Arial" w:cs="Arial"/>
          <w:b/>
          <w:lang w:val="en-GB"/>
        </w:rPr>
      </w:pPr>
      <w:r>
        <w:rPr>
          <w:rFonts w:ascii="Arial" w:hAnsi="Arial" w:cs="Arial"/>
          <w:b/>
          <w:lang w:val="en-GB"/>
        </w:rPr>
        <w:lastRenderedPageBreak/>
        <w:t xml:space="preserve">S1.2. </w:t>
      </w:r>
      <w:r w:rsidRPr="00A22412">
        <w:rPr>
          <w:rFonts w:ascii="Arial" w:hAnsi="Arial" w:cs="Arial"/>
          <w:b/>
          <w:lang w:val="en-GB"/>
        </w:rPr>
        <w:t>Exclusion criteria</w:t>
      </w:r>
    </w:p>
    <w:p w14:paraId="6A0C4CCE" w14:textId="77777777" w:rsidR="00F34DD2" w:rsidRPr="00B36E77" w:rsidRDefault="00F34DD2" w:rsidP="00D94365">
      <w:pPr>
        <w:pStyle w:val="ListParagraph"/>
        <w:numPr>
          <w:ilvl w:val="0"/>
          <w:numId w:val="3"/>
        </w:numPr>
        <w:spacing w:after="0" w:line="480" w:lineRule="auto"/>
        <w:rPr>
          <w:rFonts w:ascii="Arial" w:hAnsi="Arial" w:cs="Arial"/>
          <w:lang w:val="en-GB"/>
        </w:rPr>
      </w:pPr>
      <w:bookmarkStart w:id="6" w:name="_Hlk485796270"/>
      <w:r w:rsidRPr="00B36E77">
        <w:rPr>
          <w:rFonts w:ascii="Arial" w:hAnsi="Arial" w:cs="Arial"/>
          <w:lang w:val="en-GB"/>
        </w:rPr>
        <w:t>Patients with conditions contraindicated for treatment with or those with a history of reactions/hypersensitivity to any of the following inhalational drugs or to drugs of similar chemical classes or any component thereof: anti-cholinergic agents, long- and short-acting β</w:t>
      </w:r>
      <w:r w:rsidRPr="00B36E77">
        <w:rPr>
          <w:rFonts w:ascii="Arial" w:hAnsi="Arial" w:cs="Arial"/>
          <w:vertAlign w:val="subscript"/>
          <w:lang w:val="en-GB"/>
        </w:rPr>
        <w:t>2</w:t>
      </w:r>
      <w:r w:rsidRPr="00B36E77">
        <w:rPr>
          <w:rFonts w:ascii="Arial" w:hAnsi="Arial" w:cs="Arial"/>
          <w:lang w:val="en-GB"/>
        </w:rPr>
        <w:t>-adrenergic agonists, sympathomimetic amines, lactose or any other excipients of the trial medication</w:t>
      </w:r>
    </w:p>
    <w:bookmarkEnd w:id="6"/>
    <w:p w14:paraId="74EB5AAB" w14:textId="55F4CA09" w:rsidR="00F34DD2" w:rsidRPr="00F20375" w:rsidRDefault="00F34DD2" w:rsidP="001E3745">
      <w:pPr>
        <w:numPr>
          <w:ilvl w:val="0"/>
          <w:numId w:val="3"/>
        </w:numPr>
        <w:spacing w:after="0" w:line="480" w:lineRule="auto"/>
        <w:rPr>
          <w:rFonts w:ascii="Arial" w:hAnsi="Arial" w:cs="Arial"/>
          <w:lang w:val="en-GB"/>
        </w:rPr>
      </w:pPr>
      <w:r w:rsidRPr="00F20375">
        <w:rPr>
          <w:rFonts w:ascii="Arial" w:hAnsi="Arial" w:cs="Arial"/>
          <w:lang w:val="en-GB"/>
        </w:rPr>
        <w:t>Patients with narrow-angle glaucoma</w:t>
      </w:r>
      <w:r>
        <w:rPr>
          <w:rFonts w:ascii="Arial" w:hAnsi="Arial" w:cs="Arial"/>
          <w:lang w:val="en-GB"/>
        </w:rPr>
        <w:t>,</w:t>
      </w:r>
      <w:r w:rsidRPr="00F20375">
        <w:rPr>
          <w:rFonts w:ascii="Arial" w:hAnsi="Arial" w:cs="Arial"/>
          <w:lang w:val="en-GB"/>
        </w:rPr>
        <w:t xml:space="preserve"> urinary retention</w:t>
      </w:r>
      <w:r w:rsidRPr="00F20375">
        <w:rPr>
          <w:rFonts w:ascii="Arial" w:hAnsi="Arial" w:cs="Arial"/>
          <w:bCs/>
          <w:lang w:val="en-GB"/>
        </w:rPr>
        <w:t xml:space="preserve"> or </w:t>
      </w:r>
      <w:r w:rsidRPr="00F20375">
        <w:rPr>
          <w:rFonts w:ascii="Arial" w:hAnsi="Arial" w:cs="Arial"/>
          <w:lang w:val="en-GB"/>
        </w:rPr>
        <w:t xml:space="preserve">severe renal impairment (history of </w:t>
      </w:r>
      <w:r>
        <w:rPr>
          <w:rFonts w:ascii="Arial" w:hAnsi="Arial" w:cs="Arial"/>
          <w:lang w:val="en-GB"/>
        </w:rPr>
        <w:t xml:space="preserve">an </w:t>
      </w:r>
      <w:bookmarkStart w:id="7" w:name="_Hlk485733174"/>
      <w:r w:rsidRPr="00F10D1E">
        <w:rPr>
          <w:rFonts w:ascii="Arial" w:hAnsi="Arial" w:cs="Arial"/>
          <w:lang w:val="en-GB"/>
        </w:rPr>
        <w:t xml:space="preserve">estimated glomerular filtration rate </w:t>
      </w:r>
      <w:r>
        <w:rPr>
          <w:rFonts w:ascii="Arial" w:hAnsi="Arial" w:cs="Arial"/>
          <w:lang w:val="en-GB"/>
        </w:rPr>
        <w:t>[</w:t>
      </w:r>
      <w:r w:rsidRPr="00F20375">
        <w:rPr>
          <w:rFonts w:ascii="Arial" w:hAnsi="Arial" w:cs="Arial"/>
          <w:lang w:val="en-GB"/>
        </w:rPr>
        <w:t>eGFR</w:t>
      </w:r>
      <w:bookmarkEnd w:id="7"/>
      <w:r>
        <w:rPr>
          <w:rFonts w:ascii="Arial" w:hAnsi="Arial" w:cs="Arial"/>
          <w:lang w:val="en-GB"/>
        </w:rPr>
        <w:t>]</w:t>
      </w:r>
      <w:r w:rsidRPr="00F20375">
        <w:rPr>
          <w:rFonts w:ascii="Arial" w:hAnsi="Arial" w:cs="Arial"/>
          <w:lang w:val="en-GB"/>
        </w:rPr>
        <w:t xml:space="preserve"> </w:t>
      </w:r>
      <w:bookmarkStart w:id="8" w:name="_Hlk485733179"/>
      <w:r w:rsidRPr="00F20375">
        <w:rPr>
          <w:rFonts w:ascii="Arial" w:hAnsi="Arial" w:cs="Arial"/>
          <w:lang w:val="en-GB"/>
        </w:rPr>
        <w:t>&lt;</w:t>
      </w:r>
      <w:bookmarkEnd w:id="8"/>
      <w:r w:rsidRPr="00F20375">
        <w:rPr>
          <w:rFonts w:ascii="Arial" w:hAnsi="Arial" w:cs="Arial"/>
          <w:lang w:val="en-GB"/>
        </w:rPr>
        <w:t>30 mL/min/1.73 m</w:t>
      </w:r>
      <w:r w:rsidRPr="00F20375">
        <w:rPr>
          <w:rFonts w:ascii="Arial" w:hAnsi="Arial" w:cs="Arial"/>
          <w:vertAlign w:val="superscript"/>
          <w:lang w:val="en-GB"/>
        </w:rPr>
        <w:t>2</w:t>
      </w:r>
      <w:r w:rsidRPr="00F20375">
        <w:rPr>
          <w:rFonts w:ascii="Arial" w:hAnsi="Arial" w:cs="Arial"/>
          <w:lang w:val="en-GB"/>
        </w:rPr>
        <w:t xml:space="preserve"> within 12 months before </w:t>
      </w:r>
      <w:r>
        <w:rPr>
          <w:rFonts w:ascii="Arial" w:hAnsi="Arial" w:cs="Arial"/>
          <w:lang w:val="en-GB"/>
        </w:rPr>
        <w:t>V</w:t>
      </w:r>
      <w:r w:rsidRPr="00F20375">
        <w:rPr>
          <w:rFonts w:ascii="Arial" w:hAnsi="Arial" w:cs="Arial"/>
          <w:lang w:val="en-GB"/>
        </w:rPr>
        <w:t>isit 1</w:t>
      </w:r>
      <w:r>
        <w:rPr>
          <w:rFonts w:ascii="Arial" w:hAnsi="Arial" w:cs="Arial"/>
          <w:lang w:val="en-GB"/>
        </w:rPr>
        <w:t xml:space="preserve"> [Day -30]</w:t>
      </w:r>
      <w:r w:rsidRPr="00F20375">
        <w:rPr>
          <w:rFonts w:ascii="Arial" w:hAnsi="Arial" w:cs="Arial"/>
          <w:lang w:val="en-GB"/>
        </w:rPr>
        <w:t>), including those with end-stage renal disease who require dialysis</w:t>
      </w:r>
    </w:p>
    <w:p w14:paraId="0402382D" w14:textId="77777777" w:rsidR="00F34DD2" w:rsidRPr="00F20375" w:rsidRDefault="00F34DD2" w:rsidP="001E3745">
      <w:pPr>
        <w:numPr>
          <w:ilvl w:val="0"/>
          <w:numId w:val="3"/>
        </w:numPr>
        <w:spacing w:after="0" w:line="480" w:lineRule="auto"/>
        <w:rPr>
          <w:rFonts w:ascii="Arial" w:hAnsi="Arial" w:cs="Arial"/>
          <w:lang w:val="en-GB"/>
        </w:rPr>
      </w:pPr>
      <w:r w:rsidRPr="00F20375">
        <w:rPr>
          <w:rFonts w:ascii="Arial" w:hAnsi="Arial" w:cs="Arial"/>
          <w:lang w:val="en-GB"/>
        </w:rPr>
        <w:t xml:space="preserve">Patients with </w:t>
      </w:r>
      <w:r>
        <w:rPr>
          <w:rFonts w:ascii="Arial" w:hAnsi="Arial" w:cs="Arial"/>
          <w:lang w:val="en-GB"/>
        </w:rPr>
        <w:t xml:space="preserve">an </w:t>
      </w:r>
      <w:r w:rsidRPr="00F20375">
        <w:rPr>
          <w:rFonts w:ascii="Arial" w:hAnsi="Arial" w:cs="Arial"/>
          <w:lang w:val="en-GB"/>
        </w:rPr>
        <w:t xml:space="preserve">active/clinical history of asthma </w:t>
      </w:r>
    </w:p>
    <w:p w14:paraId="6431D91B" w14:textId="77777777" w:rsidR="00F34DD2" w:rsidRPr="00F20375" w:rsidRDefault="00F34DD2" w:rsidP="001E3745">
      <w:pPr>
        <w:numPr>
          <w:ilvl w:val="0"/>
          <w:numId w:val="3"/>
        </w:numPr>
        <w:spacing w:after="0" w:line="480" w:lineRule="auto"/>
        <w:rPr>
          <w:rFonts w:ascii="Arial" w:hAnsi="Arial" w:cs="Arial"/>
          <w:lang w:val="en-GB"/>
        </w:rPr>
      </w:pPr>
      <w:r>
        <w:rPr>
          <w:rFonts w:ascii="Arial" w:hAnsi="Arial" w:cs="Arial"/>
          <w:lang w:val="en-GB"/>
        </w:rPr>
        <w:t>A h</w:t>
      </w:r>
      <w:r w:rsidRPr="00F20375">
        <w:rPr>
          <w:rFonts w:ascii="Arial" w:hAnsi="Arial" w:cs="Arial"/>
          <w:lang w:val="en-GB"/>
        </w:rPr>
        <w:t xml:space="preserve">istory of malignancy of any organ system (other than </w:t>
      </w:r>
      <w:bookmarkStart w:id="9" w:name="_Hlk485733237"/>
      <w:r w:rsidRPr="00F20375">
        <w:rPr>
          <w:rFonts w:ascii="Arial" w:hAnsi="Arial" w:cs="Arial"/>
          <w:lang w:val="en-GB"/>
        </w:rPr>
        <w:t>locali</w:t>
      </w:r>
      <w:r>
        <w:rPr>
          <w:rFonts w:ascii="Arial" w:hAnsi="Arial" w:cs="Arial"/>
          <w:lang w:val="en-GB"/>
        </w:rPr>
        <w:t>s</w:t>
      </w:r>
      <w:r w:rsidRPr="00F20375">
        <w:rPr>
          <w:rFonts w:ascii="Arial" w:hAnsi="Arial" w:cs="Arial"/>
          <w:lang w:val="en-GB"/>
        </w:rPr>
        <w:t xml:space="preserve">ed </w:t>
      </w:r>
      <w:bookmarkEnd w:id="9"/>
      <w:r w:rsidRPr="00F20375">
        <w:rPr>
          <w:rFonts w:ascii="Arial" w:hAnsi="Arial" w:cs="Arial"/>
          <w:lang w:val="en-GB"/>
        </w:rPr>
        <w:t xml:space="preserve">basal cell carcinoma of the skin), treated or untreated, within the past 5 years, regardless of </w:t>
      </w:r>
      <w:r>
        <w:rPr>
          <w:rFonts w:ascii="Arial" w:hAnsi="Arial" w:cs="Arial"/>
          <w:lang w:val="en-GB"/>
        </w:rPr>
        <w:t>an</w:t>
      </w:r>
      <w:r w:rsidRPr="00F20375">
        <w:rPr>
          <w:rFonts w:ascii="Arial" w:hAnsi="Arial" w:cs="Arial"/>
          <w:lang w:val="en-GB"/>
        </w:rPr>
        <w:t xml:space="preserve"> evidence of local recurrence or metastases</w:t>
      </w:r>
    </w:p>
    <w:p w14:paraId="6762DAF1" w14:textId="5473907C" w:rsidR="00F34DD2" w:rsidRPr="00F20375" w:rsidRDefault="00F34DD2" w:rsidP="001E3745">
      <w:pPr>
        <w:numPr>
          <w:ilvl w:val="0"/>
          <w:numId w:val="3"/>
        </w:numPr>
        <w:spacing w:after="0" w:line="480" w:lineRule="auto"/>
        <w:rPr>
          <w:rFonts w:ascii="Arial" w:hAnsi="Arial" w:cs="Arial"/>
          <w:lang w:val="en-GB"/>
        </w:rPr>
      </w:pPr>
      <w:r w:rsidRPr="00F20375">
        <w:rPr>
          <w:rFonts w:ascii="Arial" w:hAnsi="Arial" w:cs="Arial"/>
          <w:lang w:val="en-GB"/>
        </w:rPr>
        <w:t xml:space="preserve">A documented history of &gt;1 COPD </w:t>
      </w:r>
      <w:r w:rsidRPr="00F20375">
        <w:rPr>
          <w:rFonts w:ascii="Arial" w:hAnsi="Arial" w:cs="Arial"/>
          <w:bCs/>
          <w:lang w:val="en-GB"/>
        </w:rPr>
        <w:t xml:space="preserve">exacerbations </w:t>
      </w:r>
      <w:r w:rsidRPr="00F20375">
        <w:rPr>
          <w:rFonts w:ascii="Arial" w:hAnsi="Arial" w:cs="Arial"/>
          <w:lang w:val="en-GB"/>
        </w:rPr>
        <w:t xml:space="preserve">requiring treatment with systemic corticosteroids or antibiotics and/or </w:t>
      </w:r>
      <w:bookmarkStart w:id="10" w:name="_Hlk485733271"/>
      <w:r w:rsidRPr="00F20375">
        <w:rPr>
          <w:rFonts w:ascii="Arial" w:hAnsi="Arial" w:cs="Arial"/>
          <w:lang w:val="en-GB"/>
        </w:rPr>
        <w:t>hospitali</w:t>
      </w:r>
      <w:r>
        <w:rPr>
          <w:rFonts w:ascii="Arial" w:hAnsi="Arial" w:cs="Arial"/>
          <w:lang w:val="en-GB"/>
        </w:rPr>
        <w:t>s</w:t>
      </w:r>
      <w:r w:rsidRPr="00F20375">
        <w:rPr>
          <w:rFonts w:ascii="Arial" w:hAnsi="Arial" w:cs="Arial"/>
          <w:lang w:val="en-GB"/>
        </w:rPr>
        <w:t>ation</w:t>
      </w:r>
      <w:bookmarkEnd w:id="10"/>
      <w:r w:rsidRPr="00F20375">
        <w:rPr>
          <w:rFonts w:ascii="Arial" w:hAnsi="Arial" w:cs="Arial"/>
          <w:lang w:val="en-GB"/>
        </w:rPr>
        <w:t xml:space="preserve"> in the past 12 months</w:t>
      </w:r>
      <w:r w:rsidRPr="00F20375">
        <w:rPr>
          <w:rFonts w:ascii="Arial" w:hAnsi="Arial" w:cs="Arial"/>
          <w:lang w:val="en-GB"/>
        </w:rPr>
        <w:br/>
        <w:t>Patients who have not had a COPD exacerbation in the past 12 months or have developed a COPD exacerbation between screening (</w:t>
      </w:r>
      <w:r>
        <w:rPr>
          <w:rFonts w:ascii="Arial" w:hAnsi="Arial" w:cs="Arial"/>
          <w:lang w:val="en-GB"/>
        </w:rPr>
        <w:t>V</w:t>
      </w:r>
      <w:r w:rsidRPr="00F20375">
        <w:rPr>
          <w:rFonts w:ascii="Arial" w:hAnsi="Arial" w:cs="Arial"/>
          <w:lang w:val="en-GB"/>
        </w:rPr>
        <w:t>isit 1</w:t>
      </w:r>
      <w:r>
        <w:rPr>
          <w:rFonts w:ascii="Arial" w:hAnsi="Arial" w:cs="Arial"/>
          <w:lang w:val="en-GB"/>
        </w:rPr>
        <w:t xml:space="preserve"> [Day -30]</w:t>
      </w:r>
      <w:r w:rsidRPr="00F20375">
        <w:rPr>
          <w:rFonts w:ascii="Arial" w:hAnsi="Arial" w:cs="Arial"/>
          <w:lang w:val="en-GB"/>
        </w:rPr>
        <w:t>) and baseline (</w:t>
      </w:r>
      <w:r>
        <w:rPr>
          <w:rFonts w:ascii="Arial" w:hAnsi="Arial" w:cs="Arial"/>
          <w:lang w:val="en-GB"/>
        </w:rPr>
        <w:t>V</w:t>
      </w:r>
      <w:r w:rsidRPr="00F20375">
        <w:rPr>
          <w:rFonts w:ascii="Arial" w:hAnsi="Arial" w:cs="Arial"/>
          <w:lang w:val="en-GB"/>
        </w:rPr>
        <w:t>isit 2</w:t>
      </w:r>
      <w:r>
        <w:rPr>
          <w:rFonts w:ascii="Arial" w:hAnsi="Arial" w:cs="Arial"/>
          <w:lang w:val="en-GB"/>
        </w:rPr>
        <w:t xml:space="preserve"> [Day -7]</w:t>
      </w:r>
      <w:r w:rsidRPr="00F20375">
        <w:rPr>
          <w:rFonts w:ascii="Arial" w:hAnsi="Arial" w:cs="Arial"/>
          <w:lang w:val="en-GB"/>
        </w:rPr>
        <w:t>) will not be eligible but will be permitted to be re-screened after a minimum of 6 weeks after resolution of the COPD exacerbation</w:t>
      </w:r>
    </w:p>
    <w:p w14:paraId="56762C3C" w14:textId="427956BC" w:rsidR="00F34DD2" w:rsidRPr="00F20375" w:rsidRDefault="00F34DD2" w:rsidP="001E3745">
      <w:pPr>
        <w:numPr>
          <w:ilvl w:val="0"/>
          <w:numId w:val="3"/>
        </w:numPr>
        <w:spacing w:after="0" w:line="480" w:lineRule="auto"/>
        <w:rPr>
          <w:rFonts w:ascii="Arial" w:hAnsi="Arial" w:cs="Arial"/>
          <w:lang w:val="en-GB"/>
        </w:rPr>
      </w:pPr>
      <w:r w:rsidRPr="00F20375">
        <w:rPr>
          <w:rFonts w:ascii="Arial" w:hAnsi="Arial" w:cs="Arial"/>
          <w:lang w:val="en-GB"/>
        </w:rPr>
        <w:t>Patients who, in the judgment of the investigator, have a clinically relevant laboratory abnormality or a clinically significant condition such as (but not limited to) unstable isch</w:t>
      </w:r>
      <w:r>
        <w:rPr>
          <w:rFonts w:ascii="Arial" w:hAnsi="Arial" w:cs="Arial"/>
          <w:lang w:val="en-GB"/>
        </w:rPr>
        <w:t>a</w:t>
      </w:r>
      <w:r w:rsidRPr="00F20375">
        <w:rPr>
          <w:rFonts w:ascii="Arial" w:hAnsi="Arial" w:cs="Arial"/>
          <w:lang w:val="en-GB"/>
        </w:rPr>
        <w:t>emic heart disease, left ventricular failure (</w:t>
      </w:r>
      <w:bookmarkStart w:id="11" w:name="_Hlk485733423"/>
      <w:r w:rsidRPr="00033928">
        <w:rPr>
          <w:rFonts w:ascii="Arial" w:hAnsi="Arial" w:cs="Arial"/>
        </w:rPr>
        <w:t>New York Heart Association</w:t>
      </w:r>
      <w:r w:rsidRPr="00033928">
        <w:rPr>
          <w:rFonts w:ascii="Arial" w:hAnsi="Arial" w:cs="Arial"/>
          <w:lang w:val="en-GB"/>
        </w:rPr>
        <w:t xml:space="preserve"> </w:t>
      </w:r>
      <w:r>
        <w:rPr>
          <w:rFonts w:ascii="Arial" w:hAnsi="Arial" w:cs="Arial"/>
          <w:lang w:val="en-GB"/>
        </w:rPr>
        <w:t>[</w:t>
      </w:r>
      <w:r w:rsidRPr="00F20375">
        <w:rPr>
          <w:rFonts w:ascii="Arial" w:hAnsi="Arial" w:cs="Arial"/>
          <w:lang w:val="en-GB"/>
        </w:rPr>
        <w:t>NYHA</w:t>
      </w:r>
      <w:bookmarkEnd w:id="11"/>
      <w:r>
        <w:rPr>
          <w:rFonts w:ascii="Arial" w:hAnsi="Arial" w:cs="Arial"/>
          <w:lang w:val="en-GB"/>
        </w:rPr>
        <w:t>]</w:t>
      </w:r>
      <w:r w:rsidRPr="00F20375">
        <w:rPr>
          <w:rFonts w:ascii="Arial" w:hAnsi="Arial" w:cs="Arial"/>
          <w:lang w:val="en-GB"/>
        </w:rPr>
        <w:t xml:space="preserve"> </w:t>
      </w:r>
      <w:r>
        <w:rPr>
          <w:rFonts w:ascii="Arial" w:hAnsi="Arial" w:cs="Arial"/>
          <w:lang w:val="en-GB"/>
        </w:rPr>
        <w:t>c</w:t>
      </w:r>
      <w:r w:rsidRPr="00F20375">
        <w:rPr>
          <w:rFonts w:ascii="Arial" w:hAnsi="Arial" w:cs="Arial"/>
          <w:lang w:val="en-GB"/>
        </w:rPr>
        <w:t xml:space="preserve">lass III and IV), history of myocardial infarction, arrhythmia (excluding chronic stable atrial fibrillation), uncontrolled </w:t>
      </w:r>
      <w:bookmarkStart w:id="12" w:name="_Hlk485796540"/>
      <w:r w:rsidRPr="00F20375">
        <w:rPr>
          <w:rFonts w:ascii="Arial" w:hAnsi="Arial" w:cs="Arial"/>
          <w:lang w:val="en-GB"/>
        </w:rPr>
        <w:t>hypo- or hyperthyroidism</w:t>
      </w:r>
      <w:bookmarkEnd w:id="12"/>
      <w:r w:rsidRPr="00F20375">
        <w:rPr>
          <w:rFonts w:ascii="Arial" w:hAnsi="Arial" w:cs="Arial"/>
          <w:lang w:val="en-GB"/>
        </w:rPr>
        <w:t>, hypo</w:t>
      </w:r>
      <w:bookmarkStart w:id="13" w:name="_Hlk485733466"/>
      <w:r w:rsidRPr="00F20375">
        <w:rPr>
          <w:rFonts w:ascii="Arial" w:hAnsi="Arial" w:cs="Arial"/>
          <w:lang w:val="en-GB"/>
        </w:rPr>
        <w:t>kalaemia</w:t>
      </w:r>
      <w:bookmarkEnd w:id="13"/>
      <w:r w:rsidRPr="00F20375">
        <w:rPr>
          <w:rFonts w:ascii="Arial" w:hAnsi="Arial" w:cs="Arial"/>
          <w:lang w:val="en-GB"/>
        </w:rPr>
        <w:t xml:space="preserve"> or </w:t>
      </w:r>
      <w:r w:rsidRPr="00F20375">
        <w:rPr>
          <w:rFonts w:ascii="Arial" w:hAnsi="Arial" w:cs="Arial"/>
          <w:lang w:val="en-GB"/>
        </w:rPr>
        <w:lastRenderedPageBreak/>
        <w:t xml:space="preserve">hyperadrenergic state </w:t>
      </w:r>
      <w:r>
        <w:rPr>
          <w:rFonts w:ascii="Arial" w:hAnsi="Arial" w:cs="Arial"/>
          <w:lang w:val="en-GB"/>
        </w:rPr>
        <w:t xml:space="preserve">or </w:t>
      </w:r>
      <w:r w:rsidRPr="00F20375">
        <w:rPr>
          <w:rFonts w:ascii="Arial" w:hAnsi="Arial" w:cs="Arial"/>
          <w:lang w:val="en-GB"/>
        </w:rPr>
        <w:t xml:space="preserve">any condition </w:t>
      </w:r>
      <w:r>
        <w:rPr>
          <w:rFonts w:ascii="Arial" w:hAnsi="Arial" w:cs="Arial"/>
          <w:lang w:val="en-GB"/>
        </w:rPr>
        <w:t>that</w:t>
      </w:r>
      <w:r w:rsidRPr="00F20375">
        <w:rPr>
          <w:rFonts w:ascii="Arial" w:hAnsi="Arial" w:cs="Arial"/>
          <w:lang w:val="en-GB"/>
        </w:rPr>
        <w:t xml:space="preserve"> might compromise patient safety or compliance, interfere with evaluation or preclude study completion</w:t>
      </w:r>
    </w:p>
    <w:p w14:paraId="0E8BEE17" w14:textId="0109F419" w:rsidR="00F34DD2" w:rsidRPr="00F20375" w:rsidRDefault="00F34DD2" w:rsidP="001E3745">
      <w:pPr>
        <w:numPr>
          <w:ilvl w:val="0"/>
          <w:numId w:val="3"/>
        </w:numPr>
        <w:spacing w:after="0" w:line="480" w:lineRule="auto"/>
        <w:rPr>
          <w:rFonts w:ascii="Arial" w:hAnsi="Arial" w:cs="Arial"/>
          <w:lang w:val="en-GB"/>
        </w:rPr>
      </w:pPr>
      <w:r>
        <w:rPr>
          <w:rFonts w:ascii="Arial" w:hAnsi="Arial" w:cs="Arial"/>
          <w:lang w:val="en-GB"/>
        </w:rPr>
        <w:t>A h</w:t>
      </w:r>
      <w:r w:rsidRPr="00F20375">
        <w:rPr>
          <w:rFonts w:ascii="Arial" w:hAnsi="Arial" w:cs="Arial"/>
          <w:lang w:val="en-GB"/>
        </w:rPr>
        <w:t xml:space="preserve">istory of resting QTc (Fridericia preferred, but Bazett acceptable) &gt;450 ms (men) or &gt;460 ms (women) within 5 years before </w:t>
      </w:r>
      <w:r>
        <w:rPr>
          <w:rFonts w:ascii="Arial" w:hAnsi="Arial" w:cs="Arial"/>
          <w:lang w:val="en-GB"/>
        </w:rPr>
        <w:t>V</w:t>
      </w:r>
      <w:r w:rsidRPr="00F20375">
        <w:rPr>
          <w:rFonts w:ascii="Arial" w:hAnsi="Arial" w:cs="Arial"/>
          <w:lang w:val="en-GB"/>
        </w:rPr>
        <w:t>isit 1</w:t>
      </w:r>
      <w:r>
        <w:rPr>
          <w:rFonts w:ascii="Arial" w:hAnsi="Arial" w:cs="Arial"/>
          <w:lang w:val="en-GB"/>
        </w:rPr>
        <w:t xml:space="preserve"> (Day -30)</w:t>
      </w:r>
    </w:p>
    <w:p w14:paraId="2939983D" w14:textId="13D761D6" w:rsidR="00F34DD2" w:rsidRPr="00F20375" w:rsidRDefault="00F34DD2" w:rsidP="001E3745">
      <w:pPr>
        <w:numPr>
          <w:ilvl w:val="0"/>
          <w:numId w:val="3"/>
        </w:numPr>
        <w:spacing w:after="0" w:line="480" w:lineRule="auto"/>
        <w:rPr>
          <w:rFonts w:ascii="Arial" w:hAnsi="Arial" w:cs="Arial"/>
          <w:lang w:val="en-GB"/>
        </w:rPr>
      </w:pPr>
      <w:r w:rsidRPr="00F20375">
        <w:rPr>
          <w:rFonts w:ascii="Arial" w:hAnsi="Arial" w:cs="Arial"/>
          <w:lang w:val="en-GB"/>
        </w:rPr>
        <w:t xml:space="preserve">Patients who are treated with glycopyrronium bromide at </w:t>
      </w:r>
      <w:r>
        <w:rPr>
          <w:rFonts w:ascii="Arial" w:hAnsi="Arial" w:cs="Arial"/>
          <w:lang w:val="en-GB"/>
        </w:rPr>
        <w:t>V</w:t>
      </w:r>
      <w:r w:rsidRPr="00F20375">
        <w:rPr>
          <w:rFonts w:ascii="Arial" w:hAnsi="Arial" w:cs="Arial"/>
          <w:lang w:val="en-GB"/>
        </w:rPr>
        <w:t>isit 1</w:t>
      </w:r>
      <w:r>
        <w:rPr>
          <w:rFonts w:ascii="Arial" w:hAnsi="Arial" w:cs="Arial"/>
          <w:lang w:val="en-GB"/>
        </w:rPr>
        <w:t xml:space="preserve"> (Day -30)</w:t>
      </w:r>
      <w:r w:rsidRPr="00F20375">
        <w:rPr>
          <w:rFonts w:ascii="Arial" w:hAnsi="Arial" w:cs="Arial"/>
          <w:lang w:val="en-GB"/>
        </w:rPr>
        <w:br/>
        <w:t xml:space="preserve">Patients on non-selective </w:t>
      </w:r>
      <w:r w:rsidRPr="00F20375">
        <w:rPr>
          <w:rFonts w:ascii="Arial" w:eastAsia="Times New Roman" w:hAnsi="Arial" w:cs="Arial"/>
          <w:lang w:val="en-GB"/>
        </w:rPr>
        <w:t>β</w:t>
      </w:r>
      <w:r w:rsidRPr="00F20375">
        <w:rPr>
          <w:rFonts w:ascii="Arial" w:hAnsi="Arial" w:cs="Arial"/>
          <w:lang w:val="en-GB"/>
        </w:rPr>
        <w:t xml:space="preserve">-blockers; such patients may enter the study after withdrawal </w:t>
      </w:r>
      <w:r>
        <w:rPr>
          <w:rFonts w:ascii="Arial" w:hAnsi="Arial" w:cs="Arial"/>
          <w:lang w:val="en-GB"/>
        </w:rPr>
        <w:t xml:space="preserve">of the </w:t>
      </w:r>
      <w:r w:rsidRPr="00F20375">
        <w:rPr>
          <w:rFonts w:ascii="Arial" w:hAnsi="Arial" w:cs="Arial"/>
          <w:lang w:val="en-GB"/>
        </w:rPr>
        <w:t xml:space="preserve">non-selective </w:t>
      </w:r>
      <w:r w:rsidRPr="00F20375">
        <w:rPr>
          <w:rFonts w:ascii="Arial" w:eastAsia="Times New Roman" w:hAnsi="Arial" w:cs="Arial"/>
          <w:lang w:val="en-GB"/>
        </w:rPr>
        <w:t>β</w:t>
      </w:r>
      <w:r w:rsidRPr="00F20375">
        <w:rPr>
          <w:rFonts w:ascii="Arial" w:hAnsi="Arial" w:cs="Arial"/>
          <w:lang w:val="en-GB"/>
        </w:rPr>
        <w:t>-blocker during a 7-day washout period</w:t>
      </w:r>
    </w:p>
    <w:p w14:paraId="21921243" w14:textId="176B57B5" w:rsidR="00F34DD2" w:rsidRPr="00F20375" w:rsidRDefault="00F34DD2" w:rsidP="001E3745">
      <w:pPr>
        <w:numPr>
          <w:ilvl w:val="0"/>
          <w:numId w:val="3"/>
        </w:numPr>
        <w:spacing w:after="0" w:line="480" w:lineRule="auto"/>
        <w:rPr>
          <w:rFonts w:ascii="Arial" w:hAnsi="Arial" w:cs="Arial"/>
          <w:lang w:val="en-GB"/>
        </w:rPr>
      </w:pPr>
      <w:r w:rsidRPr="00F20375">
        <w:rPr>
          <w:rFonts w:ascii="Arial" w:hAnsi="Arial" w:cs="Arial"/>
          <w:lang w:val="en-GB"/>
        </w:rPr>
        <w:t xml:space="preserve">Patients receiving any other prohibited COPD-related medications; prohibited COPD-related medications must undergo the required washout period before </w:t>
      </w:r>
      <w:r>
        <w:rPr>
          <w:rFonts w:ascii="Arial" w:hAnsi="Arial" w:cs="Arial"/>
          <w:lang w:val="en-GB"/>
        </w:rPr>
        <w:t>V</w:t>
      </w:r>
      <w:r w:rsidRPr="00F20375">
        <w:rPr>
          <w:rFonts w:ascii="Arial" w:hAnsi="Arial" w:cs="Arial"/>
          <w:lang w:val="en-GB"/>
        </w:rPr>
        <w:t>isit 2</w:t>
      </w:r>
      <w:r>
        <w:rPr>
          <w:rFonts w:ascii="Arial" w:hAnsi="Arial" w:cs="Arial"/>
          <w:lang w:val="en-GB"/>
        </w:rPr>
        <w:t xml:space="preserve"> (Day -7)</w:t>
      </w:r>
    </w:p>
    <w:p w14:paraId="7BD34D5B" w14:textId="77777777" w:rsidR="00F34DD2" w:rsidRPr="00F20375" w:rsidRDefault="00F34DD2" w:rsidP="001E3745">
      <w:pPr>
        <w:numPr>
          <w:ilvl w:val="0"/>
          <w:numId w:val="3"/>
        </w:numPr>
        <w:spacing w:after="0" w:line="480" w:lineRule="auto"/>
        <w:rPr>
          <w:rFonts w:ascii="Arial" w:hAnsi="Arial" w:cs="Arial"/>
          <w:lang w:val="en-GB"/>
        </w:rPr>
      </w:pPr>
      <w:r w:rsidRPr="00F20375">
        <w:rPr>
          <w:rFonts w:ascii="Arial" w:hAnsi="Arial" w:cs="Arial"/>
          <w:lang w:val="en-GB"/>
        </w:rPr>
        <w:t>Patients who are, in the opinion of the investigator, known to be unreliable or non-compliant</w:t>
      </w:r>
    </w:p>
    <w:p w14:paraId="744BA506" w14:textId="77777777" w:rsidR="00F34DD2" w:rsidRPr="00F20375" w:rsidRDefault="00F34DD2" w:rsidP="001E3745">
      <w:pPr>
        <w:numPr>
          <w:ilvl w:val="0"/>
          <w:numId w:val="3"/>
        </w:numPr>
        <w:spacing w:after="0" w:line="480" w:lineRule="auto"/>
        <w:rPr>
          <w:rFonts w:ascii="Arial" w:hAnsi="Arial" w:cs="Arial"/>
          <w:lang w:val="en-GB"/>
        </w:rPr>
      </w:pPr>
      <w:r w:rsidRPr="00F20375">
        <w:rPr>
          <w:rFonts w:ascii="Arial" w:hAnsi="Arial" w:cs="Arial"/>
          <w:lang w:val="en-GB"/>
        </w:rPr>
        <w:t xml:space="preserve">Patients with a </w:t>
      </w:r>
      <w:bookmarkStart w:id="14" w:name="_Hlk485733593"/>
      <w:r w:rsidRPr="00F20375">
        <w:rPr>
          <w:rFonts w:ascii="Arial" w:hAnsi="Arial" w:cs="Arial"/>
          <w:lang w:val="en-GB"/>
        </w:rPr>
        <w:t>body mass index (BMI</w:t>
      </w:r>
      <w:bookmarkEnd w:id="14"/>
      <w:r w:rsidRPr="00F20375">
        <w:rPr>
          <w:rFonts w:ascii="Arial" w:hAnsi="Arial" w:cs="Arial"/>
          <w:lang w:val="en-GB"/>
        </w:rPr>
        <w:t xml:space="preserve">) of </w:t>
      </w:r>
      <w:r w:rsidRPr="00F20375">
        <w:rPr>
          <w:rFonts w:ascii="Arial" w:hAnsi="Arial" w:cs="Arial"/>
          <w:bCs/>
          <w:lang w:val="en-GB"/>
        </w:rPr>
        <w:t>&gt;</w:t>
      </w:r>
      <w:r w:rsidRPr="00F20375">
        <w:rPr>
          <w:rFonts w:ascii="Arial" w:hAnsi="Arial" w:cs="Arial"/>
          <w:lang w:val="en-GB"/>
        </w:rPr>
        <w:t>40 kg/m</w:t>
      </w:r>
      <w:r w:rsidRPr="00F20375">
        <w:rPr>
          <w:rFonts w:ascii="Arial" w:hAnsi="Arial" w:cs="Arial"/>
          <w:vertAlign w:val="superscript"/>
          <w:lang w:val="en-GB"/>
        </w:rPr>
        <w:t>2</w:t>
      </w:r>
    </w:p>
    <w:p w14:paraId="1506D8E2" w14:textId="77777777" w:rsidR="00F34DD2" w:rsidRPr="00F20375" w:rsidRDefault="00F34DD2" w:rsidP="001E3745">
      <w:pPr>
        <w:numPr>
          <w:ilvl w:val="0"/>
          <w:numId w:val="3"/>
        </w:numPr>
        <w:spacing w:after="0" w:line="480" w:lineRule="auto"/>
        <w:rPr>
          <w:rFonts w:ascii="Arial" w:hAnsi="Arial" w:cs="Arial"/>
          <w:lang w:val="en-GB"/>
        </w:rPr>
      </w:pPr>
      <w:r w:rsidRPr="00F20375">
        <w:rPr>
          <w:rFonts w:ascii="Arial" w:hAnsi="Arial" w:cs="Arial"/>
          <w:lang w:val="en-GB"/>
        </w:rPr>
        <w:t>Use of other investigational drugs within 5 half-lives of enrolment or within 30 days, whichever is longer</w:t>
      </w:r>
    </w:p>
    <w:p w14:paraId="42BB19C3" w14:textId="77777777" w:rsidR="00F34DD2" w:rsidRPr="00F20375" w:rsidRDefault="00F34DD2" w:rsidP="001E3745">
      <w:pPr>
        <w:numPr>
          <w:ilvl w:val="0"/>
          <w:numId w:val="3"/>
        </w:numPr>
        <w:spacing w:after="0" w:line="480" w:lineRule="auto"/>
        <w:rPr>
          <w:rFonts w:ascii="Arial" w:hAnsi="Arial" w:cs="Arial"/>
          <w:lang w:val="en-GB"/>
        </w:rPr>
      </w:pPr>
      <w:r w:rsidRPr="00F20375">
        <w:rPr>
          <w:rFonts w:ascii="Arial" w:hAnsi="Arial" w:cs="Arial"/>
          <w:lang w:val="en-GB"/>
        </w:rPr>
        <w:t xml:space="preserve">Pregnant or nursing (lactating) women, where pregnancy is defined as the state of a woman after conception and until the termination of gestation, confirmed by a positive </w:t>
      </w:r>
      <w:bookmarkStart w:id="15" w:name="_Hlk485733625"/>
      <w:r w:rsidRPr="00F20375">
        <w:rPr>
          <w:rFonts w:ascii="Arial" w:hAnsi="Arial" w:cs="Arial"/>
          <w:lang w:val="en-GB"/>
        </w:rPr>
        <w:t>human chorionic gonadotropin (hCG</w:t>
      </w:r>
      <w:bookmarkEnd w:id="15"/>
      <w:r w:rsidRPr="00F20375">
        <w:rPr>
          <w:rFonts w:ascii="Arial" w:hAnsi="Arial" w:cs="Arial"/>
          <w:lang w:val="en-GB"/>
        </w:rPr>
        <w:t>) laboratory test</w:t>
      </w:r>
    </w:p>
    <w:p w14:paraId="1ED82881" w14:textId="77777777" w:rsidR="00F34DD2" w:rsidRPr="00E35C7C" w:rsidRDefault="00F34DD2" w:rsidP="001E3745">
      <w:pPr>
        <w:numPr>
          <w:ilvl w:val="0"/>
          <w:numId w:val="3"/>
        </w:numPr>
        <w:spacing w:after="0" w:line="480" w:lineRule="auto"/>
        <w:rPr>
          <w:rFonts w:ascii="Arial" w:hAnsi="Arial" w:cs="Arial"/>
          <w:lang w:val="en-GB"/>
        </w:rPr>
      </w:pPr>
      <w:r w:rsidRPr="00F20375">
        <w:rPr>
          <w:rFonts w:ascii="Arial" w:hAnsi="Arial" w:cs="Arial"/>
          <w:lang w:val="en-GB"/>
        </w:rPr>
        <w:t>Women of childbearing potential</w:t>
      </w:r>
      <w:r>
        <w:rPr>
          <w:rFonts w:ascii="Arial" w:hAnsi="Arial" w:cs="Arial"/>
          <w:lang w:val="en-GB"/>
        </w:rPr>
        <w:t>,</w:t>
      </w:r>
      <w:r w:rsidRPr="00F20375">
        <w:rPr>
          <w:rFonts w:ascii="Arial" w:hAnsi="Arial" w:cs="Arial"/>
          <w:lang w:val="en-GB"/>
        </w:rPr>
        <w:t xml:space="preserve"> defined as all women </w:t>
      </w:r>
      <w:r>
        <w:rPr>
          <w:rFonts w:ascii="Arial" w:hAnsi="Arial" w:cs="Arial"/>
          <w:lang w:val="en-GB"/>
        </w:rPr>
        <w:t xml:space="preserve">who are </w:t>
      </w:r>
      <w:r w:rsidRPr="00F20375">
        <w:rPr>
          <w:rFonts w:ascii="Arial" w:hAnsi="Arial" w:cs="Arial"/>
          <w:lang w:val="en-GB"/>
        </w:rPr>
        <w:t>physiologically capable of becoming pregnant, unless they are using effective contraception methods while being on the study treatment</w:t>
      </w:r>
    </w:p>
    <w:p w14:paraId="6596AE75" w14:textId="77777777" w:rsidR="00F34DD2" w:rsidRPr="00A22412" w:rsidRDefault="00F34DD2" w:rsidP="001E3745">
      <w:pPr>
        <w:spacing w:after="0" w:line="480" w:lineRule="auto"/>
        <w:rPr>
          <w:rFonts w:ascii="Arial" w:hAnsi="Arial" w:cs="Arial"/>
          <w:b/>
          <w:lang w:val="en-GB"/>
        </w:rPr>
      </w:pPr>
      <w:r>
        <w:rPr>
          <w:rFonts w:ascii="Arial" w:hAnsi="Arial" w:cs="Arial"/>
          <w:b/>
          <w:lang w:val="en-GB"/>
        </w:rPr>
        <w:t xml:space="preserve">S1.3. </w:t>
      </w:r>
      <w:r w:rsidRPr="00A22412">
        <w:rPr>
          <w:rFonts w:ascii="Arial" w:hAnsi="Arial" w:cs="Arial"/>
          <w:b/>
          <w:lang w:val="en-GB"/>
        </w:rPr>
        <w:t>Major protocol deviations</w:t>
      </w:r>
    </w:p>
    <w:p w14:paraId="60AFB749" w14:textId="77777777" w:rsidR="00F34DD2" w:rsidRPr="001A6367" w:rsidRDefault="00F34DD2" w:rsidP="001E3745">
      <w:pPr>
        <w:autoSpaceDE w:val="0"/>
        <w:autoSpaceDN w:val="0"/>
        <w:adjustRightInd w:val="0"/>
        <w:spacing w:after="0" w:line="480" w:lineRule="auto"/>
        <w:rPr>
          <w:rFonts w:ascii="Arial" w:eastAsia="TimesNewRoman" w:hAnsi="Arial" w:cs="Arial"/>
          <w:color w:val="000000"/>
          <w:lang w:eastAsia="de-DE"/>
        </w:rPr>
      </w:pPr>
      <w:r>
        <w:rPr>
          <w:rFonts w:ascii="Arial" w:eastAsia="TimesNewRoman" w:hAnsi="Arial" w:cs="Arial"/>
          <w:color w:val="000000"/>
          <w:lang w:eastAsia="de-DE"/>
        </w:rPr>
        <w:t xml:space="preserve">Major </w:t>
      </w:r>
      <w:bookmarkStart w:id="16" w:name="_Hlk485733660"/>
      <w:r>
        <w:rPr>
          <w:rFonts w:ascii="Arial" w:eastAsia="TimesNewRoman" w:hAnsi="Arial" w:cs="Arial"/>
          <w:color w:val="000000"/>
          <w:lang w:eastAsia="de-DE"/>
        </w:rPr>
        <w:t>protocol deviation (PD</w:t>
      </w:r>
      <w:bookmarkEnd w:id="16"/>
      <w:r>
        <w:rPr>
          <w:rFonts w:ascii="Arial" w:eastAsia="TimesNewRoman" w:hAnsi="Arial" w:cs="Arial"/>
          <w:color w:val="000000"/>
          <w:lang w:eastAsia="de-DE"/>
        </w:rPr>
        <w:t>) is defined as a</w:t>
      </w:r>
      <w:r w:rsidRPr="00B0317D">
        <w:rPr>
          <w:rFonts w:ascii="Arial" w:eastAsia="TimesNewRoman" w:hAnsi="Arial" w:cs="Arial"/>
          <w:color w:val="000000"/>
          <w:lang w:eastAsia="de-DE"/>
        </w:rPr>
        <w:t xml:space="preserve">ny other </w:t>
      </w:r>
      <w:r>
        <w:rPr>
          <w:rFonts w:ascii="Arial" w:eastAsia="TimesNewRoman" w:hAnsi="Arial" w:cs="Arial"/>
          <w:color w:val="000000"/>
          <w:lang w:eastAsia="de-DE"/>
        </w:rPr>
        <w:t>PD</w:t>
      </w:r>
      <w:r w:rsidRPr="00B0317D">
        <w:rPr>
          <w:rFonts w:ascii="Arial" w:eastAsia="TimesNewRoman" w:hAnsi="Arial" w:cs="Arial"/>
          <w:color w:val="000000"/>
          <w:lang w:eastAsia="de-DE"/>
        </w:rPr>
        <w:t xml:space="preserve"> that resulted in a significant risk to the patient’s safety.</w:t>
      </w:r>
      <w:r>
        <w:rPr>
          <w:rFonts w:ascii="Arial" w:eastAsia="TimesNewRoman" w:hAnsi="Arial" w:cs="Arial"/>
          <w:color w:val="000000"/>
          <w:lang w:eastAsia="de-DE"/>
        </w:rPr>
        <w:t xml:space="preserve"> </w:t>
      </w:r>
      <w:r w:rsidRPr="001A6367">
        <w:rPr>
          <w:rFonts w:ascii="Arial" w:eastAsia="TimesNewRoman" w:hAnsi="Arial" w:cs="Arial"/>
          <w:color w:val="000000"/>
          <w:lang w:eastAsia="de-DE"/>
        </w:rPr>
        <w:t xml:space="preserve">The reportable </w:t>
      </w:r>
      <w:r>
        <w:rPr>
          <w:rFonts w:ascii="Arial" w:eastAsia="TimesNewRoman" w:hAnsi="Arial" w:cs="Arial"/>
          <w:color w:val="000000"/>
          <w:lang w:eastAsia="de-DE"/>
        </w:rPr>
        <w:t>PDs</w:t>
      </w:r>
      <w:r w:rsidRPr="001A6367">
        <w:rPr>
          <w:rFonts w:ascii="Arial" w:eastAsia="TimesNewRoman" w:hAnsi="Arial" w:cs="Arial"/>
          <w:color w:val="000000"/>
          <w:lang w:eastAsia="de-DE"/>
        </w:rPr>
        <w:t xml:space="preserve"> were grouped into </w:t>
      </w:r>
      <w:r>
        <w:rPr>
          <w:rFonts w:ascii="Arial" w:eastAsia="TimesNewRoman" w:hAnsi="Arial" w:cs="Arial"/>
          <w:color w:val="000000"/>
          <w:lang w:eastAsia="de-DE"/>
        </w:rPr>
        <w:t>four</w:t>
      </w:r>
      <w:r w:rsidRPr="001A6367">
        <w:rPr>
          <w:rFonts w:ascii="Arial" w:eastAsia="TimesNewRoman" w:hAnsi="Arial" w:cs="Arial"/>
          <w:color w:val="000000"/>
          <w:lang w:eastAsia="de-DE"/>
        </w:rPr>
        <w:t xml:space="preserve"> different categories:</w:t>
      </w:r>
    </w:p>
    <w:p w14:paraId="5017643A" w14:textId="77777777" w:rsidR="00F34DD2" w:rsidRPr="001A6367" w:rsidRDefault="00F34DD2" w:rsidP="001E3745">
      <w:pPr>
        <w:pStyle w:val="ListParagraph"/>
        <w:numPr>
          <w:ilvl w:val="0"/>
          <w:numId w:val="5"/>
        </w:numPr>
        <w:autoSpaceDE w:val="0"/>
        <w:autoSpaceDN w:val="0"/>
        <w:adjustRightInd w:val="0"/>
        <w:spacing w:after="0" w:line="480" w:lineRule="auto"/>
        <w:rPr>
          <w:rFonts w:ascii="Arial" w:eastAsia="TimesNewRoman" w:hAnsi="Arial" w:cs="Arial"/>
          <w:color w:val="000000"/>
          <w:lang w:eastAsia="de-DE"/>
        </w:rPr>
      </w:pPr>
      <w:r w:rsidRPr="001A6367">
        <w:rPr>
          <w:rFonts w:ascii="Arial" w:eastAsia="TimesNewRoman" w:hAnsi="Arial" w:cs="Arial"/>
          <w:color w:val="000000"/>
          <w:lang w:eastAsia="de-DE"/>
        </w:rPr>
        <w:t>Patients who entered the study (thus included in the safety population) even though they did not satisfy the entry criteria (mainly patients</w:t>
      </w:r>
      <w:r w:rsidRPr="00B0317D">
        <w:rPr>
          <w:rFonts w:ascii="Arial" w:eastAsia="TimesNewRoman" w:hAnsi="Arial" w:cs="Arial"/>
          <w:color w:val="000000"/>
          <w:lang w:eastAsia="de-DE"/>
        </w:rPr>
        <w:t xml:space="preserve"> </w:t>
      </w:r>
      <w:r w:rsidRPr="001A6367">
        <w:rPr>
          <w:rFonts w:ascii="Arial" w:eastAsia="TimesNewRoman" w:hAnsi="Arial" w:cs="Arial"/>
          <w:color w:val="000000"/>
          <w:lang w:eastAsia="de-DE"/>
        </w:rPr>
        <w:t>who did not meet the inclusion c</w:t>
      </w:r>
      <w:r>
        <w:rPr>
          <w:rFonts w:ascii="Arial" w:eastAsia="TimesNewRoman" w:hAnsi="Arial" w:cs="Arial"/>
          <w:color w:val="000000"/>
          <w:lang w:eastAsia="de-DE"/>
        </w:rPr>
        <w:t>riterion number 5 or number 6).</w:t>
      </w:r>
    </w:p>
    <w:p w14:paraId="2C6CF6D0" w14:textId="0BEEAFD9" w:rsidR="00F34DD2" w:rsidRDefault="00F34DD2" w:rsidP="001E3745">
      <w:pPr>
        <w:pStyle w:val="ListParagraph"/>
        <w:numPr>
          <w:ilvl w:val="0"/>
          <w:numId w:val="5"/>
        </w:numPr>
        <w:autoSpaceDE w:val="0"/>
        <w:autoSpaceDN w:val="0"/>
        <w:adjustRightInd w:val="0"/>
        <w:spacing w:after="0" w:line="480" w:lineRule="auto"/>
        <w:rPr>
          <w:rFonts w:ascii="Arial" w:eastAsia="TimesNewRoman" w:hAnsi="Arial" w:cs="Arial"/>
          <w:color w:val="000000"/>
          <w:lang w:eastAsia="de-DE"/>
        </w:rPr>
      </w:pPr>
      <w:r w:rsidRPr="001A6367">
        <w:rPr>
          <w:rFonts w:ascii="Arial" w:eastAsia="TimesNewRoman" w:hAnsi="Arial" w:cs="Arial"/>
          <w:color w:val="000000"/>
          <w:lang w:eastAsia="de-DE"/>
        </w:rPr>
        <w:lastRenderedPageBreak/>
        <w:t>Patients who developed withdrawal criteria during the study but were not withdrawn (moderate or severe COPD exacerbations, use of</w:t>
      </w:r>
      <w:r w:rsidRPr="00B0317D">
        <w:rPr>
          <w:rFonts w:ascii="Arial" w:eastAsia="TimesNewRoman" w:hAnsi="Arial" w:cs="Arial"/>
          <w:color w:val="000000"/>
          <w:lang w:eastAsia="de-DE"/>
        </w:rPr>
        <w:t xml:space="preserve"> </w:t>
      </w:r>
      <w:r w:rsidRPr="001A6367">
        <w:rPr>
          <w:rFonts w:ascii="Arial" w:eastAsia="TimesNewRoman" w:hAnsi="Arial" w:cs="Arial"/>
          <w:color w:val="000000"/>
          <w:lang w:eastAsia="de-DE"/>
        </w:rPr>
        <w:t xml:space="preserve">other COPD treatment different from the study medication assigned at Visit 2 </w:t>
      </w:r>
      <w:r w:rsidR="004252DE">
        <w:rPr>
          <w:rFonts w:ascii="Arial" w:hAnsi="Arial" w:cs="Arial"/>
          <w:lang w:val="en-GB"/>
        </w:rPr>
        <w:t>(Day -7)</w:t>
      </w:r>
      <w:r w:rsidR="004252DE">
        <w:rPr>
          <w:rFonts w:ascii="Arial" w:hAnsi="Arial" w:cs="Arial"/>
          <w:lang w:val="en-GB"/>
        </w:rPr>
        <w:t xml:space="preserve"> </w:t>
      </w:r>
      <w:r w:rsidRPr="001A6367">
        <w:rPr>
          <w:rFonts w:ascii="Arial" w:eastAsia="TimesNewRoman" w:hAnsi="Arial" w:cs="Arial"/>
          <w:color w:val="000000"/>
          <w:lang w:eastAsia="de-DE"/>
        </w:rPr>
        <w:t>or interruption of investigational treatment for more than</w:t>
      </w:r>
      <w:r w:rsidRPr="00B0317D">
        <w:rPr>
          <w:rFonts w:ascii="Arial" w:eastAsia="TimesNewRoman" w:hAnsi="Arial" w:cs="Arial"/>
          <w:color w:val="000000"/>
          <w:lang w:eastAsia="de-DE"/>
        </w:rPr>
        <w:t xml:space="preserve"> </w:t>
      </w:r>
      <w:r>
        <w:rPr>
          <w:rFonts w:ascii="Arial" w:eastAsia="TimesNewRoman" w:hAnsi="Arial" w:cs="Arial"/>
          <w:color w:val="000000"/>
          <w:lang w:eastAsia="de-DE"/>
        </w:rPr>
        <w:t>5</w:t>
      </w:r>
      <w:r w:rsidRPr="001A6367">
        <w:rPr>
          <w:rFonts w:ascii="Arial" w:eastAsia="TimesNewRoman" w:hAnsi="Arial" w:cs="Arial"/>
          <w:color w:val="000000"/>
          <w:lang w:eastAsia="de-DE"/>
        </w:rPr>
        <w:t xml:space="preserve"> consecutive days)</w:t>
      </w:r>
      <w:r w:rsidRPr="00B0317D">
        <w:rPr>
          <w:rFonts w:ascii="Arial" w:eastAsia="TimesNewRoman" w:hAnsi="Arial" w:cs="Arial"/>
          <w:color w:val="000000"/>
          <w:lang w:eastAsia="de-DE"/>
        </w:rPr>
        <w:t xml:space="preserve"> </w:t>
      </w:r>
    </w:p>
    <w:p w14:paraId="6B45590F" w14:textId="77777777" w:rsidR="00F34DD2" w:rsidRPr="001A6367" w:rsidRDefault="00F34DD2" w:rsidP="001E3745">
      <w:pPr>
        <w:pStyle w:val="ListParagraph"/>
        <w:numPr>
          <w:ilvl w:val="0"/>
          <w:numId w:val="5"/>
        </w:numPr>
        <w:autoSpaceDE w:val="0"/>
        <w:autoSpaceDN w:val="0"/>
        <w:adjustRightInd w:val="0"/>
        <w:spacing w:after="0" w:line="480" w:lineRule="auto"/>
        <w:rPr>
          <w:rFonts w:ascii="Arial" w:eastAsia="TimesNewRoman" w:hAnsi="Arial" w:cs="Arial"/>
          <w:color w:val="000000"/>
          <w:lang w:eastAsia="de-DE"/>
        </w:rPr>
      </w:pPr>
      <w:r w:rsidRPr="001A6367">
        <w:rPr>
          <w:rFonts w:ascii="Arial" w:eastAsia="TimesNewRoman" w:hAnsi="Arial" w:cs="Arial"/>
          <w:color w:val="000000"/>
          <w:lang w:eastAsia="de-DE"/>
        </w:rPr>
        <w:t>Patients who received the wrong treatment or incorrect dose</w:t>
      </w:r>
    </w:p>
    <w:p w14:paraId="5E7689EF" w14:textId="77777777" w:rsidR="00F34DD2" w:rsidRDefault="00F34DD2" w:rsidP="001E3745">
      <w:pPr>
        <w:pStyle w:val="ListParagraph"/>
        <w:numPr>
          <w:ilvl w:val="0"/>
          <w:numId w:val="5"/>
        </w:numPr>
        <w:autoSpaceDE w:val="0"/>
        <w:autoSpaceDN w:val="0"/>
        <w:adjustRightInd w:val="0"/>
        <w:spacing w:after="0" w:line="480" w:lineRule="auto"/>
        <w:rPr>
          <w:rFonts w:ascii="Arial" w:eastAsia="TimesNewRoman" w:hAnsi="Arial" w:cs="Arial"/>
          <w:color w:val="000000"/>
          <w:lang w:eastAsia="de-DE"/>
        </w:rPr>
      </w:pPr>
      <w:r w:rsidRPr="001A6367">
        <w:rPr>
          <w:rFonts w:ascii="Arial" w:eastAsia="TimesNewRoman" w:hAnsi="Arial" w:cs="Arial"/>
          <w:color w:val="000000"/>
          <w:lang w:eastAsia="de-DE"/>
        </w:rPr>
        <w:t>Patients who received an excluded concomitant treatment (mainly parenteral or oral corticosteroids)</w:t>
      </w:r>
    </w:p>
    <w:p w14:paraId="04968ED6" w14:textId="77777777" w:rsidR="00F34DD2" w:rsidRPr="00D94365" w:rsidRDefault="00F34DD2" w:rsidP="00D94365">
      <w:pPr>
        <w:spacing w:after="0" w:line="480" w:lineRule="auto"/>
        <w:rPr>
          <w:rFonts w:ascii="Arial" w:hAnsi="Arial"/>
          <w:b/>
          <w:lang w:val="en-GB"/>
        </w:rPr>
      </w:pPr>
      <w:r>
        <w:rPr>
          <w:rFonts w:ascii="Arial" w:hAnsi="Arial" w:cs="Arial"/>
          <w:b/>
          <w:lang w:val="en-GB"/>
        </w:rPr>
        <w:t xml:space="preserve">S1.4. </w:t>
      </w:r>
      <w:r w:rsidRPr="00D94365">
        <w:rPr>
          <w:rFonts w:ascii="Arial" w:hAnsi="Arial"/>
          <w:b/>
          <w:lang w:val="en-GB"/>
        </w:rPr>
        <w:t>Assessments</w:t>
      </w:r>
    </w:p>
    <w:p w14:paraId="1EF268A2" w14:textId="2BF9CFCA" w:rsidR="00F34DD2" w:rsidRPr="00804A1C" w:rsidRDefault="00F34DD2" w:rsidP="00804A1C">
      <w:pPr>
        <w:widowControl w:val="0"/>
        <w:spacing w:after="0" w:line="480" w:lineRule="auto"/>
        <w:rPr>
          <w:rFonts w:ascii="Arial" w:hAnsi="Arial" w:cs="Arial"/>
          <w:lang w:val="en-GB"/>
        </w:rPr>
      </w:pPr>
      <w:bookmarkStart w:id="17" w:name="_Hlk485733829"/>
      <w:r>
        <w:rPr>
          <w:rFonts w:ascii="Arial" w:hAnsi="Arial" w:cs="Arial"/>
          <w:lang w:val="en-GB"/>
        </w:rPr>
        <w:t>The p</w:t>
      </w:r>
      <w:r w:rsidRPr="00804A1C">
        <w:rPr>
          <w:rFonts w:ascii="Arial" w:hAnsi="Arial" w:cs="Arial"/>
          <w:lang w:val="en-GB"/>
        </w:rPr>
        <w:t xml:space="preserve">rimary and secondary assessments were performed at baseline and </w:t>
      </w:r>
      <w:r>
        <w:rPr>
          <w:rFonts w:ascii="Arial" w:hAnsi="Arial" w:cs="Arial"/>
          <w:lang w:val="en-GB"/>
        </w:rPr>
        <w:t>W</w:t>
      </w:r>
      <w:r w:rsidRPr="00804A1C">
        <w:rPr>
          <w:rFonts w:ascii="Arial" w:hAnsi="Arial" w:cs="Arial"/>
          <w:lang w:val="en-GB"/>
        </w:rPr>
        <w:t xml:space="preserve">eek 12: </w:t>
      </w:r>
    </w:p>
    <w:bookmarkEnd w:id="17"/>
    <w:p w14:paraId="54A4CDDE" w14:textId="5F72036E" w:rsidR="00F34DD2" w:rsidRPr="001A6367" w:rsidRDefault="00F34DD2" w:rsidP="00D94365">
      <w:pPr>
        <w:pStyle w:val="ListParagraph"/>
        <w:widowControl w:val="0"/>
        <w:numPr>
          <w:ilvl w:val="0"/>
          <w:numId w:val="7"/>
        </w:numPr>
        <w:spacing w:after="0" w:line="480" w:lineRule="auto"/>
        <w:ind w:left="810"/>
        <w:rPr>
          <w:rFonts w:ascii="Arial" w:hAnsi="Arial" w:cs="Arial"/>
          <w:lang w:val="en-GB"/>
        </w:rPr>
      </w:pPr>
      <w:r w:rsidRPr="001A6367">
        <w:rPr>
          <w:rFonts w:ascii="Arial" w:hAnsi="Arial" w:cs="Arial"/>
          <w:lang w:val="en-GB"/>
        </w:rPr>
        <w:t>Trough FEV</w:t>
      </w:r>
      <w:r w:rsidRPr="001A6367">
        <w:rPr>
          <w:rFonts w:ascii="Arial" w:hAnsi="Arial" w:cs="Arial"/>
          <w:vertAlign w:val="subscript"/>
          <w:lang w:val="en-GB"/>
        </w:rPr>
        <w:t>1</w:t>
      </w:r>
      <w:r w:rsidRPr="001A6367">
        <w:rPr>
          <w:rFonts w:ascii="Arial" w:hAnsi="Arial" w:cs="Arial"/>
          <w:lang w:val="en-GB"/>
        </w:rPr>
        <w:t xml:space="preserve"> was measured after the evening dose or the morning dose, depending on treatment. </w:t>
      </w:r>
    </w:p>
    <w:p w14:paraId="517A8E45" w14:textId="2C855F9B" w:rsidR="00F34DD2" w:rsidRPr="001A6367" w:rsidRDefault="00F34DD2" w:rsidP="00D94365">
      <w:pPr>
        <w:pStyle w:val="ListParagraph"/>
        <w:widowControl w:val="0"/>
        <w:numPr>
          <w:ilvl w:val="0"/>
          <w:numId w:val="7"/>
        </w:numPr>
        <w:spacing w:after="0" w:line="480" w:lineRule="auto"/>
        <w:ind w:left="810"/>
        <w:rPr>
          <w:rFonts w:ascii="Arial" w:hAnsi="Arial" w:cs="Arial"/>
          <w:lang w:val="en-GB"/>
        </w:rPr>
      </w:pPr>
      <w:bookmarkStart w:id="18" w:name="_Hlk485734989"/>
      <w:r w:rsidRPr="001A6367">
        <w:rPr>
          <w:rFonts w:ascii="Arial" w:hAnsi="Arial" w:cs="Arial"/>
          <w:lang w:val="en-GB"/>
        </w:rPr>
        <w:t>Transition dyspnoea index (TDI</w:t>
      </w:r>
      <w:bookmarkEnd w:id="18"/>
      <w:r w:rsidRPr="001A6367">
        <w:rPr>
          <w:rFonts w:ascii="Arial" w:hAnsi="Arial" w:cs="Arial"/>
          <w:lang w:val="en-GB"/>
        </w:rPr>
        <w:t>) provides a measure of dyspnoea on a 17-unit scale ranging from +9 to −9; higher TDI scores indicate a greater improvement in dyspnoea.</w:t>
      </w:r>
      <w:r w:rsidRPr="001A6367">
        <w:rPr>
          <w:rFonts w:ascii="Arial" w:hAnsi="Arial" w:cs="Arial"/>
          <w:noProof/>
          <w:lang w:val="en-GB"/>
        </w:rPr>
        <w:t>[1]</w:t>
      </w:r>
      <w:r w:rsidRPr="001A6367">
        <w:rPr>
          <w:rFonts w:ascii="Arial" w:hAnsi="Arial" w:cs="Arial"/>
          <w:lang w:val="en-GB"/>
        </w:rPr>
        <w:t xml:space="preserve"> </w:t>
      </w:r>
    </w:p>
    <w:p w14:paraId="65B0D7FD" w14:textId="696A3272" w:rsidR="00F34DD2" w:rsidRPr="001A6367" w:rsidRDefault="00F34DD2" w:rsidP="00D94365">
      <w:pPr>
        <w:pStyle w:val="ListParagraph"/>
        <w:widowControl w:val="0"/>
        <w:numPr>
          <w:ilvl w:val="0"/>
          <w:numId w:val="7"/>
        </w:numPr>
        <w:spacing w:after="0" w:line="480" w:lineRule="auto"/>
        <w:ind w:left="810"/>
        <w:rPr>
          <w:rFonts w:ascii="Arial" w:hAnsi="Arial" w:cs="Arial"/>
          <w:lang w:val="en-GB"/>
        </w:rPr>
      </w:pPr>
      <w:bookmarkStart w:id="19" w:name="_Hlk485735075"/>
      <w:r w:rsidRPr="001A6367">
        <w:rPr>
          <w:rFonts w:ascii="Arial" w:hAnsi="Arial" w:cs="Arial"/>
          <w:lang w:val="en-GB"/>
        </w:rPr>
        <w:t xml:space="preserve">COPD </w:t>
      </w:r>
      <w:r>
        <w:rPr>
          <w:rFonts w:ascii="Arial" w:hAnsi="Arial" w:cs="Arial"/>
          <w:lang w:val="en-GB"/>
        </w:rPr>
        <w:t>A</w:t>
      </w:r>
      <w:r w:rsidRPr="001A6367">
        <w:rPr>
          <w:rFonts w:ascii="Arial" w:hAnsi="Arial" w:cs="Arial"/>
          <w:lang w:val="en-GB"/>
        </w:rPr>
        <w:t xml:space="preserve">ssessment </w:t>
      </w:r>
      <w:r>
        <w:rPr>
          <w:rFonts w:ascii="Arial" w:hAnsi="Arial" w:cs="Arial"/>
          <w:lang w:val="en-GB"/>
        </w:rPr>
        <w:t>T</w:t>
      </w:r>
      <w:r w:rsidRPr="001A6367">
        <w:rPr>
          <w:rFonts w:ascii="Arial" w:hAnsi="Arial" w:cs="Arial"/>
          <w:lang w:val="en-GB"/>
        </w:rPr>
        <w:t>est (CAT</w:t>
      </w:r>
      <w:bookmarkEnd w:id="19"/>
      <w:r w:rsidRPr="001A6367">
        <w:rPr>
          <w:rFonts w:ascii="Arial" w:hAnsi="Arial" w:cs="Arial"/>
          <w:lang w:val="en-GB"/>
        </w:rPr>
        <w:t>) is an 8-item, self-administered, validated tool used to measure health status impairment in patients with COPD; the CAT score ranges between 0</w:t>
      </w:r>
      <w:r>
        <w:rPr>
          <w:rFonts w:ascii="Arial" w:hAnsi="Arial" w:cs="Arial"/>
          <w:lang w:val="en-GB"/>
        </w:rPr>
        <w:t xml:space="preserve"> and </w:t>
      </w:r>
      <w:r w:rsidRPr="001A6367">
        <w:rPr>
          <w:rFonts w:ascii="Arial" w:hAnsi="Arial" w:cs="Arial"/>
          <w:lang w:val="en-GB"/>
        </w:rPr>
        <w:t>40, and a score of ≥10 is an indicator of significantly impaired health status.</w:t>
      </w:r>
      <w:r w:rsidRPr="001A6367">
        <w:rPr>
          <w:rFonts w:ascii="Arial" w:hAnsi="Arial" w:cs="Arial"/>
          <w:noProof/>
          <w:lang w:val="en-GB"/>
        </w:rPr>
        <w:t>[2]</w:t>
      </w:r>
    </w:p>
    <w:p w14:paraId="4C5AE677" w14:textId="61CA45C6" w:rsidR="00F34DD2" w:rsidRPr="001A6367" w:rsidRDefault="00F34DD2" w:rsidP="00D94365">
      <w:pPr>
        <w:pStyle w:val="ListParagraph"/>
        <w:widowControl w:val="0"/>
        <w:numPr>
          <w:ilvl w:val="0"/>
          <w:numId w:val="7"/>
        </w:numPr>
        <w:spacing w:after="0" w:line="480" w:lineRule="auto"/>
        <w:ind w:left="810"/>
        <w:rPr>
          <w:rFonts w:ascii="Arial" w:hAnsi="Arial" w:cs="Arial"/>
          <w:lang w:val="en-GB"/>
        </w:rPr>
      </w:pPr>
      <w:bookmarkStart w:id="20" w:name="_Hlk485735283"/>
      <w:r w:rsidRPr="001A6367">
        <w:rPr>
          <w:rFonts w:ascii="Arial" w:hAnsi="Arial" w:cs="Arial"/>
          <w:lang w:val="en-GB"/>
        </w:rPr>
        <w:t xml:space="preserve">COPD </w:t>
      </w:r>
      <w:r>
        <w:rPr>
          <w:rFonts w:ascii="Arial" w:hAnsi="Arial" w:cs="Arial"/>
          <w:lang w:val="en-GB"/>
        </w:rPr>
        <w:t>C</w:t>
      </w:r>
      <w:r w:rsidRPr="001A6367">
        <w:rPr>
          <w:rFonts w:ascii="Arial" w:hAnsi="Arial" w:cs="Arial"/>
          <w:lang w:val="en-GB"/>
        </w:rPr>
        <w:t xml:space="preserve">linical </w:t>
      </w:r>
      <w:r>
        <w:rPr>
          <w:rFonts w:ascii="Arial" w:hAnsi="Arial" w:cs="Arial"/>
          <w:lang w:val="en-GB"/>
        </w:rPr>
        <w:t>Q</w:t>
      </w:r>
      <w:r w:rsidRPr="001A6367">
        <w:rPr>
          <w:rFonts w:ascii="Arial" w:hAnsi="Arial" w:cs="Arial"/>
          <w:lang w:val="en-GB"/>
        </w:rPr>
        <w:t>uestionnaire (CCQ</w:t>
      </w:r>
      <w:bookmarkEnd w:id="20"/>
      <w:r w:rsidRPr="001A6367">
        <w:rPr>
          <w:rFonts w:ascii="Arial" w:hAnsi="Arial" w:cs="Arial"/>
          <w:lang w:val="en-GB"/>
        </w:rPr>
        <w:t>) is a self-administered, 10-item questionnaire designed to measure COPD severity in clinical practice; lower CCQ scores represent greater improvement in health status.</w:t>
      </w:r>
      <w:r w:rsidRPr="001A6367">
        <w:rPr>
          <w:rFonts w:ascii="Arial" w:hAnsi="Arial" w:cs="Arial"/>
          <w:noProof/>
          <w:lang w:val="en-GB"/>
        </w:rPr>
        <w:t>[3]</w:t>
      </w:r>
      <w:r w:rsidRPr="001A6367">
        <w:rPr>
          <w:rFonts w:ascii="Arial" w:hAnsi="Arial" w:cs="Arial"/>
          <w:lang w:val="en-GB"/>
        </w:rPr>
        <w:t xml:space="preserve"> </w:t>
      </w:r>
    </w:p>
    <w:p w14:paraId="5648501A" w14:textId="27E3B4F7" w:rsidR="00F34DD2" w:rsidRPr="001A6367" w:rsidRDefault="00F34DD2" w:rsidP="00D94365">
      <w:pPr>
        <w:pStyle w:val="ListParagraph"/>
        <w:widowControl w:val="0"/>
        <w:numPr>
          <w:ilvl w:val="0"/>
          <w:numId w:val="7"/>
        </w:numPr>
        <w:spacing w:after="0" w:line="480" w:lineRule="auto"/>
        <w:ind w:left="810"/>
        <w:rPr>
          <w:rFonts w:ascii="Arial" w:hAnsi="Arial" w:cs="Arial"/>
          <w:lang w:val="en-GB"/>
        </w:rPr>
      </w:pPr>
      <w:r w:rsidRPr="001A6367">
        <w:rPr>
          <w:rFonts w:ascii="Arial" w:hAnsi="Arial" w:cs="Arial"/>
          <w:lang w:val="en-GB"/>
        </w:rPr>
        <w:t>The mean number of puffs of rescue medication use and the percentage of days without rescue medication use were assessed using electronic patient diary (e</w:t>
      </w:r>
      <w:r>
        <w:rPr>
          <w:rFonts w:ascii="Arial" w:hAnsi="Arial" w:cs="Arial"/>
          <w:lang w:val="en-GB"/>
        </w:rPr>
        <w:t>-d</w:t>
      </w:r>
      <w:r w:rsidRPr="001A6367">
        <w:rPr>
          <w:rFonts w:ascii="Arial" w:hAnsi="Arial" w:cs="Arial"/>
          <w:lang w:val="en-GB"/>
        </w:rPr>
        <w:t>iary).</w:t>
      </w:r>
    </w:p>
    <w:p w14:paraId="64F45C0B" w14:textId="28EE0174" w:rsidR="00D94365" w:rsidRPr="00D94365" w:rsidRDefault="00D94365" w:rsidP="00D94365">
      <w:pPr>
        <w:widowControl w:val="0"/>
        <w:rPr>
          <w:rFonts w:ascii="Arial" w:hAnsi="Arial" w:cs="Arial"/>
          <w:sz w:val="20"/>
          <w:lang w:val="en-GB"/>
        </w:rPr>
      </w:pPr>
    </w:p>
    <w:p w14:paraId="7F5A90CF" w14:textId="77777777" w:rsidR="00D94365" w:rsidRDefault="00D94365">
      <w:pPr>
        <w:spacing w:after="160" w:line="259" w:lineRule="auto"/>
        <w:rPr>
          <w:rFonts w:ascii="Arial" w:hAnsi="Arial" w:cs="Arial"/>
          <w:b/>
          <w:lang w:val="en-GB"/>
        </w:rPr>
      </w:pPr>
    </w:p>
    <w:p w14:paraId="2B3F2A2B" w14:textId="77777777" w:rsidR="00D94365" w:rsidRDefault="00D94365">
      <w:pPr>
        <w:spacing w:after="160" w:line="259" w:lineRule="auto"/>
        <w:rPr>
          <w:rFonts w:ascii="Arial" w:hAnsi="Arial" w:cs="Arial"/>
          <w:b/>
          <w:lang w:val="en-GB"/>
        </w:rPr>
      </w:pPr>
      <w:r>
        <w:rPr>
          <w:rFonts w:ascii="Arial" w:hAnsi="Arial" w:cs="Arial"/>
          <w:b/>
          <w:lang w:val="en-GB"/>
        </w:rPr>
        <w:br w:type="page"/>
      </w:r>
    </w:p>
    <w:p w14:paraId="2F35CC5D" w14:textId="3B619FE0" w:rsidR="00F34DD2" w:rsidRPr="001A6367" w:rsidRDefault="00F34DD2" w:rsidP="001E3745">
      <w:pPr>
        <w:spacing w:after="0" w:line="480" w:lineRule="auto"/>
        <w:rPr>
          <w:rFonts w:ascii="Arial" w:hAnsi="Arial" w:cs="Arial"/>
          <w:b/>
          <w:lang w:val="en-GB"/>
        </w:rPr>
      </w:pPr>
      <w:r>
        <w:rPr>
          <w:rFonts w:ascii="Arial" w:hAnsi="Arial" w:cs="Arial"/>
          <w:b/>
          <w:lang w:val="en-GB"/>
        </w:rPr>
        <w:lastRenderedPageBreak/>
        <w:t xml:space="preserve">S2. </w:t>
      </w:r>
      <w:r w:rsidRPr="001A6367">
        <w:rPr>
          <w:rFonts w:ascii="Arial" w:hAnsi="Arial" w:cs="Arial"/>
          <w:b/>
          <w:lang w:val="en-GB"/>
        </w:rPr>
        <w:t>Disposition of patients in overall CRYSTAL study</w:t>
      </w:r>
    </w:p>
    <w:p w14:paraId="3DEDDA3C" w14:textId="77777777" w:rsidR="00F34DD2" w:rsidRDefault="00F34DD2" w:rsidP="001E3745">
      <w:pPr>
        <w:widowControl w:val="0"/>
        <w:rPr>
          <w:rFonts w:ascii="Arial" w:hAnsi="Arial" w:cs="Arial"/>
          <w:b/>
          <w:lang w:val="en-GB"/>
        </w:rPr>
      </w:pPr>
      <w:r w:rsidRPr="00F20375">
        <w:rPr>
          <w:rFonts w:ascii="Arial" w:hAnsi="Arial" w:cs="Arial"/>
          <w:b/>
          <w:lang w:val="en-GB"/>
        </w:rPr>
        <w:t>Figure S</w:t>
      </w:r>
      <w:r>
        <w:rPr>
          <w:rFonts w:ascii="Arial" w:hAnsi="Arial" w:cs="Arial"/>
          <w:b/>
          <w:lang w:val="en-GB"/>
        </w:rPr>
        <w:t>2</w:t>
      </w:r>
      <w:r w:rsidRPr="00F20375">
        <w:rPr>
          <w:rFonts w:ascii="Arial" w:hAnsi="Arial" w:cs="Arial"/>
          <w:b/>
          <w:lang w:val="en-GB"/>
        </w:rPr>
        <w:t xml:space="preserve">. Patient disposition </w:t>
      </w:r>
    </w:p>
    <w:p w14:paraId="68DA1074" w14:textId="339A081A" w:rsidR="00F34DD2" w:rsidRPr="00F20375" w:rsidRDefault="00326257" w:rsidP="00326257">
      <w:pPr>
        <w:widowControl w:val="0"/>
        <w:jc w:val="center"/>
        <w:rPr>
          <w:rFonts w:ascii="Arial" w:hAnsi="Arial" w:cs="Arial"/>
          <w:b/>
          <w:lang w:val="en-GB"/>
        </w:rPr>
      </w:pPr>
      <w:r>
        <w:rPr>
          <w:rFonts w:ascii="Arial" w:hAnsi="Arial" w:cs="Arial"/>
          <w:b/>
          <w:noProof/>
        </w:rPr>
        <w:drawing>
          <wp:inline distT="0" distB="0" distL="0" distR="0" wp14:anchorId="417759CD" wp14:editId="49993018">
            <wp:extent cx="6477000" cy="632308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1481" cy="6327459"/>
                    </a:xfrm>
                    <a:prstGeom prst="rect">
                      <a:avLst/>
                    </a:prstGeom>
                    <a:noFill/>
                  </pic:spPr>
                </pic:pic>
              </a:graphicData>
            </a:graphic>
          </wp:inline>
        </w:drawing>
      </w:r>
    </w:p>
    <w:p w14:paraId="10B6181F" w14:textId="77777777" w:rsidR="00F34DD2" w:rsidRPr="001A6367" w:rsidRDefault="00F34DD2" w:rsidP="001E3745">
      <w:pPr>
        <w:spacing w:after="0" w:line="240" w:lineRule="auto"/>
        <w:rPr>
          <w:rFonts w:ascii="Arial" w:hAnsi="Arial" w:cs="Arial"/>
          <w:sz w:val="20"/>
          <w:szCs w:val="20"/>
          <w:lang w:val="en-GB"/>
        </w:rPr>
      </w:pPr>
      <w:r w:rsidRPr="00FD6711">
        <w:rPr>
          <w:rFonts w:ascii="Arial" w:hAnsi="Arial" w:cs="Arial"/>
          <w:sz w:val="20"/>
          <w:szCs w:val="20"/>
          <w:lang w:val="en-GB"/>
        </w:rPr>
        <w:t xml:space="preserve">*Non-inferiority testing and patients had </w:t>
      </w:r>
      <w:r>
        <w:rPr>
          <w:rFonts w:ascii="Arial" w:hAnsi="Arial" w:cs="Arial"/>
          <w:sz w:val="20"/>
          <w:szCs w:val="20"/>
          <w:lang w:val="en-GB"/>
        </w:rPr>
        <w:t xml:space="preserve">an </w:t>
      </w:r>
      <w:r w:rsidRPr="00FD6711">
        <w:rPr>
          <w:rFonts w:ascii="Arial" w:hAnsi="Arial" w:cs="Arial"/>
          <w:sz w:val="20"/>
          <w:szCs w:val="20"/>
          <w:lang w:val="en-GB"/>
        </w:rPr>
        <w:t xml:space="preserve">mMRC </w:t>
      </w:r>
      <w:r>
        <w:rPr>
          <w:rFonts w:ascii="Arial" w:hAnsi="Arial" w:cs="Arial"/>
          <w:sz w:val="20"/>
          <w:szCs w:val="20"/>
          <w:lang w:val="en-GB"/>
        </w:rPr>
        <w:t xml:space="preserve">score </w:t>
      </w:r>
      <w:r w:rsidRPr="00FD6711">
        <w:rPr>
          <w:rFonts w:ascii="Arial" w:hAnsi="Arial" w:cs="Arial"/>
          <w:sz w:val="20"/>
          <w:szCs w:val="20"/>
          <w:lang w:val="en-GB"/>
        </w:rPr>
        <w:t>=</w:t>
      </w:r>
      <w:r>
        <w:rPr>
          <w:rFonts w:ascii="Arial" w:hAnsi="Arial" w:cs="Arial"/>
          <w:sz w:val="20"/>
          <w:szCs w:val="20"/>
          <w:lang w:val="en-GB"/>
        </w:rPr>
        <w:t xml:space="preserve"> </w:t>
      </w:r>
      <w:r w:rsidRPr="00FD6711">
        <w:rPr>
          <w:rFonts w:ascii="Arial" w:hAnsi="Arial" w:cs="Arial"/>
          <w:sz w:val="20"/>
          <w:szCs w:val="20"/>
          <w:lang w:val="en-GB"/>
        </w:rPr>
        <w:t xml:space="preserve">1; </w:t>
      </w:r>
      <w:r w:rsidRPr="00FD6711">
        <w:rPr>
          <w:rFonts w:ascii="Arial" w:hAnsi="Arial" w:cs="Arial"/>
          <w:sz w:val="20"/>
          <w:szCs w:val="20"/>
          <w:vertAlign w:val="superscript"/>
          <w:lang w:val="en-GB"/>
        </w:rPr>
        <w:t>#</w:t>
      </w:r>
      <w:r w:rsidRPr="001A6367">
        <w:rPr>
          <w:rFonts w:ascii="Arial" w:hAnsi="Arial" w:cs="Arial"/>
          <w:sz w:val="20"/>
          <w:szCs w:val="20"/>
          <w:lang w:val="en-GB"/>
        </w:rPr>
        <w:t>Patients had an mMRC score ≥2</w:t>
      </w:r>
    </w:p>
    <w:p w14:paraId="34C818E8" w14:textId="77777777" w:rsidR="00F34DD2" w:rsidRPr="001A6367" w:rsidRDefault="00F34DD2" w:rsidP="001E3745">
      <w:pPr>
        <w:spacing w:after="0" w:line="240" w:lineRule="auto"/>
        <w:rPr>
          <w:sz w:val="20"/>
          <w:szCs w:val="20"/>
        </w:rPr>
      </w:pPr>
      <w:r w:rsidRPr="001A6367">
        <w:rPr>
          <w:rFonts w:ascii="Arial" w:hAnsi="Arial" w:cs="Arial"/>
          <w:sz w:val="20"/>
          <w:szCs w:val="20"/>
        </w:rPr>
        <w:t xml:space="preserve">Baseline characteristics of patients were recorded during the 7 days </w:t>
      </w:r>
      <w:r>
        <w:rPr>
          <w:rFonts w:ascii="Arial" w:hAnsi="Arial" w:cs="Arial"/>
          <w:sz w:val="20"/>
          <w:szCs w:val="20"/>
        </w:rPr>
        <w:t>prior</w:t>
      </w:r>
      <w:r w:rsidRPr="001A6367">
        <w:rPr>
          <w:rFonts w:ascii="Arial" w:hAnsi="Arial" w:cs="Arial"/>
          <w:sz w:val="20"/>
          <w:szCs w:val="20"/>
        </w:rPr>
        <w:t xml:space="preserve"> randomisation.</w:t>
      </w:r>
    </w:p>
    <w:p w14:paraId="7B70463B" w14:textId="77777777" w:rsidR="00F34DD2" w:rsidRPr="001A6367" w:rsidRDefault="00F34DD2" w:rsidP="001E3745">
      <w:pPr>
        <w:spacing w:after="0" w:line="240" w:lineRule="auto"/>
        <w:rPr>
          <w:rFonts w:ascii="Arial" w:hAnsi="Arial" w:cs="Arial"/>
          <w:sz w:val="20"/>
          <w:szCs w:val="20"/>
          <w:lang w:val="en-GB"/>
        </w:rPr>
      </w:pPr>
      <w:r w:rsidRPr="00FD6711">
        <w:rPr>
          <w:rFonts w:ascii="Arial" w:hAnsi="Arial" w:cs="Arial"/>
          <w:sz w:val="20"/>
          <w:szCs w:val="20"/>
          <w:lang w:val="en-GB"/>
        </w:rPr>
        <w:t>GLY, glycopyrronium; IND/GLY, indacaterol/glycopyrronium; ITT, intention</w:t>
      </w:r>
      <w:r>
        <w:rPr>
          <w:rFonts w:ascii="Arial" w:hAnsi="Arial" w:cs="Arial"/>
          <w:sz w:val="20"/>
          <w:szCs w:val="20"/>
          <w:lang w:val="en-GB"/>
        </w:rPr>
        <w:t xml:space="preserve"> </w:t>
      </w:r>
      <w:r w:rsidRPr="00FD6711">
        <w:rPr>
          <w:rFonts w:ascii="Arial" w:hAnsi="Arial" w:cs="Arial"/>
          <w:sz w:val="20"/>
          <w:szCs w:val="20"/>
          <w:lang w:val="en-GB"/>
        </w:rPr>
        <w:t>to</w:t>
      </w:r>
      <w:r>
        <w:rPr>
          <w:rFonts w:ascii="Arial" w:hAnsi="Arial" w:cs="Arial"/>
          <w:sz w:val="20"/>
          <w:szCs w:val="20"/>
          <w:lang w:val="en-GB"/>
        </w:rPr>
        <w:t xml:space="preserve"> </w:t>
      </w:r>
      <w:r w:rsidRPr="00FD6711">
        <w:rPr>
          <w:rFonts w:ascii="Arial" w:hAnsi="Arial" w:cs="Arial"/>
          <w:sz w:val="20"/>
          <w:szCs w:val="20"/>
          <w:lang w:val="en-GB"/>
        </w:rPr>
        <w:t>treat; LABA, long-acting β</w:t>
      </w:r>
      <w:r w:rsidRPr="001A6367">
        <w:rPr>
          <w:rFonts w:ascii="Arial" w:hAnsi="Arial" w:cs="Arial"/>
          <w:sz w:val="20"/>
          <w:szCs w:val="20"/>
          <w:vertAlign w:val="subscript"/>
          <w:lang w:val="en-GB"/>
        </w:rPr>
        <w:t>2</w:t>
      </w:r>
      <w:r w:rsidRPr="001A6367">
        <w:rPr>
          <w:rFonts w:ascii="Arial" w:hAnsi="Arial" w:cs="Arial"/>
          <w:sz w:val="20"/>
          <w:szCs w:val="20"/>
          <w:lang w:val="en-GB"/>
        </w:rPr>
        <w:t>-agonist; LAMA, long-acting muscarinic antagonist; LABA+ICS, long-acting β</w:t>
      </w:r>
      <w:r w:rsidRPr="001A6367">
        <w:rPr>
          <w:rFonts w:ascii="Arial" w:hAnsi="Arial" w:cs="Arial"/>
          <w:sz w:val="20"/>
          <w:szCs w:val="20"/>
          <w:vertAlign w:val="subscript"/>
          <w:lang w:val="en-GB"/>
        </w:rPr>
        <w:t>2</w:t>
      </w:r>
      <w:r w:rsidRPr="001A6367">
        <w:rPr>
          <w:rFonts w:ascii="Arial" w:hAnsi="Arial" w:cs="Arial"/>
          <w:sz w:val="20"/>
          <w:szCs w:val="20"/>
          <w:lang w:val="en-GB"/>
        </w:rPr>
        <w:t>-agonist+inhaled corticosteroid; mMRC, modified Medical Research Council; SABA, short-acting β</w:t>
      </w:r>
      <w:r w:rsidRPr="001A6367">
        <w:rPr>
          <w:rFonts w:ascii="Arial" w:hAnsi="Arial" w:cs="Arial"/>
          <w:sz w:val="20"/>
          <w:szCs w:val="20"/>
          <w:vertAlign w:val="subscript"/>
          <w:lang w:val="en-GB"/>
        </w:rPr>
        <w:t>2</w:t>
      </w:r>
      <w:r w:rsidRPr="001A6367">
        <w:rPr>
          <w:rFonts w:ascii="Arial" w:hAnsi="Arial" w:cs="Arial"/>
          <w:sz w:val="20"/>
          <w:szCs w:val="20"/>
          <w:lang w:val="en-GB"/>
        </w:rPr>
        <w:t>-agonist; SAMA, short-acting muscarinic antagonist</w:t>
      </w:r>
    </w:p>
    <w:p w14:paraId="65A2411E" w14:textId="0633656E" w:rsidR="00AB28A5" w:rsidRDefault="00AB28A5">
      <w:pPr>
        <w:spacing w:after="160" w:line="259" w:lineRule="auto"/>
        <w:rPr>
          <w:rFonts w:ascii="Arial" w:hAnsi="Arial" w:cs="Arial"/>
          <w:b/>
          <w:lang w:val="en-GB"/>
        </w:rPr>
      </w:pPr>
      <w:r>
        <w:rPr>
          <w:rFonts w:ascii="Arial" w:hAnsi="Arial" w:cs="Arial"/>
          <w:b/>
          <w:lang w:val="en-GB"/>
        </w:rPr>
        <w:br w:type="page"/>
      </w:r>
    </w:p>
    <w:p w14:paraId="3A6E5D8B" w14:textId="2BF25406" w:rsidR="00F34DD2" w:rsidRPr="00F20375" w:rsidRDefault="00F34DD2" w:rsidP="001E3745">
      <w:pPr>
        <w:spacing w:after="0" w:line="480" w:lineRule="auto"/>
        <w:rPr>
          <w:rFonts w:ascii="Arial" w:hAnsi="Arial" w:cs="Arial"/>
          <w:b/>
          <w:lang w:val="en-GB"/>
        </w:rPr>
      </w:pPr>
      <w:r>
        <w:rPr>
          <w:rFonts w:ascii="Arial" w:hAnsi="Arial" w:cs="Arial"/>
          <w:b/>
          <w:lang w:val="en-GB"/>
        </w:rPr>
        <w:lastRenderedPageBreak/>
        <w:t xml:space="preserve">S3. </w:t>
      </w:r>
      <w:r w:rsidRPr="00F20375">
        <w:rPr>
          <w:rFonts w:ascii="Arial" w:hAnsi="Arial" w:cs="Arial"/>
          <w:b/>
          <w:lang w:val="en-GB"/>
        </w:rPr>
        <w:t>Subgroup analyses of responses to IND/GLY versus LABA+ICS or LABA or LAMA</w:t>
      </w:r>
    </w:p>
    <w:p w14:paraId="370776F6" w14:textId="77777777" w:rsidR="00F34DD2" w:rsidRPr="00F20375" w:rsidRDefault="00F34DD2" w:rsidP="007547EA">
      <w:pPr>
        <w:rPr>
          <w:rFonts w:ascii="Arial" w:hAnsi="Arial" w:cs="Arial"/>
          <w:b/>
          <w:lang w:val="en-GB"/>
        </w:rPr>
      </w:pPr>
      <w:r w:rsidRPr="00F20375">
        <w:rPr>
          <w:rFonts w:ascii="Arial" w:hAnsi="Arial" w:cs="Arial"/>
          <w:b/>
          <w:lang w:val="en-GB"/>
        </w:rPr>
        <w:t>Figure S</w:t>
      </w:r>
      <w:r>
        <w:rPr>
          <w:rFonts w:ascii="Arial" w:hAnsi="Arial" w:cs="Arial"/>
          <w:b/>
          <w:lang w:val="en-GB"/>
        </w:rPr>
        <w:t>3</w:t>
      </w:r>
      <w:r w:rsidRPr="00F20375">
        <w:rPr>
          <w:rFonts w:ascii="Arial" w:hAnsi="Arial" w:cs="Arial"/>
          <w:b/>
          <w:lang w:val="en-GB"/>
        </w:rPr>
        <w:t>. Post</w:t>
      </w:r>
      <w:r>
        <w:rPr>
          <w:rFonts w:ascii="Arial" w:hAnsi="Arial" w:cs="Arial"/>
          <w:b/>
          <w:bCs/>
          <w:lang w:val="en-GB"/>
        </w:rPr>
        <w:t>-</w:t>
      </w:r>
      <w:r w:rsidRPr="00F20375">
        <w:rPr>
          <w:rFonts w:ascii="Arial" w:hAnsi="Arial" w:cs="Arial"/>
          <w:b/>
          <w:lang w:val="en-GB"/>
        </w:rPr>
        <w:t>hoc subgroup analysis of improvement in trough FEV</w:t>
      </w:r>
      <w:r w:rsidRPr="00F20375">
        <w:rPr>
          <w:rFonts w:ascii="Arial" w:hAnsi="Arial" w:cs="Arial"/>
          <w:b/>
          <w:vertAlign w:val="subscript"/>
          <w:lang w:val="en-GB"/>
        </w:rPr>
        <w:t>1</w:t>
      </w:r>
      <w:r w:rsidRPr="00F20375">
        <w:rPr>
          <w:rFonts w:ascii="Arial" w:hAnsi="Arial" w:cs="Arial"/>
          <w:b/>
          <w:lang w:val="en-GB"/>
        </w:rPr>
        <w:t xml:space="preserve"> in various baseline characteristics with IND/GLY compared with (A) LABA+ICS and (B) LABA or LAMA</w:t>
      </w:r>
    </w:p>
    <w:tbl>
      <w:tblPr>
        <w:tblW w:w="0" w:type="auto"/>
        <w:tblLook w:val="00A0" w:firstRow="1" w:lastRow="0" w:firstColumn="1" w:lastColumn="0" w:noHBand="0" w:noVBand="0"/>
      </w:tblPr>
      <w:tblGrid>
        <w:gridCol w:w="9066"/>
      </w:tblGrid>
      <w:tr w:rsidR="00F34DD2" w:rsidRPr="00F20375" w14:paraId="3CC9CEDF" w14:textId="77777777" w:rsidTr="001E3745">
        <w:tc>
          <w:tcPr>
            <w:tcW w:w="9066" w:type="dxa"/>
          </w:tcPr>
          <w:p w14:paraId="346B9090" w14:textId="77777777" w:rsidR="00F34DD2" w:rsidRDefault="00F34DD2" w:rsidP="00542DFD">
            <w:pPr>
              <w:spacing w:after="0" w:line="240" w:lineRule="auto"/>
              <w:jc w:val="center"/>
              <w:rPr>
                <w:rFonts w:ascii="Arial" w:hAnsi="Arial" w:cs="Arial"/>
                <w:b/>
                <w:lang w:val="en-GB"/>
              </w:rPr>
            </w:pPr>
          </w:p>
          <w:p w14:paraId="1D95ABF2" w14:textId="77777777" w:rsidR="00F34DD2" w:rsidRDefault="00F34DD2" w:rsidP="00542DFD">
            <w:pPr>
              <w:spacing w:after="0" w:line="240" w:lineRule="auto"/>
              <w:jc w:val="center"/>
              <w:rPr>
                <w:rFonts w:ascii="Arial" w:hAnsi="Arial" w:cs="Arial"/>
                <w:b/>
                <w:lang w:val="en-GB"/>
              </w:rPr>
            </w:pPr>
            <w:r w:rsidRPr="00F20375">
              <w:rPr>
                <w:rFonts w:ascii="Arial" w:hAnsi="Arial" w:cs="Arial"/>
                <w:b/>
                <w:lang w:val="en-GB"/>
              </w:rPr>
              <w:t xml:space="preserve"> </w:t>
            </w:r>
            <w:r>
              <w:rPr>
                <w:rFonts w:ascii="Arial" w:hAnsi="Arial" w:cs="Arial"/>
                <w:b/>
                <w:noProof/>
              </w:rPr>
              <w:drawing>
                <wp:inline distT="0" distB="0" distL="0" distR="0" wp14:anchorId="1EF1EA02" wp14:editId="41AB0281">
                  <wp:extent cx="4112211" cy="2953482"/>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7438" cy="2964418"/>
                          </a:xfrm>
                          <a:prstGeom prst="rect">
                            <a:avLst/>
                          </a:prstGeom>
                          <a:noFill/>
                        </pic:spPr>
                      </pic:pic>
                    </a:graphicData>
                  </a:graphic>
                </wp:inline>
              </w:drawing>
            </w:r>
          </w:p>
          <w:p w14:paraId="11F22F45" w14:textId="77777777" w:rsidR="00F34DD2" w:rsidRDefault="00F34DD2" w:rsidP="00542DFD">
            <w:pPr>
              <w:spacing w:after="0" w:line="240" w:lineRule="auto"/>
              <w:jc w:val="center"/>
              <w:rPr>
                <w:rFonts w:ascii="Arial" w:hAnsi="Arial" w:cs="Arial"/>
                <w:b/>
                <w:lang w:val="en-GB"/>
              </w:rPr>
            </w:pPr>
          </w:p>
          <w:p w14:paraId="130C2111" w14:textId="77777777" w:rsidR="00F34DD2" w:rsidRDefault="00F34DD2" w:rsidP="00542DFD">
            <w:pPr>
              <w:spacing w:after="0" w:line="240" w:lineRule="auto"/>
              <w:jc w:val="center"/>
              <w:rPr>
                <w:rFonts w:ascii="Arial" w:hAnsi="Arial" w:cs="Arial"/>
                <w:b/>
                <w:lang w:val="en-GB"/>
              </w:rPr>
            </w:pPr>
            <w:r>
              <w:rPr>
                <w:rFonts w:ascii="Arial" w:hAnsi="Arial" w:cs="Arial"/>
                <w:b/>
                <w:noProof/>
              </w:rPr>
              <w:drawing>
                <wp:inline distT="0" distB="0" distL="0" distR="0" wp14:anchorId="588BD60B" wp14:editId="6CE9EA07">
                  <wp:extent cx="3955794" cy="2794406"/>
                  <wp:effectExtent l="0" t="0" r="698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6669" cy="2802088"/>
                          </a:xfrm>
                          <a:prstGeom prst="rect">
                            <a:avLst/>
                          </a:prstGeom>
                          <a:noFill/>
                        </pic:spPr>
                      </pic:pic>
                    </a:graphicData>
                  </a:graphic>
                </wp:inline>
              </w:drawing>
            </w:r>
          </w:p>
          <w:p w14:paraId="535D4917" w14:textId="77777777" w:rsidR="00F34DD2" w:rsidRPr="00F20375" w:rsidRDefault="00F34DD2" w:rsidP="003901F4">
            <w:pPr>
              <w:spacing w:after="0" w:line="240" w:lineRule="auto"/>
              <w:rPr>
                <w:rFonts w:ascii="Arial" w:hAnsi="Arial" w:cs="Arial"/>
                <w:b/>
                <w:lang w:val="en-GB"/>
              </w:rPr>
            </w:pPr>
          </w:p>
        </w:tc>
      </w:tr>
      <w:tr w:rsidR="00F34DD2" w:rsidRPr="00F20375" w14:paraId="0F85AB4B" w14:textId="77777777" w:rsidTr="001E3745">
        <w:tc>
          <w:tcPr>
            <w:tcW w:w="9066" w:type="dxa"/>
          </w:tcPr>
          <w:p w14:paraId="251220D9" w14:textId="77777777" w:rsidR="00F34DD2" w:rsidRDefault="00F34DD2" w:rsidP="00FB4D8C">
            <w:pPr>
              <w:widowControl w:val="0"/>
              <w:spacing w:after="0" w:line="240" w:lineRule="auto"/>
              <w:rPr>
                <w:rFonts w:ascii="Arial" w:hAnsi="Arial" w:cs="Arial"/>
                <w:sz w:val="20"/>
                <w:lang w:val="en-GB"/>
              </w:rPr>
            </w:pPr>
            <w:r w:rsidRPr="00F20375">
              <w:rPr>
                <w:rFonts w:ascii="Arial" w:hAnsi="Arial" w:cs="Arial"/>
                <w:sz w:val="20"/>
                <w:vertAlign w:val="superscript"/>
                <w:lang w:val="en-GB"/>
              </w:rPr>
              <w:t>#</w:t>
            </w:r>
            <w:r w:rsidRPr="00F20375">
              <w:rPr>
                <w:rFonts w:ascii="Arial" w:hAnsi="Arial" w:cs="Arial"/>
                <w:sz w:val="20"/>
                <w:lang w:val="en-GB"/>
              </w:rPr>
              <w:t xml:space="preserve">Patients had </w:t>
            </w:r>
            <w:r>
              <w:rPr>
                <w:rFonts w:ascii="Arial" w:hAnsi="Arial" w:cs="Arial"/>
                <w:sz w:val="20"/>
                <w:lang w:val="en-GB"/>
              </w:rPr>
              <w:t xml:space="preserve">an </w:t>
            </w:r>
            <w:r w:rsidRPr="00F20375">
              <w:rPr>
                <w:rFonts w:ascii="Arial" w:hAnsi="Arial" w:cs="Arial"/>
                <w:sz w:val="20"/>
                <w:lang w:val="en-GB"/>
              </w:rPr>
              <w:t xml:space="preserve">mMRC </w:t>
            </w:r>
            <w:r>
              <w:rPr>
                <w:rFonts w:ascii="Arial" w:hAnsi="Arial" w:cs="Arial"/>
                <w:sz w:val="20"/>
                <w:lang w:val="en-GB"/>
              </w:rPr>
              <w:t xml:space="preserve">score </w:t>
            </w:r>
            <w:r w:rsidRPr="00F20375">
              <w:rPr>
                <w:rFonts w:ascii="Arial" w:hAnsi="Arial" w:cs="Arial"/>
                <w:sz w:val="20"/>
                <w:lang w:val="en-GB"/>
              </w:rPr>
              <w:t>≥2</w:t>
            </w:r>
            <w:r>
              <w:rPr>
                <w:rFonts w:ascii="Arial" w:hAnsi="Arial" w:cs="Arial"/>
                <w:sz w:val="20"/>
                <w:lang w:val="en-GB"/>
              </w:rPr>
              <w:t>.</w:t>
            </w:r>
            <w:r w:rsidRPr="00F20375">
              <w:rPr>
                <w:rFonts w:ascii="Arial" w:hAnsi="Arial" w:cs="Arial"/>
                <w:sz w:val="20"/>
                <w:lang w:val="en-GB"/>
              </w:rPr>
              <w:t xml:space="preserve"> </w:t>
            </w:r>
          </w:p>
          <w:p w14:paraId="4382E485" w14:textId="77777777" w:rsidR="00F34DD2" w:rsidRPr="00F20375" w:rsidRDefault="00F34DD2" w:rsidP="00FB4D8C">
            <w:pPr>
              <w:widowControl w:val="0"/>
              <w:spacing w:after="0" w:line="240" w:lineRule="auto"/>
              <w:rPr>
                <w:rFonts w:ascii="Arial" w:hAnsi="Arial" w:cs="Arial"/>
                <w:sz w:val="20"/>
                <w:lang w:val="en-GB"/>
              </w:rPr>
            </w:pPr>
            <w:r w:rsidRPr="00F20375">
              <w:rPr>
                <w:rFonts w:ascii="Arial" w:hAnsi="Arial" w:cs="Arial"/>
                <w:sz w:val="20"/>
                <w:lang w:val="en-GB"/>
              </w:rPr>
              <w:t>CI, confidence interval; FEV</w:t>
            </w:r>
            <w:r w:rsidRPr="00F20375">
              <w:rPr>
                <w:rFonts w:ascii="Arial" w:hAnsi="Arial" w:cs="Arial"/>
                <w:sz w:val="20"/>
                <w:vertAlign w:val="subscript"/>
                <w:lang w:val="en-GB"/>
              </w:rPr>
              <w:t>1</w:t>
            </w:r>
            <w:r w:rsidRPr="00F20375">
              <w:rPr>
                <w:rFonts w:ascii="Arial" w:hAnsi="Arial" w:cs="Arial"/>
                <w:sz w:val="20"/>
                <w:lang w:val="en-GB"/>
              </w:rPr>
              <w:t>, forced expiratory volume in 1 second; IND/GLY, indacaterol/glycopyrronium; LABA, long-acting β</w:t>
            </w:r>
            <w:r w:rsidRPr="00F20375">
              <w:rPr>
                <w:rFonts w:ascii="Arial" w:hAnsi="Arial" w:cs="Arial"/>
                <w:sz w:val="20"/>
                <w:vertAlign w:val="subscript"/>
                <w:lang w:val="en-GB"/>
              </w:rPr>
              <w:t>2</w:t>
            </w:r>
            <w:r w:rsidRPr="00F20375">
              <w:rPr>
                <w:rFonts w:ascii="Arial" w:hAnsi="Arial" w:cs="Arial"/>
                <w:sz w:val="20"/>
                <w:lang w:val="en-GB"/>
              </w:rPr>
              <w:t>-agonist; LAMA, long-acting muscarinic antagonist; LABA+ICS, long-acting β</w:t>
            </w:r>
            <w:r w:rsidRPr="00F20375">
              <w:rPr>
                <w:rFonts w:ascii="Arial" w:hAnsi="Arial" w:cs="Arial"/>
                <w:sz w:val="20"/>
                <w:vertAlign w:val="subscript"/>
                <w:lang w:val="en-GB"/>
              </w:rPr>
              <w:t>2</w:t>
            </w:r>
            <w:r w:rsidRPr="00F20375">
              <w:rPr>
                <w:rFonts w:ascii="Arial" w:hAnsi="Arial" w:cs="Arial"/>
                <w:sz w:val="20"/>
                <w:lang w:val="en-GB"/>
              </w:rPr>
              <w:t>-agonist</w:t>
            </w:r>
            <w:r>
              <w:rPr>
                <w:rFonts w:ascii="Arial" w:hAnsi="Arial" w:cs="Arial"/>
                <w:sz w:val="20"/>
                <w:lang w:val="en-GB"/>
              </w:rPr>
              <w:t>+</w:t>
            </w:r>
            <w:r w:rsidRPr="00F20375">
              <w:rPr>
                <w:rFonts w:ascii="Arial" w:hAnsi="Arial" w:cs="Arial"/>
                <w:sz w:val="20"/>
                <w:lang w:val="en-GB"/>
              </w:rPr>
              <w:t>inhaled corticosteroid; LSM, least square</w:t>
            </w:r>
            <w:r>
              <w:rPr>
                <w:rFonts w:ascii="Arial" w:hAnsi="Arial" w:cs="Arial"/>
                <w:sz w:val="20"/>
                <w:lang w:val="en-GB"/>
              </w:rPr>
              <w:t>s</w:t>
            </w:r>
            <w:r w:rsidRPr="00F20375">
              <w:rPr>
                <w:rFonts w:ascii="Arial" w:hAnsi="Arial" w:cs="Arial"/>
                <w:sz w:val="20"/>
                <w:lang w:val="en-GB"/>
              </w:rPr>
              <w:t xml:space="preserve"> mean; mMRC, modified Medical </w:t>
            </w:r>
            <w:r>
              <w:rPr>
                <w:rFonts w:ascii="Arial" w:hAnsi="Arial" w:cs="Arial"/>
                <w:sz w:val="20"/>
                <w:lang w:val="en-GB"/>
              </w:rPr>
              <w:t>R</w:t>
            </w:r>
            <w:r w:rsidRPr="00F20375">
              <w:rPr>
                <w:rFonts w:ascii="Arial" w:hAnsi="Arial" w:cs="Arial"/>
                <w:sz w:val="20"/>
                <w:lang w:val="en-GB"/>
              </w:rPr>
              <w:t>esearch Council; FORM/BUD, formoterol/budesonide fixed</w:t>
            </w:r>
            <w:r>
              <w:rPr>
                <w:rFonts w:ascii="Arial" w:hAnsi="Arial" w:cs="Arial"/>
                <w:sz w:val="20"/>
                <w:lang w:val="en-GB"/>
              </w:rPr>
              <w:t>-</w:t>
            </w:r>
            <w:r w:rsidRPr="00F20375">
              <w:rPr>
                <w:rFonts w:ascii="Arial" w:hAnsi="Arial" w:cs="Arial"/>
                <w:sz w:val="20"/>
                <w:lang w:val="en-GB"/>
              </w:rPr>
              <w:t>dose combination; SFC, salmeterol/fluticasone fixed</w:t>
            </w:r>
            <w:r>
              <w:rPr>
                <w:rFonts w:ascii="Arial" w:hAnsi="Arial" w:cs="Arial"/>
                <w:sz w:val="20"/>
                <w:lang w:val="en-GB"/>
              </w:rPr>
              <w:t>-</w:t>
            </w:r>
            <w:r w:rsidRPr="00F20375">
              <w:rPr>
                <w:rFonts w:ascii="Arial" w:hAnsi="Arial" w:cs="Arial"/>
                <w:sz w:val="20"/>
                <w:lang w:val="en-GB"/>
              </w:rPr>
              <w:t>dose combination</w:t>
            </w:r>
          </w:p>
        </w:tc>
      </w:tr>
    </w:tbl>
    <w:p w14:paraId="16092215" w14:textId="77777777" w:rsidR="00F34DD2" w:rsidRPr="00F20375" w:rsidRDefault="00F34DD2" w:rsidP="007547EA">
      <w:pPr>
        <w:rPr>
          <w:rFonts w:ascii="Arial" w:hAnsi="Arial" w:cs="Arial"/>
          <w:b/>
          <w:lang w:val="en-GB"/>
        </w:rPr>
      </w:pPr>
      <w:r w:rsidRPr="00F20375">
        <w:rPr>
          <w:rFonts w:ascii="Arial" w:hAnsi="Arial" w:cs="Arial"/>
          <w:b/>
          <w:lang w:val="en-GB"/>
        </w:rPr>
        <w:br w:type="page"/>
      </w:r>
      <w:r w:rsidRPr="00F20375">
        <w:rPr>
          <w:rFonts w:ascii="Arial" w:hAnsi="Arial" w:cs="Arial"/>
          <w:b/>
          <w:lang w:val="en-GB"/>
        </w:rPr>
        <w:lastRenderedPageBreak/>
        <w:t>Figure S</w:t>
      </w:r>
      <w:r>
        <w:rPr>
          <w:rFonts w:ascii="Arial" w:hAnsi="Arial" w:cs="Arial"/>
          <w:b/>
          <w:lang w:val="en-GB"/>
        </w:rPr>
        <w:t>4</w:t>
      </w:r>
      <w:r w:rsidRPr="00F20375">
        <w:rPr>
          <w:rFonts w:ascii="Arial" w:hAnsi="Arial" w:cs="Arial"/>
          <w:b/>
          <w:lang w:val="en-GB"/>
        </w:rPr>
        <w:t>. Post</w:t>
      </w:r>
      <w:r>
        <w:rPr>
          <w:rFonts w:ascii="Arial" w:hAnsi="Arial" w:cs="Arial"/>
          <w:b/>
          <w:lang w:val="en-GB"/>
        </w:rPr>
        <w:t>-</w:t>
      </w:r>
      <w:r w:rsidRPr="00F20375">
        <w:rPr>
          <w:rFonts w:ascii="Arial" w:hAnsi="Arial" w:cs="Arial"/>
          <w:b/>
          <w:lang w:val="en-GB"/>
        </w:rPr>
        <w:t xml:space="preserve">hoc subgroup analysis of improvement in TDI total </w:t>
      </w:r>
      <w:r w:rsidRPr="00A22412">
        <w:rPr>
          <w:rFonts w:ascii="Arial" w:hAnsi="Arial" w:cs="Arial"/>
          <w:b/>
          <w:lang w:val="en-GB"/>
        </w:rPr>
        <w:t>scores</w:t>
      </w:r>
      <w:r w:rsidRPr="00F20375">
        <w:rPr>
          <w:rFonts w:ascii="Arial" w:hAnsi="Arial" w:cs="Arial"/>
          <w:b/>
          <w:lang w:val="en-GB"/>
        </w:rPr>
        <w:t xml:space="preserve"> in various baseline characteristics with IND/GLY compared with (A) LABA+ICS and (B) LABA or LAMA</w:t>
      </w:r>
    </w:p>
    <w:tbl>
      <w:tblPr>
        <w:tblW w:w="0" w:type="auto"/>
        <w:tblLook w:val="00A0" w:firstRow="1" w:lastRow="0" w:firstColumn="1" w:lastColumn="0" w:noHBand="0" w:noVBand="0"/>
      </w:tblPr>
      <w:tblGrid>
        <w:gridCol w:w="9066"/>
      </w:tblGrid>
      <w:tr w:rsidR="00F34DD2" w:rsidRPr="00F20375" w14:paraId="180D6790" w14:textId="77777777" w:rsidTr="001E3745">
        <w:tc>
          <w:tcPr>
            <w:tcW w:w="9066" w:type="dxa"/>
          </w:tcPr>
          <w:p w14:paraId="776D3E31" w14:textId="77777777" w:rsidR="00F34DD2" w:rsidRPr="00F20375" w:rsidRDefault="00F34DD2" w:rsidP="00542DFD">
            <w:pPr>
              <w:spacing w:after="0" w:line="240" w:lineRule="auto"/>
              <w:jc w:val="center"/>
              <w:rPr>
                <w:rFonts w:ascii="Arial" w:hAnsi="Arial" w:cs="Arial"/>
                <w:b/>
                <w:lang w:val="en-GB"/>
              </w:rPr>
            </w:pPr>
          </w:p>
          <w:p w14:paraId="34F7D157" w14:textId="77777777" w:rsidR="00F34DD2" w:rsidRPr="00F20375" w:rsidRDefault="00F34DD2" w:rsidP="00542DFD">
            <w:pPr>
              <w:spacing w:after="0" w:line="240" w:lineRule="auto"/>
              <w:jc w:val="center"/>
              <w:rPr>
                <w:rFonts w:ascii="Arial" w:hAnsi="Arial" w:cs="Arial"/>
                <w:b/>
                <w:lang w:val="en-GB"/>
              </w:rPr>
            </w:pPr>
            <w:r>
              <w:rPr>
                <w:rFonts w:ascii="Arial" w:hAnsi="Arial" w:cs="Arial"/>
                <w:b/>
                <w:noProof/>
              </w:rPr>
              <w:drawing>
                <wp:inline distT="0" distB="0" distL="0" distR="0" wp14:anchorId="064A276E" wp14:editId="49717625">
                  <wp:extent cx="4257393" cy="30577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1398" cy="3074995"/>
                          </a:xfrm>
                          <a:prstGeom prst="rect">
                            <a:avLst/>
                          </a:prstGeom>
                          <a:noFill/>
                        </pic:spPr>
                      </pic:pic>
                    </a:graphicData>
                  </a:graphic>
                </wp:inline>
              </w:drawing>
            </w:r>
          </w:p>
          <w:p w14:paraId="2226D40B" w14:textId="77777777" w:rsidR="00F34DD2" w:rsidRDefault="00F34DD2" w:rsidP="00542DFD">
            <w:pPr>
              <w:spacing w:after="0" w:line="240" w:lineRule="auto"/>
              <w:jc w:val="center"/>
              <w:rPr>
                <w:rFonts w:ascii="Arial" w:hAnsi="Arial" w:cs="Arial"/>
                <w:b/>
                <w:lang w:val="en-GB"/>
              </w:rPr>
            </w:pPr>
          </w:p>
          <w:p w14:paraId="46A170E1" w14:textId="77777777" w:rsidR="00F34DD2" w:rsidRDefault="00F34DD2" w:rsidP="00542DFD">
            <w:pPr>
              <w:spacing w:after="0" w:line="240" w:lineRule="auto"/>
              <w:jc w:val="center"/>
              <w:rPr>
                <w:rFonts w:ascii="Arial" w:hAnsi="Arial" w:cs="Arial"/>
                <w:b/>
                <w:lang w:val="en-GB"/>
              </w:rPr>
            </w:pPr>
            <w:r>
              <w:rPr>
                <w:rFonts w:ascii="Arial" w:hAnsi="Arial" w:cs="Arial"/>
                <w:b/>
                <w:noProof/>
              </w:rPr>
              <w:drawing>
                <wp:inline distT="0" distB="0" distL="0" distR="0" wp14:anchorId="133C3AC6" wp14:editId="5DD1279D">
                  <wp:extent cx="4212800" cy="29187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8719" cy="2929794"/>
                          </a:xfrm>
                          <a:prstGeom prst="rect">
                            <a:avLst/>
                          </a:prstGeom>
                          <a:noFill/>
                        </pic:spPr>
                      </pic:pic>
                    </a:graphicData>
                  </a:graphic>
                </wp:inline>
              </w:drawing>
            </w:r>
          </w:p>
          <w:p w14:paraId="3A743B22" w14:textId="77777777" w:rsidR="00F34DD2" w:rsidRPr="00F20375" w:rsidRDefault="00F34DD2" w:rsidP="00542DFD">
            <w:pPr>
              <w:spacing w:after="0" w:line="240" w:lineRule="auto"/>
              <w:jc w:val="center"/>
              <w:rPr>
                <w:rFonts w:ascii="Arial" w:hAnsi="Arial" w:cs="Arial"/>
                <w:b/>
                <w:lang w:val="en-GB"/>
              </w:rPr>
            </w:pPr>
          </w:p>
        </w:tc>
      </w:tr>
    </w:tbl>
    <w:p w14:paraId="085B3C72" w14:textId="53330248" w:rsidR="00D94365" w:rsidRDefault="00D94365" w:rsidP="00D94365">
      <w:pPr>
        <w:widowControl w:val="0"/>
        <w:spacing w:after="0" w:line="240" w:lineRule="auto"/>
        <w:rPr>
          <w:rFonts w:ascii="Arial" w:hAnsi="Arial" w:cs="Arial"/>
          <w:sz w:val="20"/>
          <w:lang w:val="en-GB"/>
        </w:rPr>
      </w:pPr>
      <w:r w:rsidRPr="00F20375">
        <w:rPr>
          <w:rFonts w:ascii="Arial" w:hAnsi="Arial" w:cs="Arial"/>
          <w:sz w:val="20"/>
          <w:vertAlign w:val="superscript"/>
          <w:lang w:val="en-GB"/>
        </w:rPr>
        <w:t>#</w:t>
      </w:r>
      <w:r w:rsidRPr="00F20375">
        <w:rPr>
          <w:rFonts w:ascii="Arial" w:hAnsi="Arial" w:cs="Arial"/>
          <w:sz w:val="20"/>
          <w:lang w:val="en-GB"/>
        </w:rPr>
        <w:t xml:space="preserve">Patients had </w:t>
      </w:r>
      <w:r>
        <w:rPr>
          <w:rFonts w:ascii="Arial" w:hAnsi="Arial" w:cs="Arial"/>
          <w:sz w:val="20"/>
          <w:lang w:val="en-GB"/>
        </w:rPr>
        <w:t xml:space="preserve">an </w:t>
      </w:r>
      <w:r w:rsidRPr="00F20375">
        <w:rPr>
          <w:rFonts w:ascii="Arial" w:hAnsi="Arial" w:cs="Arial"/>
          <w:sz w:val="20"/>
          <w:lang w:val="en-GB"/>
        </w:rPr>
        <w:t xml:space="preserve">mMRC </w:t>
      </w:r>
      <w:r>
        <w:rPr>
          <w:rFonts w:ascii="Arial" w:hAnsi="Arial" w:cs="Arial"/>
          <w:sz w:val="20"/>
          <w:lang w:val="en-GB"/>
        </w:rPr>
        <w:t xml:space="preserve">score </w:t>
      </w:r>
      <w:r w:rsidRPr="00F20375">
        <w:rPr>
          <w:rFonts w:ascii="Arial" w:hAnsi="Arial" w:cs="Arial"/>
          <w:sz w:val="20"/>
          <w:lang w:val="en-GB"/>
        </w:rPr>
        <w:t>≥2</w:t>
      </w:r>
      <w:r>
        <w:rPr>
          <w:rFonts w:ascii="Arial" w:hAnsi="Arial" w:cs="Arial"/>
          <w:sz w:val="20"/>
          <w:lang w:val="en-GB"/>
        </w:rPr>
        <w:t>.</w:t>
      </w:r>
      <w:r w:rsidRPr="00F20375">
        <w:rPr>
          <w:rFonts w:ascii="Arial" w:hAnsi="Arial" w:cs="Arial"/>
          <w:sz w:val="20"/>
          <w:lang w:val="en-GB"/>
        </w:rPr>
        <w:t xml:space="preserve"> </w:t>
      </w:r>
    </w:p>
    <w:p w14:paraId="2F62E111" w14:textId="2F2A90EC" w:rsidR="00F34DD2" w:rsidRPr="00F20375" w:rsidRDefault="00D94365" w:rsidP="00D94365">
      <w:pPr>
        <w:rPr>
          <w:rFonts w:ascii="Arial" w:hAnsi="Arial" w:cs="Arial"/>
          <w:b/>
          <w:lang w:val="en-GB"/>
        </w:rPr>
      </w:pPr>
      <w:r w:rsidRPr="00F20375">
        <w:rPr>
          <w:rFonts w:ascii="Arial" w:hAnsi="Arial" w:cs="Arial"/>
          <w:sz w:val="20"/>
          <w:lang w:val="en-GB"/>
        </w:rPr>
        <w:t>CI, confidence interval; FEV</w:t>
      </w:r>
      <w:r w:rsidRPr="00F20375">
        <w:rPr>
          <w:rFonts w:ascii="Arial" w:hAnsi="Arial" w:cs="Arial"/>
          <w:sz w:val="20"/>
          <w:vertAlign w:val="subscript"/>
          <w:lang w:val="en-GB"/>
        </w:rPr>
        <w:t>1</w:t>
      </w:r>
      <w:r w:rsidRPr="00F20375">
        <w:rPr>
          <w:rFonts w:ascii="Arial" w:hAnsi="Arial" w:cs="Arial"/>
          <w:sz w:val="20"/>
          <w:lang w:val="en-GB"/>
        </w:rPr>
        <w:t>, forced expiratory volume in 1 second; IND/GLY, indacaterol/glycopyrronium; LABA, long-acting β</w:t>
      </w:r>
      <w:r w:rsidRPr="00F20375">
        <w:rPr>
          <w:rFonts w:ascii="Arial" w:hAnsi="Arial" w:cs="Arial"/>
          <w:sz w:val="20"/>
          <w:vertAlign w:val="subscript"/>
          <w:lang w:val="en-GB"/>
        </w:rPr>
        <w:t>2</w:t>
      </w:r>
      <w:r w:rsidRPr="00F20375">
        <w:rPr>
          <w:rFonts w:ascii="Arial" w:hAnsi="Arial" w:cs="Arial"/>
          <w:sz w:val="20"/>
          <w:lang w:val="en-GB"/>
        </w:rPr>
        <w:t>-agonist; LAMA, long-acting muscarinic antagonist; LABA+ICS, long-acting β</w:t>
      </w:r>
      <w:r w:rsidRPr="00F20375">
        <w:rPr>
          <w:rFonts w:ascii="Arial" w:hAnsi="Arial" w:cs="Arial"/>
          <w:sz w:val="20"/>
          <w:vertAlign w:val="subscript"/>
          <w:lang w:val="en-GB"/>
        </w:rPr>
        <w:t>2</w:t>
      </w:r>
      <w:r w:rsidRPr="00F20375">
        <w:rPr>
          <w:rFonts w:ascii="Arial" w:hAnsi="Arial" w:cs="Arial"/>
          <w:sz w:val="20"/>
          <w:lang w:val="en-GB"/>
        </w:rPr>
        <w:t>-agonist</w:t>
      </w:r>
      <w:r>
        <w:rPr>
          <w:rFonts w:ascii="Arial" w:hAnsi="Arial" w:cs="Arial"/>
          <w:sz w:val="20"/>
          <w:lang w:val="en-GB"/>
        </w:rPr>
        <w:t>+</w:t>
      </w:r>
      <w:r w:rsidRPr="00F20375">
        <w:rPr>
          <w:rFonts w:ascii="Arial" w:hAnsi="Arial" w:cs="Arial"/>
          <w:sz w:val="20"/>
          <w:lang w:val="en-GB"/>
        </w:rPr>
        <w:t>inhaled corticosteroid; LSM, least square</w:t>
      </w:r>
      <w:r>
        <w:rPr>
          <w:rFonts w:ascii="Arial" w:hAnsi="Arial" w:cs="Arial"/>
          <w:sz w:val="20"/>
          <w:lang w:val="en-GB"/>
        </w:rPr>
        <w:t>s</w:t>
      </w:r>
      <w:r w:rsidRPr="00F20375">
        <w:rPr>
          <w:rFonts w:ascii="Arial" w:hAnsi="Arial" w:cs="Arial"/>
          <w:sz w:val="20"/>
          <w:lang w:val="en-GB"/>
        </w:rPr>
        <w:t xml:space="preserve"> mean; mMRC, modified Medical </w:t>
      </w:r>
      <w:r>
        <w:rPr>
          <w:rFonts w:ascii="Arial" w:hAnsi="Arial" w:cs="Arial"/>
          <w:sz w:val="20"/>
          <w:lang w:val="en-GB"/>
        </w:rPr>
        <w:t>R</w:t>
      </w:r>
      <w:r w:rsidRPr="00F20375">
        <w:rPr>
          <w:rFonts w:ascii="Arial" w:hAnsi="Arial" w:cs="Arial"/>
          <w:sz w:val="20"/>
          <w:lang w:val="en-GB"/>
        </w:rPr>
        <w:t>esearch Council; FORM/BUD, formoterol/budesonide fixed</w:t>
      </w:r>
      <w:r>
        <w:rPr>
          <w:rFonts w:ascii="Arial" w:hAnsi="Arial" w:cs="Arial"/>
          <w:sz w:val="20"/>
          <w:lang w:val="en-GB"/>
        </w:rPr>
        <w:t>-</w:t>
      </w:r>
      <w:r w:rsidRPr="00F20375">
        <w:rPr>
          <w:rFonts w:ascii="Arial" w:hAnsi="Arial" w:cs="Arial"/>
          <w:sz w:val="20"/>
          <w:lang w:val="en-GB"/>
        </w:rPr>
        <w:t>dose combination; SFC, salmeterol/fluticasone fixed</w:t>
      </w:r>
      <w:r>
        <w:rPr>
          <w:rFonts w:ascii="Arial" w:hAnsi="Arial" w:cs="Arial"/>
          <w:sz w:val="20"/>
          <w:lang w:val="en-GB"/>
        </w:rPr>
        <w:t>-</w:t>
      </w:r>
      <w:r w:rsidRPr="00F20375">
        <w:rPr>
          <w:rFonts w:ascii="Arial" w:hAnsi="Arial" w:cs="Arial"/>
          <w:sz w:val="20"/>
          <w:lang w:val="en-GB"/>
        </w:rPr>
        <w:t>dose combination; TDI, transition dyspn</w:t>
      </w:r>
      <w:r>
        <w:rPr>
          <w:rFonts w:ascii="Arial" w:hAnsi="Arial" w:cs="Arial"/>
          <w:sz w:val="20"/>
          <w:lang w:val="en-GB"/>
        </w:rPr>
        <w:t>o</w:t>
      </w:r>
      <w:r w:rsidRPr="00F20375">
        <w:rPr>
          <w:rFonts w:ascii="Arial" w:hAnsi="Arial" w:cs="Arial"/>
          <w:sz w:val="20"/>
          <w:lang w:val="en-GB"/>
        </w:rPr>
        <w:t>ea index</w:t>
      </w:r>
    </w:p>
    <w:p w14:paraId="7F612269" w14:textId="77777777" w:rsidR="00F34DD2" w:rsidRPr="00A22412" w:rsidRDefault="00F34DD2" w:rsidP="001E3745">
      <w:pPr>
        <w:spacing w:after="0" w:line="480" w:lineRule="auto"/>
        <w:rPr>
          <w:rFonts w:ascii="Arial" w:hAnsi="Arial" w:cs="Arial"/>
          <w:b/>
          <w:lang w:val="en-GB"/>
        </w:rPr>
      </w:pPr>
      <w:r>
        <w:rPr>
          <w:rFonts w:ascii="Arial" w:hAnsi="Arial" w:cs="Arial"/>
          <w:b/>
          <w:lang w:val="en-GB"/>
        </w:rPr>
        <w:lastRenderedPageBreak/>
        <w:t xml:space="preserve">S4. </w:t>
      </w:r>
      <w:r w:rsidRPr="00A22412">
        <w:rPr>
          <w:rFonts w:ascii="Arial" w:hAnsi="Arial" w:cs="Arial"/>
          <w:b/>
          <w:lang w:val="en-GB"/>
        </w:rPr>
        <w:t>Statistical analysis of GLY group</w:t>
      </w:r>
      <w:r>
        <w:rPr>
          <w:rFonts w:ascii="Arial" w:hAnsi="Arial" w:cs="Arial"/>
          <w:b/>
          <w:lang w:val="en-GB"/>
        </w:rPr>
        <w:t>s</w:t>
      </w:r>
    </w:p>
    <w:p w14:paraId="4C722329" w14:textId="70183BD2" w:rsidR="00F34DD2" w:rsidRPr="00F20375" w:rsidRDefault="00F34DD2" w:rsidP="001E3745">
      <w:pPr>
        <w:widowControl w:val="0"/>
        <w:spacing w:after="0" w:line="480" w:lineRule="auto"/>
        <w:contextualSpacing/>
        <w:rPr>
          <w:rFonts w:ascii="Arial" w:hAnsi="Arial" w:cs="Arial"/>
          <w:lang w:val="en-GB"/>
        </w:rPr>
      </w:pPr>
      <w:r w:rsidRPr="00F20375">
        <w:rPr>
          <w:rFonts w:ascii="Arial" w:hAnsi="Arial" w:cs="Arial"/>
          <w:lang w:val="en-GB"/>
        </w:rPr>
        <w:t>The intention-to-treat (ITT) population consisted of all randomi</w:t>
      </w:r>
      <w:r>
        <w:rPr>
          <w:rFonts w:ascii="Arial" w:hAnsi="Arial" w:cs="Arial"/>
          <w:lang w:val="en-GB"/>
        </w:rPr>
        <w:t>s</w:t>
      </w:r>
      <w:r w:rsidRPr="00F20375">
        <w:rPr>
          <w:rFonts w:ascii="Arial" w:hAnsi="Arial" w:cs="Arial"/>
          <w:lang w:val="en-GB"/>
        </w:rPr>
        <w:t xml:space="preserve">ed patients who received at least one dose of </w:t>
      </w:r>
      <w:r>
        <w:rPr>
          <w:rFonts w:ascii="Arial" w:hAnsi="Arial" w:cs="Arial"/>
          <w:lang w:val="en-GB"/>
        </w:rPr>
        <w:t xml:space="preserve">the </w:t>
      </w:r>
      <w:r w:rsidRPr="00F20375">
        <w:rPr>
          <w:rFonts w:ascii="Arial" w:hAnsi="Arial" w:cs="Arial"/>
          <w:lang w:val="en-GB"/>
        </w:rPr>
        <w:t xml:space="preserve">study medication, whereas the </w:t>
      </w:r>
      <w:bookmarkStart w:id="21" w:name="_Hlk485737536"/>
      <w:r w:rsidRPr="00F20375">
        <w:rPr>
          <w:rFonts w:ascii="Arial" w:hAnsi="Arial" w:cs="Arial"/>
          <w:lang w:val="en-GB"/>
        </w:rPr>
        <w:t>per-protocol (PP</w:t>
      </w:r>
      <w:bookmarkEnd w:id="21"/>
      <w:r w:rsidRPr="00F20375">
        <w:rPr>
          <w:rFonts w:ascii="Arial" w:hAnsi="Arial" w:cs="Arial"/>
          <w:lang w:val="en-GB"/>
        </w:rPr>
        <w:t xml:space="preserve">) population consisted of all patients in the ITT population with valid measurements of the primary endpoints without major </w:t>
      </w:r>
      <w:r>
        <w:rPr>
          <w:rFonts w:ascii="Arial" w:hAnsi="Arial" w:cs="Arial"/>
          <w:lang w:val="en-GB"/>
        </w:rPr>
        <w:t>PDs</w:t>
      </w:r>
      <w:r w:rsidRPr="00F20375">
        <w:rPr>
          <w:rFonts w:ascii="Arial" w:hAnsi="Arial" w:cs="Arial"/>
          <w:lang w:val="en-GB"/>
        </w:rPr>
        <w:t>. Efficacy analyses were performed on both ITT and PP populations (primary endpoint only for the latter). Superiority testing for FEV</w:t>
      </w:r>
      <w:r w:rsidRPr="00F20375">
        <w:rPr>
          <w:rFonts w:ascii="Arial" w:hAnsi="Arial" w:cs="Arial"/>
          <w:vertAlign w:val="subscript"/>
          <w:lang w:val="en-GB"/>
        </w:rPr>
        <w:t>1</w:t>
      </w:r>
      <w:r w:rsidRPr="00F20375">
        <w:rPr>
          <w:rFonts w:ascii="Arial" w:hAnsi="Arial" w:cs="Arial"/>
          <w:lang w:val="en-GB"/>
        </w:rPr>
        <w:t xml:space="preserve"> and TDI at </w:t>
      </w:r>
      <w:r>
        <w:rPr>
          <w:rFonts w:ascii="Arial" w:hAnsi="Arial" w:cs="Arial"/>
          <w:lang w:val="en-GB"/>
        </w:rPr>
        <w:t xml:space="preserve">Week </w:t>
      </w:r>
      <w:r w:rsidRPr="00F20375">
        <w:rPr>
          <w:rFonts w:ascii="Arial" w:hAnsi="Arial" w:cs="Arial"/>
          <w:lang w:val="en-GB"/>
        </w:rPr>
        <w:t>12 (mean treatment differences</w:t>
      </w:r>
      <w:r>
        <w:rPr>
          <w:rFonts w:ascii="Arial" w:hAnsi="Arial" w:cs="Arial"/>
          <w:lang w:val="en-GB"/>
        </w:rPr>
        <w:t xml:space="preserve"> [</w:t>
      </w:r>
      <w:r w:rsidRPr="00386092">
        <w:rPr>
          <w:rFonts w:ascii="Arial" w:hAnsi="Arial" w:cs="Arial"/>
          <w:bCs/>
          <w:lang w:val="el-GR"/>
        </w:rPr>
        <w:t>Δ</w:t>
      </w:r>
      <w:r>
        <w:rPr>
          <w:rFonts w:ascii="Arial" w:hAnsi="Arial" w:cs="Arial"/>
          <w:bCs/>
          <w:lang w:val="en-IN"/>
        </w:rPr>
        <w:t>s]</w:t>
      </w:r>
      <w:r w:rsidRPr="00F20375">
        <w:rPr>
          <w:rFonts w:ascii="Arial" w:hAnsi="Arial" w:cs="Arial"/>
          <w:lang w:val="en-GB"/>
        </w:rPr>
        <w:t xml:space="preserve"> of ≥60 mL and ≥1 unit, respectively) was performed for </w:t>
      </w:r>
      <w:r w:rsidRPr="00205546">
        <w:rPr>
          <w:rFonts w:ascii="Arial" w:hAnsi="Arial" w:cs="Arial"/>
          <w:lang w:val="en-GB"/>
        </w:rPr>
        <w:t xml:space="preserve">glycopyrronium </w:t>
      </w:r>
      <w:r>
        <w:rPr>
          <w:rFonts w:ascii="Arial" w:hAnsi="Arial" w:cs="Arial"/>
          <w:lang w:val="en-GB"/>
        </w:rPr>
        <w:t>(</w:t>
      </w:r>
      <w:r w:rsidRPr="00F20375">
        <w:rPr>
          <w:rFonts w:ascii="Arial" w:hAnsi="Arial" w:cs="Arial"/>
          <w:lang w:val="en-GB"/>
        </w:rPr>
        <w:t>GLY</w:t>
      </w:r>
      <w:r>
        <w:rPr>
          <w:rFonts w:ascii="Arial" w:hAnsi="Arial" w:cs="Arial"/>
          <w:lang w:val="en-GB"/>
        </w:rPr>
        <w:t>)</w:t>
      </w:r>
      <w:r w:rsidRPr="00F20375">
        <w:rPr>
          <w:rFonts w:ascii="Arial" w:hAnsi="Arial" w:cs="Arial"/>
          <w:lang w:val="en-GB"/>
        </w:rPr>
        <w:t xml:space="preserve"> </w:t>
      </w:r>
      <w:r>
        <w:rPr>
          <w:rFonts w:ascii="Arial" w:hAnsi="Arial" w:cs="Arial"/>
          <w:lang w:val="en-GB"/>
        </w:rPr>
        <w:t xml:space="preserve">versus </w:t>
      </w:r>
      <w:r w:rsidRPr="00F20375">
        <w:rPr>
          <w:rFonts w:ascii="Arial" w:hAnsi="Arial" w:cs="Arial"/>
          <w:lang w:val="en-GB"/>
        </w:rPr>
        <w:t xml:space="preserve">SABA or SAMA as baseline therapy and </w:t>
      </w:r>
      <w:r w:rsidRPr="00F82580">
        <w:rPr>
          <w:rFonts w:ascii="Arial" w:hAnsi="Arial" w:cs="Arial"/>
          <w:lang w:val="en-GB"/>
        </w:rPr>
        <w:t xml:space="preserve">indacaterol/glycopyrronium </w:t>
      </w:r>
      <w:r>
        <w:rPr>
          <w:rFonts w:ascii="Arial" w:hAnsi="Arial" w:cs="Arial"/>
          <w:lang w:val="en-GB"/>
        </w:rPr>
        <w:t>(</w:t>
      </w:r>
      <w:r w:rsidRPr="00F20375">
        <w:rPr>
          <w:rFonts w:ascii="Arial" w:hAnsi="Arial" w:cs="Arial"/>
          <w:lang w:val="en-GB"/>
        </w:rPr>
        <w:t>IND/GLY</w:t>
      </w:r>
      <w:r>
        <w:rPr>
          <w:rFonts w:ascii="Arial" w:hAnsi="Arial" w:cs="Arial"/>
          <w:lang w:val="en-GB"/>
        </w:rPr>
        <w:t>)</w:t>
      </w:r>
      <w:r w:rsidRPr="00F20375">
        <w:rPr>
          <w:rFonts w:ascii="Arial" w:hAnsi="Arial" w:cs="Arial"/>
          <w:lang w:val="en-GB"/>
        </w:rPr>
        <w:t xml:space="preserve"> </w:t>
      </w:r>
      <w:r>
        <w:rPr>
          <w:rFonts w:ascii="Arial" w:hAnsi="Arial" w:cs="Arial"/>
          <w:lang w:val="en-GB"/>
        </w:rPr>
        <w:t xml:space="preserve">versus </w:t>
      </w:r>
      <w:r w:rsidRPr="00F20375">
        <w:rPr>
          <w:rFonts w:ascii="Arial" w:hAnsi="Arial" w:cs="Arial"/>
          <w:lang w:val="en-GB"/>
        </w:rPr>
        <w:t xml:space="preserve">baseline therapy. </w:t>
      </w:r>
      <w:r>
        <w:rPr>
          <w:rFonts w:ascii="Arial" w:hAnsi="Arial" w:cs="Arial"/>
          <w:lang w:val="en-GB"/>
        </w:rPr>
        <w:t>In contrast</w:t>
      </w:r>
      <w:r w:rsidRPr="00F20375">
        <w:rPr>
          <w:rFonts w:ascii="Arial" w:hAnsi="Arial" w:cs="Arial"/>
          <w:lang w:val="en-GB"/>
        </w:rPr>
        <w:t>, non-inferiority testing for FEV</w:t>
      </w:r>
      <w:r w:rsidRPr="00F20375">
        <w:rPr>
          <w:rFonts w:ascii="Arial" w:hAnsi="Arial" w:cs="Arial"/>
          <w:vertAlign w:val="subscript"/>
          <w:lang w:val="en-GB"/>
        </w:rPr>
        <w:t>1</w:t>
      </w:r>
      <w:r w:rsidRPr="00F20375">
        <w:rPr>
          <w:rFonts w:ascii="Arial" w:hAnsi="Arial" w:cs="Arial"/>
          <w:lang w:val="en-GB"/>
        </w:rPr>
        <w:t xml:space="preserve"> and TDI at 12 weeks (non-inferiority limits of 40 mL and 0.6 units, respectively) was performed for GLY </w:t>
      </w:r>
      <w:r>
        <w:rPr>
          <w:rFonts w:ascii="Arial" w:hAnsi="Arial" w:cs="Arial"/>
          <w:lang w:val="en-GB"/>
        </w:rPr>
        <w:t xml:space="preserve">versus </w:t>
      </w:r>
      <w:r w:rsidRPr="00F20375">
        <w:rPr>
          <w:rFonts w:ascii="Arial" w:hAnsi="Arial" w:cs="Arial"/>
          <w:lang w:val="en-GB"/>
        </w:rPr>
        <w:t xml:space="preserve">LABA or LAMA as baseline therapy and an mMRC </w:t>
      </w:r>
      <w:r>
        <w:rPr>
          <w:rFonts w:ascii="Arial" w:hAnsi="Arial" w:cs="Arial"/>
          <w:lang w:val="en-GB"/>
        </w:rPr>
        <w:t xml:space="preserve">score </w:t>
      </w:r>
      <w:r w:rsidRPr="00F20375">
        <w:rPr>
          <w:rFonts w:ascii="Arial" w:hAnsi="Arial" w:cs="Arial"/>
          <w:lang w:val="en-GB"/>
        </w:rPr>
        <w:t xml:space="preserve">of 1 </w:t>
      </w:r>
      <w:r>
        <w:rPr>
          <w:rFonts w:ascii="Arial" w:hAnsi="Arial" w:cs="Arial"/>
          <w:lang w:val="en-GB"/>
        </w:rPr>
        <w:t>point</w:t>
      </w:r>
      <w:r w:rsidRPr="00F20375">
        <w:rPr>
          <w:rFonts w:ascii="Arial" w:hAnsi="Arial" w:cs="Arial"/>
          <w:lang w:val="en-GB"/>
        </w:rPr>
        <w:t>.</w:t>
      </w:r>
    </w:p>
    <w:p w14:paraId="51BBB00A" w14:textId="77777777" w:rsidR="00F34DD2" w:rsidRDefault="00F34DD2" w:rsidP="00D94365">
      <w:pPr>
        <w:widowControl w:val="0"/>
        <w:spacing w:after="0" w:line="480" w:lineRule="auto"/>
        <w:ind w:firstLine="720"/>
        <w:contextualSpacing/>
        <w:rPr>
          <w:rFonts w:ascii="Arial" w:hAnsi="Arial" w:cs="Arial"/>
        </w:rPr>
      </w:pPr>
      <w:r w:rsidRPr="00F20375">
        <w:rPr>
          <w:rFonts w:ascii="Arial" w:hAnsi="Arial" w:cs="Arial"/>
          <w:lang w:val="en-GB"/>
        </w:rPr>
        <w:t>For the two co-primary endpoints (trough FEV</w:t>
      </w:r>
      <w:r w:rsidRPr="00F20375">
        <w:rPr>
          <w:rFonts w:ascii="Arial" w:hAnsi="Arial" w:cs="Arial"/>
          <w:vertAlign w:val="subscript"/>
          <w:lang w:val="en-GB"/>
        </w:rPr>
        <w:t>1</w:t>
      </w:r>
      <w:r w:rsidRPr="00F20375">
        <w:rPr>
          <w:rFonts w:ascii="Arial" w:hAnsi="Arial" w:cs="Arial"/>
          <w:lang w:val="en-GB"/>
        </w:rPr>
        <w:t xml:space="preserve"> and TDI after 12 weeks of treatment), a mixed model with treatment as a fixed effect and baseline value as a covariate was constructed. </w:t>
      </w:r>
    </w:p>
    <w:p w14:paraId="285D48CD" w14:textId="463C934E" w:rsidR="00F34DD2" w:rsidRDefault="00F34DD2" w:rsidP="001E3745">
      <w:pPr>
        <w:widowControl w:val="0"/>
        <w:spacing w:after="0" w:line="480" w:lineRule="auto"/>
        <w:contextualSpacing/>
        <w:rPr>
          <w:rFonts w:ascii="Arial" w:hAnsi="Arial" w:cs="Arial"/>
          <w:lang w:val="en-GB"/>
        </w:rPr>
      </w:pPr>
      <w:r w:rsidRPr="00473C11">
        <w:rPr>
          <w:rFonts w:ascii="Arial" w:hAnsi="Arial" w:cs="Arial"/>
          <w:lang w:val="en-GB"/>
        </w:rPr>
        <w:t xml:space="preserve">Missing data imputation through </w:t>
      </w:r>
      <w:bookmarkStart w:id="22" w:name="_Hlk485737811"/>
      <w:r w:rsidRPr="00191EAE">
        <w:rPr>
          <w:rFonts w:ascii="Arial" w:hAnsi="Arial" w:cs="Arial"/>
        </w:rPr>
        <w:t>last-observation-carried-forward</w:t>
      </w:r>
      <w:r w:rsidRPr="00191EAE">
        <w:rPr>
          <w:rFonts w:ascii="Arial" w:hAnsi="Arial" w:cs="Arial"/>
          <w:lang w:val="en-GB"/>
        </w:rPr>
        <w:t xml:space="preserve"> </w:t>
      </w:r>
      <w:r>
        <w:rPr>
          <w:rFonts w:ascii="Arial" w:hAnsi="Arial" w:cs="Arial"/>
          <w:lang w:val="en-GB"/>
        </w:rPr>
        <w:t>(</w:t>
      </w:r>
      <w:r w:rsidRPr="00473C11">
        <w:rPr>
          <w:rFonts w:ascii="Arial" w:hAnsi="Arial" w:cs="Arial"/>
          <w:lang w:val="en-GB"/>
        </w:rPr>
        <w:t>LOCF</w:t>
      </w:r>
      <w:bookmarkEnd w:id="22"/>
      <w:r>
        <w:rPr>
          <w:rFonts w:ascii="Arial" w:hAnsi="Arial" w:cs="Arial"/>
          <w:lang w:val="en-GB"/>
        </w:rPr>
        <w:t>)</w:t>
      </w:r>
      <w:r w:rsidRPr="00473C11">
        <w:rPr>
          <w:rFonts w:ascii="Arial" w:hAnsi="Arial" w:cs="Arial"/>
          <w:lang w:val="en-GB"/>
        </w:rPr>
        <w:t xml:space="preserve"> approach for trough FEV</w:t>
      </w:r>
      <w:r w:rsidRPr="00473C11">
        <w:rPr>
          <w:rFonts w:ascii="Arial" w:hAnsi="Arial" w:cs="Arial"/>
          <w:vertAlign w:val="subscript"/>
          <w:lang w:val="en-GB"/>
        </w:rPr>
        <w:t>1</w:t>
      </w:r>
      <w:r w:rsidRPr="00473C11">
        <w:rPr>
          <w:rFonts w:ascii="Arial" w:hAnsi="Arial" w:cs="Arial"/>
          <w:lang w:val="en-GB"/>
        </w:rPr>
        <w:t xml:space="preserve"> and TDI total scores at </w:t>
      </w:r>
      <w:r>
        <w:rPr>
          <w:rFonts w:ascii="Arial" w:hAnsi="Arial" w:cs="Arial"/>
          <w:lang w:val="en-GB"/>
        </w:rPr>
        <w:t>W</w:t>
      </w:r>
      <w:r w:rsidRPr="00473C11">
        <w:rPr>
          <w:rFonts w:ascii="Arial" w:hAnsi="Arial" w:cs="Arial"/>
          <w:lang w:val="en-GB"/>
        </w:rPr>
        <w:t>eek 12 was performed for the ITT population when primary efficacy endpoints (trough FEV</w:t>
      </w:r>
      <w:r w:rsidRPr="00D94365">
        <w:rPr>
          <w:rFonts w:ascii="Arial" w:hAnsi="Arial"/>
          <w:vertAlign w:val="subscript"/>
          <w:lang w:val="en-GB"/>
        </w:rPr>
        <w:t>1</w:t>
      </w:r>
      <w:r w:rsidRPr="00473C11">
        <w:rPr>
          <w:rFonts w:ascii="Arial" w:hAnsi="Arial" w:cs="Arial"/>
          <w:lang w:val="en-GB"/>
        </w:rPr>
        <w:t xml:space="preserve"> and/or TDI values) were collected at a visit immediately after a patient discontinued treatment.</w:t>
      </w:r>
    </w:p>
    <w:p w14:paraId="1DBE99CC" w14:textId="2EC5F5EF" w:rsidR="00F34DD2" w:rsidRPr="00F20375" w:rsidRDefault="00F34DD2" w:rsidP="001E3745">
      <w:pPr>
        <w:widowControl w:val="0"/>
        <w:spacing w:after="0" w:line="480" w:lineRule="auto"/>
        <w:contextualSpacing/>
        <w:rPr>
          <w:rFonts w:ascii="Arial" w:hAnsi="Arial" w:cs="Arial"/>
          <w:lang w:val="en-GB"/>
        </w:rPr>
      </w:pPr>
      <w:r w:rsidRPr="005F26A0">
        <w:rPr>
          <w:rFonts w:ascii="Arial" w:hAnsi="Arial" w:cs="Arial"/>
          <w:lang w:val="en-GB"/>
        </w:rPr>
        <w:t>F</w:t>
      </w:r>
      <w:r>
        <w:rPr>
          <w:rFonts w:ascii="Arial" w:hAnsi="Arial" w:cs="Arial"/>
          <w:lang w:val="en-GB"/>
        </w:rPr>
        <w:t>urthermore</w:t>
      </w:r>
      <w:r w:rsidRPr="00F20375">
        <w:rPr>
          <w:rFonts w:ascii="Arial" w:hAnsi="Arial" w:cs="Arial"/>
          <w:lang w:val="en-GB"/>
        </w:rPr>
        <w:t>, the proportion of responders, i.e. patients reaching a minimal clinically significant change from baseline (100 mL in trough FEV</w:t>
      </w:r>
      <w:r w:rsidRPr="00F20375">
        <w:rPr>
          <w:rFonts w:ascii="Arial" w:hAnsi="Arial" w:cs="Arial"/>
          <w:vertAlign w:val="subscript"/>
          <w:lang w:val="en-GB"/>
        </w:rPr>
        <w:t>1</w:t>
      </w:r>
      <w:r w:rsidRPr="00F20375">
        <w:rPr>
          <w:rFonts w:ascii="Arial" w:hAnsi="Arial" w:cs="Arial"/>
          <w:lang w:val="en-GB"/>
        </w:rPr>
        <w:t xml:space="preserve">; 1 </w:t>
      </w:r>
      <w:r>
        <w:rPr>
          <w:rFonts w:ascii="Arial" w:hAnsi="Arial" w:cs="Arial"/>
          <w:lang w:val="en-GB"/>
        </w:rPr>
        <w:t>unit</w:t>
      </w:r>
      <w:r w:rsidRPr="00F20375">
        <w:rPr>
          <w:rFonts w:ascii="Arial" w:hAnsi="Arial" w:cs="Arial"/>
          <w:lang w:val="en-GB"/>
        </w:rPr>
        <w:t xml:space="preserve"> in TDI) at 12 weeks was presented and analysed using the observed </w:t>
      </w:r>
      <w:bookmarkStart w:id="23" w:name="_Hlk485737899"/>
      <w:r w:rsidRPr="00F20375">
        <w:rPr>
          <w:rFonts w:ascii="Arial" w:hAnsi="Arial" w:cs="Arial"/>
          <w:lang w:val="en-GB"/>
        </w:rPr>
        <w:t>odds ratio (OR</w:t>
      </w:r>
      <w:bookmarkEnd w:id="23"/>
      <w:r w:rsidRPr="00F20375">
        <w:rPr>
          <w:rFonts w:ascii="Arial" w:hAnsi="Arial" w:cs="Arial"/>
          <w:lang w:val="en-GB"/>
        </w:rPr>
        <w:t xml:space="preserve">) for responders versus non-responders. Secondary efficacy endpoints (CAT total scores, CCQ total scores, number of puffs of rescue medication and patient-reported symptoms of COPD) were analysed at </w:t>
      </w:r>
      <w:r>
        <w:rPr>
          <w:rFonts w:ascii="Arial" w:hAnsi="Arial" w:cs="Arial"/>
          <w:lang w:val="en-GB"/>
        </w:rPr>
        <w:t>W</w:t>
      </w:r>
      <w:r w:rsidRPr="00F20375">
        <w:rPr>
          <w:rFonts w:ascii="Arial" w:hAnsi="Arial" w:cs="Arial"/>
          <w:lang w:val="en-GB"/>
        </w:rPr>
        <w:t>eek 12 by using a non-parametric Mann</w:t>
      </w:r>
      <w:bookmarkStart w:id="24" w:name="_Hlk485737955"/>
      <w:r w:rsidRPr="00F20375">
        <w:rPr>
          <w:rFonts w:ascii="Arial" w:hAnsi="Arial" w:cs="Arial"/>
          <w:lang w:val="en-GB"/>
        </w:rPr>
        <w:t>–</w:t>
      </w:r>
      <w:bookmarkEnd w:id="24"/>
      <w:r w:rsidRPr="00F20375">
        <w:rPr>
          <w:rFonts w:ascii="Arial" w:hAnsi="Arial" w:cs="Arial"/>
          <w:lang w:val="en-GB"/>
        </w:rPr>
        <w:t xml:space="preserve">Whitney–Wilcoxon test. In addition, the proportion of CAT and CCQ responders (defined as </w:t>
      </w:r>
      <w:r>
        <w:rPr>
          <w:rFonts w:ascii="Arial" w:hAnsi="Arial" w:cs="Arial"/>
          <w:lang w:val="en-GB"/>
        </w:rPr>
        <w:t xml:space="preserve">a </w:t>
      </w:r>
      <w:r w:rsidRPr="00F20375">
        <w:rPr>
          <w:rFonts w:ascii="Arial" w:hAnsi="Arial" w:cs="Arial"/>
          <w:lang w:val="en-GB"/>
        </w:rPr>
        <w:t xml:space="preserve">significant change from baseline of −2 and −0.4 </w:t>
      </w:r>
      <w:r>
        <w:rPr>
          <w:rFonts w:ascii="Arial" w:hAnsi="Arial" w:cs="Arial"/>
          <w:lang w:val="en-GB"/>
        </w:rPr>
        <w:t>units</w:t>
      </w:r>
      <w:r w:rsidRPr="00F20375">
        <w:rPr>
          <w:rFonts w:ascii="Arial" w:hAnsi="Arial" w:cs="Arial"/>
          <w:lang w:val="en-GB"/>
        </w:rPr>
        <w:t xml:space="preserve">, respectively) were presented. All safety analyses were performed on the safety population, comprising all patients who received at least one dose of the study treatment. </w:t>
      </w:r>
    </w:p>
    <w:p w14:paraId="341ED8DD" w14:textId="432C7B21" w:rsidR="00F34DD2" w:rsidRDefault="00F34DD2" w:rsidP="00D94365">
      <w:pPr>
        <w:spacing w:after="0" w:line="480" w:lineRule="auto"/>
        <w:ind w:firstLine="720"/>
        <w:rPr>
          <w:rFonts w:ascii="Arial" w:hAnsi="Arial" w:cs="Arial"/>
        </w:rPr>
      </w:pPr>
      <w:r>
        <w:rPr>
          <w:rFonts w:ascii="Arial" w:hAnsi="Arial" w:cs="Arial"/>
          <w:lang w:val="en-GB"/>
        </w:rPr>
        <w:lastRenderedPageBreak/>
        <w:t>IND/GLY g</w:t>
      </w:r>
      <w:r w:rsidRPr="00F20375">
        <w:rPr>
          <w:rFonts w:ascii="Arial" w:hAnsi="Arial" w:cs="Arial"/>
          <w:lang w:val="en-GB"/>
        </w:rPr>
        <w:t xml:space="preserve">roups achieved a study power of approximately 90%, </w:t>
      </w:r>
      <w:r>
        <w:rPr>
          <w:rFonts w:ascii="Arial" w:hAnsi="Arial" w:cs="Arial"/>
          <w:lang w:val="en-GB"/>
        </w:rPr>
        <w:t xml:space="preserve">whereas </w:t>
      </w:r>
      <w:r w:rsidRPr="00F20375">
        <w:rPr>
          <w:rFonts w:ascii="Arial" w:hAnsi="Arial" w:cs="Arial"/>
          <w:lang w:val="en-GB"/>
        </w:rPr>
        <w:t>groups 1 and 2 were under</w:t>
      </w:r>
      <w:r>
        <w:rPr>
          <w:rFonts w:ascii="Arial" w:hAnsi="Arial" w:cs="Arial"/>
          <w:lang w:val="en-GB"/>
        </w:rPr>
        <w:t>powered</w:t>
      </w:r>
      <w:r w:rsidRPr="00F20375">
        <w:rPr>
          <w:rFonts w:ascii="Arial" w:hAnsi="Arial" w:cs="Arial"/>
          <w:lang w:val="en-GB"/>
        </w:rPr>
        <w:t xml:space="preserve">. The final power for </w:t>
      </w:r>
      <w:r>
        <w:rPr>
          <w:rFonts w:ascii="Arial" w:hAnsi="Arial" w:cs="Arial"/>
          <w:lang w:val="en-GB"/>
        </w:rPr>
        <w:t xml:space="preserve">GLY (switched from SABA and/or SAMA and LABA or LAMA) and ING/GLY (switched from LABA+ICS and LABA or LAMA) </w:t>
      </w:r>
      <w:r w:rsidRPr="00F20375">
        <w:rPr>
          <w:rFonts w:ascii="Arial" w:hAnsi="Arial" w:cs="Arial"/>
          <w:lang w:val="en-GB"/>
        </w:rPr>
        <w:t xml:space="preserve">groups </w:t>
      </w:r>
      <w:r>
        <w:rPr>
          <w:rFonts w:ascii="Arial" w:hAnsi="Arial" w:cs="Arial"/>
          <w:lang w:val="en-GB"/>
        </w:rPr>
        <w:t>were</w:t>
      </w:r>
      <w:r w:rsidRPr="00F20375">
        <w:rPr>
          <w:rFonts w:ascii="Arial" w:hAnsi="Arial" w:cs="Arial"/>
          <w:lang w:val="en-GB"/>
        </w:rPr>
        <w:t xml:space="preserve"> 65%, 75%, 93% and 92%, respectively. Hence, statistical analysis for </w:t>
      </w:r>
      <w:r>
        <w:rPr>
          <w:rFonts w:ascii="Arial" w:hAnsi="Arial" w:cs="Arial"/>
          <w:lang w:val="en-GB"/>
        </w:rPr>
        <w:t>GLY groups</w:t>
      </w:r>
      <w:r w:rsidRPr="00F20375">
        <w:rPr>
          <w:rFonts w:ascii="Arial" w:hAnsi="Arial" w:cs="Arial"/>
          <w:lang w:val="en-GB"/>
        </w:rPr>
        <w:t xml:space="preserve"> </w:t>
      </w:r>
      <w:r>
        <w:rPr>
          <w:rFonts w:ascii="Arial" w:hAnsi="Arial" w:cs="Arial"/>
          <w:lang w:val="en-GB"/>
        </w:rPr>
        <w:t xml:space="preserve">may </w:t>
      </w:r>
      <w:r w:rsidRPr="00F20375">
        <w:rPr>
          <w:rFonts w:ascii="Arial" w:hAnsi="Arial" w:cs="Arial"/>
          <w:lang w:val="en-GB"/>
        </w:rPr>
        <w:t xml:space="preserve">be inconclusive, and the results must be interpreted with caution. </w:t>
      </w:r>
      <w:r w:rsidRPr="00473C11">
        <w:rPr>
          <w:rFonts w:ascii="Arial" w:hAnsi="Arial" w:cs="Arial"/>
        </w:rPr>
        <w:t>To show the superiority of GLY versus short</w:t>
      </w:r>
      <w:r>
        <w:rPr>
          <w:rFonts w:ascii="Arial" w:hAnsi="Arial" w:cs="Arial"/>
        </w:rPr>
        <w:t>-</w:t>
      </w:r>
      <w:r w:rsidRPr="00473C11">
        <w:rPr>
          <w:rFonts w:ascii="Arial" w:hAnsi="Arial" w:cs="Arial"/>
        </w:rPr>
        <w:t>acting bronchodilators (SABA or SAMA) on trough FEV</w:t>
      </w:r>
      <w:r w:rsidRPr="00473C11">
        <w:rPr>
          <w:rFonts w:ascii="Arial" w:hAnsi="Arial" w:cs="Arial"/>
          <w:vertAlign w:val="subscript"/>
        </w:rPr>
        <w:t>1</w:t>
      </w:r>
      <w:r>
        <w:rPr>
          <w:rFonts w:ascii="Arial" w:hAnsi="Arial" w:cs="Arial"/>
        </w:rPr>
        <w:t>,</w:t>
      </w:r>
      <w:r w:rsidRPr="00473C11">
        <w:rPr>
          <w:rFonts w:ascii="Arial" w:hAnsi="Arial" w:cs="Arial"/>
        </w:rPr>
        <w:t xml:space="preserve"> a two</w:t>
      </w:r>
      <w:r>
        <w:rPr>
          <w:rFonts w:ascii="Arial" w:hAnsi="Arial" w:cs="Arial"/>
        </w:rPr>
        <w:t>-</w:t>
      </w:r>
      <w:r w:rsidRPr="00473C11">
        <w:rPr>
          <w:rFonts w:ascii="Arial" w:hAnsi="Arial" w:cs="Arial"/>
        </w:rPr>
        <w:t>group t-test with a 5% two-sided significance level would have 90% power to detect a difference in means of 60 mL, assuming that the common standard deviation was 250 mL, when the sample sizes in the two groups were 732 and 244, respectively (a total sample size of 976). Considering a drop out of about 5%, a total of 1</w:t>
      </w:r>
      <w:r>
        <w:rPr>
          <w:rFonts w:ascii="Arial" w:hAnsi="Arial" w:cs="Arial"/>
        </w:rPr>
        <w:t>,</w:t>
      </w:r>
      <w:r w:rsidRPr="00473C11">
        <w:rPr>
          <w:rFonts w:ascii="Arial" w:hAnsi="Arial" w:cs="Arial"/>
        </w:rPr>
        <w:t>028 patients with SABA or SAMA as baseline treatment were needed to be randomi</w:t>
      </w:r>
      <w:r>
        <w:rPr>
          <w:rFonts w:ascii="Arial" w:hAnsi="Arial" w:cs="Arial"/>
        </w:rPr>
        <w:t>s</w:t>
      </w:r>
      <w:r w:rsidRPr="00473C11">
        <w:rPr>
          <w:rFonts w:ascii="Arial" w:hAnsi="Arial" w:cs="Arial"/>
        </w:rPr>
        <w:t>ed. To show the superiority of GLY versus short</w:t>
      </w:r>
      <w:r>
        <w:rPr>
          <w:rFonts w:ascii="Arial" w:hAnsi="Arial" w:cs="Arial"/>
        </w:rPr>
        <w:t>-</w:t>
      </w:r>
      <w:r w:rsidRPr="00473C11">
        <w:rPr>
          <w:rFonts w:ascii="Arial" w:hAnsi="Arial" w:cs="Arial"/>
        </w:rPr>
        <w:t>acting bronchodilators (SABA or SAMA) on TDI, a two</w:t>
      </w:r>
      <w:r>
        <w:rPr>
          <w:rFonts w:ascii="Arial" w:hAnsi="Arial" w:cs="Arial"/>
        </w:rPr>
        <w:t>-</w:t>
      </w:r>
      <w:r w:rsidRPr="00473C11">
        <w:rPr>
          <w:rFonts w:ascii="Arial" w:hAnsi="Arial" w:cs="Arial"/>
        </w:rPr>
        <w:t>group t-test with a 5% two-sided significance level would have 90% power to detect a difference in means of 1, assuming that the common standard deviation was 4, when the sample sizes in the two groups were 674 and 225, respectively (a total sample size of 899). Considering a drop out of about 5%, a total of 946 patients with SABA or SAMA as baseline treatment were needed to be randomi</w:t>
      </w:r>
      <w:r>
        <w:rPr>
          <w:rFonts w:ascii="Arial" w:hAnsi="Arial" w:cs="Arial"/>
        </w:rPr>
        <w:t>s</w:t>
      </w:r>
      <w:r w:rsidRPr="00473C11">
        <w:rPr>
          <w:rFonts w:ascii="Arial" w:hAnsi="Arial" w:cs="Arial"/>
        </w:rPr>
        <w:t>ed.</w:t>
      </w:r>
      <w:r>
        <w:rPr>
          <w:rFonts w:ascii="Arial" w:hAnsi="Arial" w:cs="Arial"/>
        </w:rPr>
        <w:t xml:space="preserve"> </w:t>
      </w:r>
      <w:r w:rsidRPr="00473C11">
        <w:rPr>
          <w:rFonts w:ascii="Arial" w:hAnsi="Arial" w:cs="Arial"/>
        </w:rPr>
        <w:t>To show the non-inferiority of GLY versus long</w:t>
      </w:r>
      <w:r>
        <w:rPr>
          <w:rFonts w:ascii="Arial" w:hAnsi="Arial" w:cs="Arial"/>
        </w:rPr>
        <w:t>-</w:t>
      </w:r>
      <w:r w:rsidRPr="00473C11">
        <w:rPr>
          <w:rFonts w:ascii="Arial" w:hAnsi="Arial" w:cs="Arial"/>
        </w:rPr>
        <w:t>acting bronchodilators (LABA or LAMA monotherapy) on trough FEV</w:t>
      </w:r>
      <w:r w:rsidRPr="00473C11">
        <w:rPr>
          <w:rFonts w:ascii="Arial" w:hAnsi="Arial" w:cs="Arial"/>
          <w:vertAlign w:val="subscript"/>
        </w:rPr>
        <w:t>1</w:t>
      </w:r>
      <w:r>
        <w:rPr>
          <w:rFonts w:ascii="Arial" w:hAnsi="Arial" w:cs="Arial"/>
        </w:rPr>
        <w:t>,</w:t>
      </w:r>
      <w:r w:rsidRPr="00473C11">
        <w:rPr>
          <w:rFonts w:ascii="Arial" w:hAnsi="Arial" w:cs="Arial"/>
        </w:rPr>
        <w:t xml:space="preserve"> a two</w:t>
      </w:r>
      <w:r>
        <w:rPr>
          <w:rFonts w:ascii="Arial" w:hAnsi="Arial" w:cs="Arial"/>
        </w:rPr>
        <w:t>-</w:t>
      </w:r>
      <w:r w:rsidRPr="00473C11">
        <w:rPr>
          <w:rFonts w:ascii="Arial" w:hAnsi="Arial" w:cs="Arial"/>
        </w:rPr>
        <w:t>group t-test with a 2.5% one-sided significance level would have 90% power to detect a difference in means of 40 mL, assuming that the common standard deviation was 250 mL, when the sample sizes in the two groups were 1</w:t>
      </w:r>
      <w:r>
        <w:rPr>
          <w:rFonts w:ascii="Arial" w:hAnsi="Arial" w:cs="Arial"/>
        </w:rPr>
        <w:t>,</w:t>
      </w:r>
      <w:r w:rsidRPr="00473C11">
        <w:rPr>
          <w:rFonts w:ascii="Arial" w:hAnsi="Arial" w:cs="Arial"/>
        </w:rPr>
        <w:t>644 and 548, respectively (a total sample size of 2</w:t>
      </w:r>
      <w:r>
        <w:rPr>
          <w:rFonts w:ascii="Arial" w:hAnsi="Arial" w:cs="Arial"/>
        </w:rPr>
        <w:t>,</w:t>
      </w:r>
      <w:r w:rsidRPr="00473C11">
        <w:rPr>
          <w:rFonts w:ascii="Arial" w:hAnsi="Arial" w:cs="Arial"/>
        </w:rPr>
        <w:t>192). Considering a drop out of about 5%, a total of 2</w:t>
      </w:r>
      <w:r>
        <w:rPr>
          <w:rFonts w:ascii="Arial" w:hAnsi="Arial" w:cs="Arial"/>
        </w:rPr>
        <w:t>,</w:t>
      </w:r>
      <w:r w:rsidRPr="00473C11">
        <w:rPr>
          <w:rFonts w:ascii="Arial" w:hAnsi="Arial" w:cs="Arial"/>
        </w:rPr>
        <w:t>308 patients with mMRC score =</w:t>
      </w:r>
      <w:r>
        <w:rPr>
          <w:rFonts w:ascii="Arial" w:hAnsi="Arial" w:cs="Arial"/>
        </w:rPr>
        <w:t xml:space="preserve"> </w:t>
      </w:r>
      <w:r w:rsidRPr="00473C11">
        <w:rPr>
          <w:rFonts w:ascii="Arial" w:hAnsi="Arial" w:cs="Arial"/>
        </w:rPr>
        <w:t>1 point at Visit 1</w:t>
      </w:r>
      <w:r w:rsidR="004252DE">
        <w:rPr>
          <w:rFonts w:ascii="Arial" w:hAnsi="Arial" w:cs="Arial"/>
        </w:rPr>
        <w:t xml:space="preserve"> </w:t>
      </w:r>
      <w:r w:rsidR="004252DE">
        <w:rPr>
          <w:rFonts w:ascii="Arial" w:hAnsi="Arial" w:cs="Arial"/>
          <w:lang w:val="en-GB"/>
        </w:rPr>
        <w:t>(Day -30</w:t>
      </w:r>
      <w:r w:rsidR="004252DE">
        <w:rPr>
          <w:rFonts w:ascii="Arial" w:hAnsi="Arial" w:cs="Arial"/>
          <w:lang w:val="en-GB"/>
        </w:rPr>
        <w:t>)</w:t>
      </w:r>
      <w:r w:rsidRPr="00473C11">
        <w:rPr>
          <w:rFonts w:ascii="Arial" w:hAnsi="Arial" w:cs="Arial"/>
        </w:rPr>
        <w:t xml:space="preserve"> and LABA or LAMA monotherapy as baseline treatment were needed to be randomi</w:t>
      </w:r>
      <w:r>
        <w:rPr>
          <w:rFonts w:ascii="Arial" w:hAnsi="Arial" w:cs="Arial"/>
        </w:rPr>
        <w:t>s</w:t>
      </w:r>
      <w:r w:rsidRPr="00473C11">
        <w:rPr>
          <w:rFonts w:ascii="Arial" w:hAnsi="Arial" w:cs="Arial"/>
        </w:rPr>
        <w:t>ed.</w:t>
      </w:r>
      <w:r>
        <w:rPr>
          <w:rFonts w:ascii="Arial" w:hAnsi="Arial" w:cs="Arial"/>
        </w:rPr>
        <w:t xml:space="preserve"> </w:t>
      </w:r>
    </w:p>
    <w:p w14:paraId="1E726124" w14:textId="2825AB26" w:rsidR="00F34DD2" w:rsidRPr="00E35C7C" w:rsidRDefault="00F34DD2" w:rsidP="00D94365">
      <w:pPr>
        <w:spacing w:after="0" w:line="480" w:lineRule="auto"/>
        <w:ind w:firstLine="720"/>
        <w:rPr>
          <w:rFonts w:ascii="Arial" w:hAnsi="Arial" w:cs="Arial"/>
        </w:rPr>
      </w:pPr>
      <w:r w:rsidRPr="00473C11">
        <w:rPr>
          <w:rFonts w:ascii="Arial" w:hAnsi="Arial" w:cs="Arial"/>
        </w:rPr>
        <w:t>To show the non-inferiority of GLY versus long</w:t>
      </w:r>
      <w:r>
        <w:rPr>
          <w:rFonts w:ascii="Arial" w:hAnsi="Arial" w:cs="Arial"/>
        </w:rPr>
        <w:t>-</w:t>
      </w:r>
      <w:r w:rsidRPr="00473C11">
        <w:rPr>
          <w:rFonts w:ascii="Arial" w:hAnsi="Arial" w:cs="Arial"/>
        </w:rPr>
        <w:t>acting bronchodilators (LABA or LAMA monotherapy) on TDI</w:t>
      </w:r>
      <w:r>
        <w:rPr>
          <w:rFonts w:ascii="Arial" w:hAnsi="Arial" w:cs="Arial"/>
        </w:rPr>
        <w:t>,</w:t>
      </w:r>
      <w:r w:rsidRPr="00473C11">
        <w:rPr>
          <w:rFonts w:ascii="Arial" w:hAnsi="Arial" w:cs="Arial"/>
        </w:rPr>
        <w:t xml:space="preserve"> a two</w:t>
      </w:r>
      <w:r>
        <w:rPr>
          <w:rFonts w:ascii="Arial" w:hAnsi="Arial" w:cs="Arial"/>
        </w:rPr>
        <w:t>-</w:t>
      </w:r>
      <w:r w:rsidRPr="00473C11">
        <w:rPr>
          <w:rFonts w:ascii="Arial" w:hAnsi="Arial" w:cs="Arial"/>
        </w:rPr>
        <w:t>group t-test with a 2.5% one-sided significance level would have 90% power to detect a difference in means of 0.6, assuming that the common standard deviation was 4, when the sample sizes in the two groups were 1</w:t>
      </w:r>
      <w:r>
        <w:rPr>
          <w:rFonts w:ascii="Arial" w:hAnsi="Arial" w:cs="Arial"/>
        </w:rPr>
        <w:t>,</w:t>
      </w:r>
      <w:r w:rsidRPr="00473C11">
        <w:rPr>
          <w:rFonts w:ascii="Arial" w:hAnsi="Arial" w:cs="Arial"/>
        </w:rPr>
        <w:t xml:space="preserve">870 and 624, respectively (a </w:t>
      </w:r>
      <w:r w:rsidRPr="00473C11">
        <w:rPr>
          <w:rFonts w:ascii="Arial" w:hAnsi="Arial" w:cs="Arial"/>
        </w:rPr>
        <w:lastRenderedPageBreak/>
        <w:t>total sample size of 2</w:t>
      </w:r>
      <w:r>
        <w:rPr>
          <w:rFonts w:ascii="Arial" w:hAnsi="Arial" w:cs="Arial"/>
        </w:rPr>
        <w:t>,</w:t>
      </w:r>
      <w:r w:rsidRPr="00473C11">
        <w:rPr>
          <w:rFonts w:ascii="Arial" w:hAnsi="Arial" w:cs="Arial"/>
        </w:rPr>
        <w:t>494). Considering a drop out of about 5%, a total of 2</w:t>
      </w:r>
      <w:r>
        <w:rPr>
          <w:rFonts w:ascii="Arial" w:hAnsi="Arial" w:cs="Arial"/>
        </w:rPr>
        <w:t>,</w:t>
      </w:r>
      <w:r w:rsidRPr="00473C11">
        <w:rPr>
          <w:rFonts w:ascii="Arial" w:hAnsi="Arial" w:cs="Arial"/>
        </w:rPr>
        <w:t xml:space="preserve">628 patients with </w:t>
      </w:r>
      <w:r>
        <w:rPr>
          <w:rFonts w:ascii="Arial" w:hAnsi="Arial" w:cs="Arial"/>
        </w:rPr>
        <w:t xml:space="preserve">an </w:t>
      </w:r>
      <w:r w:rsidRPr="00473C11">
        <w:rPr>
          <w:rFonts w:ascii="Arial" w:hAnsi="Arial" w:cs="Arial"/>
        </w:rPr>
        <w:t>mMRC score =</w:t>
      </w:r>
      <w:r>
        <w:rPr>
          <w:rFonts w:ascii="Arial" w:hAnsi="Arial" w:cs="Arial"/>
        </w:rPr>
        <w:t xml:space="preserve"> </w:t>
      </w:r>
      <w:r w:rsidRPr="00473C11">
        <w:rPr>
          <w:rFonts w:ascii="Arial" w:hAnsi="Arial" w:cs="Arial"/>
        </w:rPr>
        <w:t xml:space="preserve">1 point at Visit 1 </w:t>
      </w:r>
      <w:r w:rsidR="004252DE">
        <w:rPr>
          <w:rFonts w:ascii="Arial" w:hAnsi="Arial" w:cs="Arial"/>
          <w:lang w:val="en-GB"/>
        </w:rPr>
        <w:t>(Day -30</w:t>
      </w:r>
      <w:r w:rsidR="004252DE">
        <w:rPr>
          <w:rFonts w:ascii="Arial" w:hAnsi="Arial" w:cs="Arial"/>
          <w:lang w:val="en-GB"/>
        </w:rPr>
        <w:t>)</w:t>
      </w:r>
      <w:r w:rsidR="004252DE">
        <w:rPr>
          <w:rFonts w:ascii="Arial" w:hAnsi="Arial" w:cs="Arial"/>
          <w:lang w:val="en-GB"/>
        </w:rPr>
        <w:t xml:space="preserve"> </w:t>
      </w:r>
      <w:r w:rsidRPr="00473C11">
        <w:rPr>
          <w:rFonts w:ascii="Arial" w:hAnsi="Arial" w:cs="Arial"/>
        </w:rPr>
        <w:t>and LABA or LAMA monotherapy as baseline treatment were needed to be randomi</w:t>
      </w:r>
      <w:r>
        <w:rPr>
          <w:rFonts w:ascii="Arial" w:hAnsi="Arial" w:cs="Arial"/>
        </w:rPr>
        <w:t>s</w:t>
      </w:r>
      <w:r w:rsidRPr="00473C11">
        <w:rPr>
          <w:rFonts w:ascii="Arial" w:hAnsi="Arial" w:cs="Arial"/>
        </w:rPr>
        <w:t>ed.</w:t>
      </w:r>
      <w:r>
        <w:rPr>
          <w:rFonts w:ascii="Arial" w:hAnsi="Arial" w:cs="Arial"/>
        </w:rPr>
        <w:t xml:space="preserve"> </w:t>
      </w:r>
      <w:r w:rsidRPr="00473C11">
        <w:rPr>
          <w:rFonts w:ascii="Arial" w:hAnsi="Arial" w:cs="Arial"/>
        </w:rPr>
        <w:t xml:space="preserve">The co-primary hypotheses (within each stratum) </w:t>
      </w:r>
      <w:r>
        <w:rPr>
          <w:rFonts w:ascii="Arial" w:hAnsi="Arial" w:cs="Arial"/>
        </w:rPr>
        <w:t xml:space="preserve">were </w:t>
      </w:r>
      <w:r w:rsidRPr="00473C11">
        <w:rPr>
          <w:rFonts w:ascii="Arial" w:hAnsi="Arial" w:cs="Arial"/>
        </w:rPr>
        <w:t>tested for both. Considering that both primary variables are needed to describe clinically</w:t>
      </w:r>
      <w:r>
        <w:rPr>
          <w:rFonts w:ascii="Arial" w:hAnsi="Arial" w:cs="Arial"/>
        </w:rPr>
        <w:t>-</w:t>
      </w:r>
      <w:r w:rsidRPr="00473C11">
        <w:rPr>
          <w:rFonts w:ascii="Arial" w:hAnsi="Arial" w:cs="Arial"/>
        </w:rPr>
        <w:t>relevant treatment benefits,</w:t>
      </w:r>
      <w:r>
        <w:rPr>
          <w:rFonts w:ascii="Arial" w:hAnsi="Arial" w:cs="Arial"/>
        </w:rPr>
        <w:t xml:space="preserve"> </w:t>
      </w:r>
      <w:r w:rsidRPr="00473C11">
        <w:rPr>
          <w:rFonts w:ascii="Arial" w:hAnsi="Arial" w:cs="Arial"/>
        </w:rPr>
        <w:t xml:space="preserve">statistical significance is needed for both primary variables. Therefore, no formal alpha adjustment was necessary, </w:t>
      </w:r>
      <w:r>
        <w:rPr>
          <w:rFonts w:ascii="Arial" w:hAnsi="Arial" w:cs="Arial"/>
        </w:rPr>
        <w:t>thus</w:t>
      </w:r>
      <w:r w:rsidRPr="00473C11">
        <w:rPr>
          <w:rFonts w:ascii="Arial" w:hAnsi="Arial" w:cs="Arial"/>
        </w:rPr>
        <w:t xml:space="preserve"> alpha error was not requested (EMA CPMP/EWP/908/99).</w:t>
      </w:r>
      <w:r w:rsidRPr="00473C11">
        <w:rPr>
          <w:rFonts w:ascii="Arial" w:hAnsi="Arial" w:cs="Arial"/>
          <w:noProof/>
        </w:rPr>
        <w:t>[4]</w:t>
      </w:r>
      <w:r>
        <w:rPr>
          <w:rFonts w:ascii="Arial" w:hAnsi="Arial" w:cs="Arial"/>
        </w:rPr>
        <w:t xml:space="preserve"> </w:t>
      </w:r>
      <w:r w:rsidRPr="00473C11">
        <w:rPr>
          <w:rFonts w:ascii="Arial" w:hAnsi="Arial" w:cs="Arial"/>
        </w:rPr>
        <w:t xml:space="preserve">However, this procedure inflates the relevant type II error, but inflation was taken into account changing the power from 80% to 90% also in the non-inferiority margin. </w:t>
      </w:r>
      <w:r>
        <w:rPr>
          <w:rFonts w:ascii="Arial" w:hAnsi="Arial" w:cs="Arial"/>
        </w:rPr>
        <w:t>O</w:t>
      </w:r>
      <w:r w:rsidRPr="00473C11">
        <w:rPr>
          <w:rFonts w:ascii="Arial" w:hAnsi="Arial" w:cs="Arial"/>
        </w:rPr>
        <w:t>verall, i.e. considering the double testing, the power would at least be 80%.</w:t>
      </w:r>
    </w:p>
    <w:p w14:paraId="2505672A" w14:textId="77777777" w:rsidR="00F34DD2" w:rsidRPr="001A6367" w:rsidRDefault="00F34DD2" w:rsidP="001E3745">
      <w:pPr>
        <w:spacing w:after="0" w:line="480" w:lineRule="auto"/>
        <w:rPr>
          <w:rFonts w:ascii="Arial" w:hAnsi="Arial" w:cs="Arial"/>
          <w:b/>
          <w:lang w:val="en-GB"/>
        </w:rPr>
      </w:pPr>
      <w:r>
        <w:rPr>
          <w:rFonts w:ascii="Arial" w:hAnsi="Arial" w:cs="Arial"/>
          <w:b/>
          <w:lang w:val="en-GB"/>
        </w:rPr>
        <w:t xml:space="preserve">S5. </w:t>
      </w:r>
      <w:r w:rsidRPr="001A6367">
        <w:rPr>
          <w:rFonts w:ascii="Arial" w:hAnsi="Arial" w:cs="Arial"/>
          <w:b/>
          <w:lang w:val="en-GB"/>
        </w:rPr>
        <w:t>Randomisation and treatment assignment in the CYRYSTAL study</w:t>
      </w:r>
    </w:p>
    <w:p w14:paraId="5B537BDD" w14:textId="48D0EFD9" w:rsidR="00F34DD2" w:rsidRPr="00D94365" w:rsidRDefault="00F34DD2" w:rsidP="00D94365">
      <w:pPr>
        <w:spacing w:after="0" w:line="480" w:lineRule="auto"/>
        <w:ind w:firstLine="720"/>
        <w:rPr>
          <w:rFonts w:ascii="Arial" w:hAnsi="Arial"/>
          <w:b/>
          <w:lang w:val="en-GB"/>
        </w:rPr>
      </w:pPr>
      <w:r w:rsidRPr="005D741D">
        <w:rPr>
          <w:rFonts w:ascii="Arial" w:hAnsi="Arial" w:cs="Arial"/>
          <w:lang w:val="en-GB"/>
        </w:rPr>
        <w:t>At Visit 2</w:t>
      </w:r>
      <w:r w:rsidR="004252DE">
        <w:rPr>
          <w:rFonts w:ascii="Arial" w:hAnsi="Arial" w:cs="Arial"/>
          <w:lang w:val="en-GB"/>
        </w:rPr>
        <w:t xml:space="preserve"> </w:t>
      </w:r>
      <w:r w:rsidR="004252DE">
        <w:rPr>
          <w:rFonts w:ascii="Arial" w:hAnsi="Arial" w:cs="Arial"/>
          <w:lang w:val="en-GB"/>
        </w:rPr>
        <w:t>(Day -7)</w:t>
      </w:r>
      <w:r w:rsidRPr="005D741D">
        <w:rPr>
          <w:rFonts w:ascii="Arial" w:hAnsi="Arial" w:cs="Arial"/>
          <w:lang w:val="en-GB"/>
        </w:rPr>
        <w:t>, all eligible patients were randomi</w:t>
      </w:r>
      <w:r>
        <w:rPr>
          <w:rFonts w:ascii="Arial" w:hAnsi="Arial" w:cs="Arial"/>
          <w:lang w:val="en-GB"/>
        </w:rPr>
        <w:t>s</w:t>
      </w:r>
      <w:r w:rsidRPr="005D741D">
        <w:rPr>
          <w:rFonts w:ascii="Arial" w:hAnsi="Arial" w:cs="Arial"/>
          <w:lang w:val="en-GB"/>
        </w:rPr>
        <w:t xml:space="preserve">ed via </w:t>
      </w:r>
      <w:bookmarkStart w:id="25" w:name="_Hlk485738710"/>
      <w:r>
        <w:rPr>
          <w:rFonts w:ascii="Arial" w:hAnsi="Arial" w:cs="Arial"/>
          <w:lang w:val="en-GB"/>
        </w:rPr>
        <w:t xml:space="preserve">an </w:t>
      </w:r>
      <w:r w:rsidRPr="005D741D">
        <w:rPr>
          <w:rFonts w:ascii="Arial" w:hAnsi="Arial" w:cs="Arial"/>
          <w:lang w:val="en-GB"/>
        </w:rPr>
        <w:t>Interactive Response Technology (IRT</w:t>
      </w:r>
      <w:bookmarkEnd w:id="25"/>
      <w:r w:rsidRPr="005D741D">
        <w:rPr>
          <w:rFonts w:ascii="Arial" w:hAnsi="Arial" w:cs="Arial"/>
          <w:lang w:val="en-GB"/>
        </w:rPr>
        <w:t>) to one of the eight random groups. The investigator or his/her delegate contacted the IRT after confirming that the patient fulfilled all the inclusion/exclusion criteria. The IRT assigned a randomi</w:t>
      </w:r>
      <w:r>
        <w:rPr>
          <w:rFonts w:ascii="Arial" w:hAnsi="Arial" w:cs="Arial"/>
          <w:lang w:val="en-GB"/>
        </w:rPr>
        <w:t>s</w:t>
      </w:r>
      <w:r w:rsidRPr="005D741D">
        <w:rPr>
          <w:rFonts w:ascii="Arial" w:hAnsi="Arial" w:cs="Arial"/>
          <w:lang w:val="en-GB"/>
        </w:rPr>
        <w:t>ation number to the patient, which was used to link the patient to a random group and specified a unique medication number for the package of experimental treatment to be dispensed to the patient. The medication of the comparator had no unique medication number and was not assigned by the IRT.</w:t>
      </w:r>
      <w:r>
        <w:rPr>
          <w:rFonts w:ascii="Arial" w:hAnsi="Arial" w:cs="Arial"/>
          <w:lang w:val="en-GB"/>
        </w:rPr>
        <w:t xml:space="preserve"> </w:t>
      </w:r>
      <w:r w:rsidRPr="005D741D">
        <w:rPr>
          <w:rFonts w:ascii="Arial" w:hAnsi="Arial" w:cs="Arial"/>
          <w:lang w:val="en-GB"/>
        </w:rPr>
        <w:t>The randomi</w:t>
      </w:r>
      <w:r>
        <w:rPr>
          <w:rFonts w:ascii="Arial" w:hAnsi="Arial" w:cs="Arial"/>
          <w:lang w:val="en-GB"/>
        </w:rPr>
        <w:t>s</w:t>
      </w:r>
      <w:r w:rsidRPr="005D741D">
        <w:rPr>
          <w:rFonts w:ascii="Arial" w:hAnsi="Arial" w:cs="Arial"/>
          <w:lang w:val="en-GB"/>
        </w:rPr>
        <w:t>ation numbers were generated using the following procedure to ensure that treatment assignment was unbiased and concealed from patients and investigator staff. A patient randomi</w:t>
      </w:r>
      <w:r>
        <w:rPr>
          <w:rFonts w:ascii="Arial" w:hAnsi="Arial" w:cs="Arial"/>
          <w:lang w:val="en-GB"/>
        </w:rPr>
        <w:t>s</w:t>
      </w:r>
      <w:r w:rsidRPr="005D741D">
        <w:rPr>
          <w:rFonts w:ascii="Arial" w:hAnsi="Arial" w:cs="Arial"/>
          <w:lang w:val="en-GB"/>
        </w:rPr>
        <w:t>ation list was produced by the IRT provider using a validated system that automates the random assignment of patient numbers to randomi</w:t>
      </w:r>
      <w:r>
        <w:rPr>
          <w:rFonts w:ascii="Arial" w:hAnsi="Arial" w:cs="Arial"/>
          <w:lang w:val="en-GB"/>
        </w:rPr>
        <w:t>s</w:t>
      </w:r>
      <w:r w:rsidRPr="005D741D">
        <w:rPr>
          <w:rFonts w:ascii="Arial" w:hAnsi="Arial" w:cs="Arial"/>
          <w:lang w:val="en-GB"/>
        </w:rPr>
        <w:t>ation numbers. These randomi</w:t>
      </w:r>
      <w:r>
        <w:rPr>
          <w:rFonts w:ascii="Arial" w:hAnsi="Arial" w:cs="Arial"/>
          <w:lang w:val="en-GB"/>
        </w:rPr>
        <w:t>s</w:t>
      </w:r>
      <w:r w:rsidRPr="005D741D">
        <w:rPr>
          <w:rFonts w:ascii="Arial" w:hAnsi="Arial" w:cs="Arial"/>
          <w:lang w:val="en-GB"/>
        </w:rPr>
        <w:t>ation numbers were linked to the different random groups, which in turn were linked to medication numbers. A separate medication list was produced by or under the responsibility of Novartis DSM using a validated system that automates the random assignment of medication numbers to packs containing the investigational drug(s).</w:t>
      </w:r>
      <w:r>
        <w:rPr>
          <w:rFonts w:ascii="Arial" w:hAnsi="Arial" w:cs="Arial"/>
          <w:b/>
          <w:lang w:val="en-GB"/>
        </w:rPr>
        <w:br w:type="page"/>
      </w:r>
    </w:p>
    <w:p w14:paraId="2CC3C3AC" w14:textId="015D7523" w:rsidR="00F34DD2" w:rsidRPr="00F20375" w:rsidRDefault="00F34DD2" w:rsidP="001E3745">
      <w:pPr>
        <w:spacing w:after="0" w:line="480" w:lineRule="auto"/>
        <w:rPr>
          <w:rFonts w:ascii="Arial" w:hAnsi="Arial" w:cs="Arial"/>
          <w:b/>
          <w:lang w:val="en-GB"/>
        </w:rPr>
      </w:pPr>
      <w:r>
        <w:rPr>
          <w:rFonts w:ascii="Arial" w:hAnsi="Arial" w:cs="Arial"/>
          <w:b/>
          <w:lang w:val="en-GB"/>
        </w:rPr>
        <w:lastRenderedPageBreak/>
        <w:t>S6. Results of GLY group</w:t>
      </w:r>
    </w:p>
    <w:p w14:paraId="6D367705" w14:textId="2D9C51F4" w:rsidR="00F34DD2" w:rsidRPr="00F20375" w:rsidRDefault="00F34DD2" w:rsidP="009445CA">
      <w:pPr>
        <w:rPr>
          <w:rFonts w:ascii="Arial" w:hAnsi="Arial" w:cs="Arial"/>
          <w:b/>
          <w:lang w:val="en-GB"/>
        </w:rPr>
      </w:pPr>
      <w:r w:rsidRPr="00F20375">
        <w:rPr>
          <w:rFonts w:ascii="Arial" w:hAnsi="Arial" w:cs="Arial"/>
          <w:b/>
          <w:lang w:val="en-GB"/>
        </w:rPr>
        <w:t>Table S</w:t>
      </w:r>
      <w:r>
        <w:rPr>
          <w:rFonts w:ascii="Arial" w:hAnsi="Arial" w:cs="Arial"/>
          <w:b/>
          <w:lang w:val="en-GB"/>
        </w:rPr>
        <w:t>1</w:t>
      </w:r>
      <w:r w:rsidRPr="00F20375">
        <w:rPr>
          <w:rFonts w:ascii="Arial" w:hAnsi="Arial" w:cs="Arial"/>
          <w:b/>
          <w:lang w:val="en-GB"/>
        </w:rPr>
        <w:t xml:space="preserve">. </w:t>
      </w:r>
      <w:r>
        <w:rPr>
          <w:rFonts w:ascii="Arial" w:hAnsi="Arial" w:cs="Arial"/>
          <w:b/>
          <w:lang w:val="en-GB"/>
        </w:rPr>
        <w:t>Demographics</w:t>
      </w:r>
      <w:r w:rsidRPr="001E3745">
        <w:rPr>
          <w:rFonts w:ascii="Arial" w:hAnsi="Arial"/>
          <w:b/>
          <w:lang w:val="en-GB"/>
        </w:rPr>
        <w:t xml:space="preserve"> and </w:t>
      </w:r>
      <w:r>
        <w:rPr>
          <w:rFonts w:ascii="Arial" w:hAnsi="Arial" w:cs="Arial"/>
          <w:b/>
          <w:lang w:val="en-GB"/>
        </w:rPr>
        <w:t>b</w:t>
      </w:r>
      <w:r w:rsidRPr="00F20375">
        <w:rPr>
          <w:rFonts w:ascii="Arial" w:hAnsi="Arial" w:cs="Arial"/>
          <w:b/>
          <w:lang w:val="en-GB"/>
        </w:rPr>
        <w:t>aseline characteristics of patients switched to GLY (</w:t>
      </w:r>
      <w:r>
        <w:rPr>
          <w:rFonts w:ascii="Arial" w:hAnsi="Arial" w:cs="Arial"/>
          <w:b/>
          <w:lang w:val="en-GB"/>
        </w:rPr>
        <w:t>ITT population)</w:t>
      </w:r>
    </w:p>
    <w:tbl>
      <w:tblPr>
        <w:tblW w:w="5110" w:type="pct"/>
        <w:tblCellMar>
          <w:left w:w="0" w:type="dxa"/>
          <w:right w:w="0" w:type="dxa"/>
        </w:tblCellMar>
        <w:tblLook w:val="0600" w:firstRow="0" w:lastRow="0" w:firstColumn="0" w:lastColumn="0" w:noHBand="1" w:noVBand="1"/>
      </w:tblPr>
      <w:tblGrid>
        <w:gridCol w:w="3150"/>
        <w:gridCol w:w="1710"/>
        <w:gridCol w:w="1349"/>
        <w:gridCol w:w="1712"/>
        <w:gridCol w:w="1645"/>
      </w:tblGrid>
      <w:tr w:rsidR="001E3745" w:rsidRPr="001A6367" w14:paraId="77486655" w14:textId="77777777" w:rsidTr="001E3745">
        <w:trPr>
          <w:trHeight w:val="387"/>
        </w:trPr>
        <w:tc>
          <w:tcPr>
            <w:tcW w:w="1646" w:type="pct"/>
            <w:tcBorders>
              <w:top w:val="single" w:sz="8" w:space="0" w:color="000000"/>
              <w:left w:val="nil"/>
              <w:bottom w:val="single" w:sz="8" w:space="0" w:color="000000"/>
              <w:right w:val="nil"/>
            </w:tcBorders>
            <w:shd w:val="clear" w:color="auto" w:fill="auto"/>
            <w:tcMar>
              <w:top w:w="16" w:type="dxa"/>
              <w:left w:w="111" w:type="dxa"/>
              <w:bottom w:w="0" w:type="dxa"/>
              <w:right w:w="111" w:type="dxa"/>
            </w:tcMar>
            <w:vAlign w:val="center"/>
            <w:hideMark/>
          </w:tcPr>
          <w:p w14:paraId="5D80FD57" w14:textId="77777777" w:rsidR="00F34DD2" w:rsidRPr="001E3745" w:rsidRDefault="00F34DD2" w:rsidP="001E3745">
            <w:pPr>
              <w:spacing w:after="0" w:line="240" w:lineRule="auto"/>
              <w:rPr>
                <w:rFonts w:ascii="Arial" w:hAnsi="Arial"/>
                <w:sz w:val="20"/>
                <w:lang w:val="en-GB"/>
              </w:rPr>
            </w:pPr>
            <w:r w:rsidRPr="001E3745">
              <w:rPr>
                <w:rFonts w:ascii="Arial" w:hAnsi="Arial"/>
                <w:b/>
                <w:color w:val="000000" w:themeColor="text1"/>
                <w:kern w:val="24"/>
                <w:sz w:val="20"/>
                <w:lang w:val="en-GB"/>
              </w:rPr>
              <w:t>Characteristics</w:t>
            </w:r>
          </w:p>
        </w:tc>
        <w:tc>
          <w:tcPr>
            <w:tcW w:w="894" w:type="pct"/>
            <w:tcBorders>
              <w:top w:val="single" w:sz="8" w:space="0" w:color="000000"/>
              <w:left w:val="nil"/>
              <w:bottom w:val="single" w:sz="8" w:space="0" w:color="000000"/>
              <w:right w:val="nil"/>
            </w:tcBorders>
            <w:shd w:val="clear" w:color="auto" w:fill="auto"/>
            <w:tcMar>
              <w:top w:w="16" w:type="dxa"/>
              <w:left w:w="73" w:type="dxa"/>
              <w:bottom w:w="0" w:type="dxa"/>
              <w:right w:w="73" w:type="dxa"/>
            </w:tcMar>
            <w:hideMark/>
          </w:tcPr>
          <w:p w14:paraId="3883DCA1" w14:textId="77777777" w:rsidR="00F34DD2" w:rsidRPr="001E3745" w:rsidRDefault="00F34DD2" w:rsidP="001E3745">
            <w:pPr>
              <w:spacing w:after="0" w:line="240" w:lineRule="auto"/>
              <w:jc w:val="center"/>
              <w:rPr>
                <w:rFonts w:ascii="Arial" w:hAnsi="Arial"/>
                <w:sz w:val="20"/>
                <w:lang w:val="en-GB"/>
              </w:rPr>
            </w:pPr>
            <w:r w:rsidRPr="001E3745">
              <w:rPr>
                <w:rFonts w:ascii="Arial" w:hAnsi="Arial"/>
                <w:b/>
                <w:color w:val="000000" w:themeColor="text1"/>
                <w:kern w:val="24"/>
                <w:sz w:val="20"/>
                <w:lang w:val="en-GB"/>
              </w:rPr>
              <w:t>SABA and/or SAMA</w:t>
            </w:r>
            <w:r w:rsidRPr="001E3745">
              <w:rPr>
                <w:rFonts w:ascii="Arial" w:hAnsi="Arial"/>
                <w:b/>
                <w:color w:val="000000" w:themeColor="text1"/>
                <w:kern w:val="24"/>
                <w:sz w:val="20"/>
                <w:lang w:val="en-GB"/>
              </w:rPr>
              <w:br/>
              <w:t>n = 122</w:t>
            </w:r>
          </w:p>
        </w:tc>
        <w:tc>
          <w:tcPr>
            <w:tcW w:w="705" w:type="pct"/>
            <w:tcBorders>
              <w:top w:val="single" w:sz="8" w:space="0" w:color="000000"/>
              <w:left w:val="nil"/>
              <w:bottom w:val="single" w:sz="8" w:space="0" w:color="000000"/>
              <w:right w:val="single" w:sz="8" w:space="0" w:color="000000"/>
            </w:tcBorders>
            <w:shd w:val="clear" w:color="auto" w:fill="auto"/>
            <w:tcMar>
              <w:top w:w="16" w:type="dxa"/>
              <w:left w:w="73" w:type="dxa"/>
              <w:bottom w:w="0" w:type="dxa"/>
              <w:right w:w="73" w:type="dxa"/>
            </w:tcMar>
            <w:hideMark/>
          </w:tcPr>
          <w:p w14:paraId="35B3E727" w14:textId="77777777" w:rsidR="00F34DD2" w:rsidRPr="001E3745" w:rsidRDefault="00F34DD2" w:rsidP="001E3745">
            <w:pPr>
              <w:spacing w:after="0" w:line="240" w:lineRule="auto"/>
              <w:jc w:val="center"/>
              <w:rPr>
                <w:rFonts w:ascii="Arial" w:hAnsi="Arial"/>
                <w:sz w:val="20"/>
                <w:lang w:val="en-GB"/>
              </w:rPr>
            </w:pPr>
            <w:r w:rsidRPr="001E3745">
              <w:rPr>
                <w:rFonts w:ascii="Arial" w:hAnsi="Arial"/>
                <w:b/>
                <w:color w:val="000000" w:themeColor="text1"/>
                <w:kern w:val="24"/>
                <w:sz w:val="20"/>
                <w:lang w:val="en-GB"/>
              </w:rPr>
              <w:t>GLY</w:t>
            </w:r>
            <w:r w:rsidRPr="001E3745">
              <w:rPr>
                <w:rFonts w:ascii="Arial" w:hAnsi="Arial"/>
                <w:b/>
                <w:color w:val="000000" w:themeColor="text1"/>
                <w:kern w:val="24"/>
                <w:sz w:val="20"/>
                <w:lang w:val="en-GB"/>
              </w:rPr>
              <w:br/>
              <w:t>n = 369</w:t>
            </w:r>
          </w:p>
        </w:tc>
        <w:tc>
          <w:tcPr>
            <w:tcW w:w="895" w:type="pct"/>
            <w:tcBorders>
              <w:top w:val="single" w:sz="8" w:space="0" w:color="000000"/>
              <w:left w:val="single" w:sz="8" w:space="0" w:color="000000"/>
              <w:bottom w:val="single" w:sz="8" w:space="0" w:color="000000"/>
              <w:right w:val="nil"/>
            </w:tcBorders>
            <w:shd w:val="clear" w:color="auto" w:fill="auto"/>
            <w:tcMar>
              <w:top w:w="16" w:type="dxa"/>
              <w:left w:w="73" w:type="dxa"/>
              <w:bottom w:w="0" w:type="dxa"/>
              <w:right w:w="73" w:type="dxa"/>
            </w:tcMar>
            <w:hideMark/>
          </w:tcPr>
          <w:p w14:paraId="51B794C4" w14:textId="77777777" w:rsidR="00F34DD2" w:rsidRPr="001E3745" w:rsidRDefault="00F34DD2" w:rsidP="001E3745">
            <w:pPr>
              <w:spacing w:after="0" w:line="240" w:lineRule="auto"/>
              <w:jc w:val="center"/>
              <w:rPr>
                <w:rFonts w:ascii="Arial" w:hAnsi="Arial"/>
                <w:sz w:val="20"/>
                <w:lang w:val="en-GB"/>
              </w:rPr>
            </w:pPr>
            <w:r w:rsidRPr="001E3745">
              <w:rPr>
                <w:rFonts w:ascii="Arial" w:hAnsi="Arial"/>
                <w:b/>
                <w:color w:val="000000" w:themeColor="text1"/>
                <w:kern w:val="24"/>
                <w:sz w:val="20"/>
                <w:lang w:val="en-GB"/>
              </w:rPr>
              <w:t>LABA or LAMA</w:t>
            </w:r>
            <w:r w:rsidRPr="001E3745">
              <w:rPr>
                <w:rFonts w:ascii="Arial" w:hAnsi="Arial"/>
                <w:b/>
                <w:color w:val="000000" w:themeColor="text1"/>
                <w:kern w:val="24"/>
                <w:sz w:val="20"/>
                <w:vertAlign w:val="superscript"/>
                <w:lang w:val="en-GB"/>
              </w:rPr>
              <w:t>#</w:t>
            </w:r>
            <w:r w:rsidRPr="001E3745">
              <w:rPr>
                <w:rFonts w:ascii="Arial" w:hAnsi="Arial"/>
                <w:b/>
                <w:color w:val="000000" w:themeColor="text1"/>
                <w:kern w:val="24"/>
                <w:sz w:val="20"/>
                <w:lang w:val="en-GB"/>
              </w:rPr>
              <w:br/>
              <w:t>n = 420</w:t>
            </w:r>
          </w:p>
        </w:tc>
        <w:tc>
          <w:tcPr>
            <w:tcW w:w="860" w:type="pct"/>
            <w:tcBorders>
              <w:top w:val="single" w:sz="8" w:space="0" w:color="000000"/>
              <w:left w:val="nil"/>
              <w:bottom w:val="single" w:sz="8" w:space="0" w:color="000000"/>
              <w:right w:val="nil"/>
            </w:tcBorders>
            <w:shd w:val="clear" w:color="auto" w:fill="auto"/>
            <w:tcMar>
              <w:top w:w="16" w:type="dxa"/>
              <w:left w:w="73" w:type="dxa"/>
              <w:bottom w:w="0" w:type="dxa"/>
              <w:right w:w="73" w:type="dxa"/>
            </w:tcMar>
            <w:hideMark/>
          </w:tcPr>
          <w:p w14:paraId="0AD2F5A1" w14:textId="77777777" w:rsidR="00F34DD2" w:rsidRPr="001E3745" w:rsidRDefault="00F34DD2" w:rsidP="001E3745">
            <w:pPr>
              <w:spacing w:after="0" w:line="240" w:lineRule="auto"/>
              <w:jc w:val="center"/>
              <w:rPr>
                <w:rFonts w:ascii="Arial" w:hAnsi="Arial"/>
                <w:sz w:val="20"/>
                <w:lang w:val="en-GB"/>
              </w:rPr>
            </w:pPr>
            <w:r w:rsidRPr="001E3745">
              <w:rPr>
                <w:rFonts w:ascii="Arial" w:hAnsi="Arial"/>
                <w:b/>
                <w:color w:val="000000" w:themeColor="text1"/>
                <w:kern w:val="24"/>
                <w:sz w:val="20"/>
                <w:lang w:val="en-GB"/>
              </w:rPr>
              <w:t>GLY</w:t>
            </w:r>
            <w:r w:rsidRPr="001E3745">
              <w:rPr>
                <w:rFonts w:ascii="Arial" w:hAnsi="Arial"/>
                <w:b/>
                <w:color w:val="000000" w:themeColor="text1"/>
                <w:kern w:val="24"/>
                <w:sz w:val="20"/>
                <w:vertAlign w:val="superscript"/>
                <w:lang w:val="en-GB"/>
              </w:rPr>
              <w:t>#</w:t>
            </w:r>
          </w:p>
          <w:p w14:paraId="5A25CD78" w14:textId="77777777" w:rsidR="00F34DD2" w:rsidRPr="001E3745" w:rsidRDefault="00F34DD2" w:rsidP="001E3745">
            <w:pPr>
              <w:spacing w:after="0" w:line="240" w:lineRule="auto"/>
              <w:jc w:val="center"/>
              <w:rPr>
                <w:rFonts w:ascii="Arial" w:hAnsi="Arial"/>
                <w:sz w:val="20"/>
                <w:lang w:val="en-GB"/>
              </w:rPr>
            </w:pPr>
            <w:r w:rsidRPr="001E3745">
              <w:rPr>
                <w:rFonts w:ascii="Arial" w:hAnsi="Arial"/>
                <w:b/>
                <w:color w:val="000000" w:themeColor="text1"/>
                <w:kern w:val="24"/>
                <w:sz w:val="20"/>
                <w:lang w:val="en-GB"/>
              </w:rPr>
              <w:t xml:space="preserve">n = 1254 </w:t>
            </w:r>
          </w:p>
        </w:tc>
      </w:tr>
      <w:tr w:rsidR="001E3745" w:rsidRPr="001A6367" w14:paraId="2AC429BA" w14:textId="77777777" w:rsidTr="001E3745">
        <w:trPr>
          <w:trHeight w:val="324"/>
        </w:trPr>
        <w:tc>
          <w:tcPr>
            <w:tcW w:w="1646" w:type="pct"/>
            <w:tcBorders>
              <w:top w:val="single" w:sz="8" w:space="0" w:color="000000"/>
              <w:left w:val="nil"/>
              <w:bottom w:val="nil"/>
              <w:right w:val="nil"/>
            </w:tcBorders>
            <w:shd w:val="clear" w:color="auto" w:fill="auto"/>
            <w:tcMar>
              <w:top w:w="16" w:type="dxa"/>
              <w:left w:w="111" w:type="dxa"/>
              <w:bottom w:w="0" w:type="dxa"/>
              <w:right w:w="111" w:type="dxa"/>
            </w:tcMar>
            <w:hideMark/>
          </w:tcPr>
          <w:p w14:paraId="2F8AC0BE" w14:textId="77777777" w:rsidR="00F34DD2" w:rsidRPr="001E3745" w:rsidRDefault="00F34DD2" w:rsidP="001E3745">
            <w:pPr>
              <w:spacing w:after="0" w:line="240" w:lineRule="auto"/>
              <w:rPr>
                <w:rFonts w:ascii="Arial" w:hAnsi="Arial"/>
                <w:sz w:val="20"/>
                <w:lang w:val="en-GB"/>
              </w:rPr>
            </w:pPr>
            <w:r w:rsidRPr="001E3745">
              <w:rPr>
                <w:rFonts w:ascii="Arial" w:hAnsi="Arial"/>
                <w:color w:val="000000" w:themeColor="text1"/>
                <w:kern w:val="24"/>
                <w:sz w:val="20"/>
                <w:lang w:val="en-GB"/>
              </w:rPr>
              <w:t xml:space="preserve">Age, years </w:t>
            </w:r>
          </w:p>
        </w:tc>
        <w:tc>
          <w:tcPr>
            <w:tcW w:w="894" w:type="pct"/>
            <w:tcBorders>
              <w:top w:val="single" w:sz="8" w:space="0" w:color="000000"/>
              <w:left w:val="nil"/>
              <w:bottom w:val="nil"/>
              <w:right w:val="nil"/>
            </w:tcBorders>
            <w:shd w:val="clear" w:color="auto" w:fill="auto"/>
            <w:tcMar>
              <w:top w:w="16" w:type="dxa"/>
              <w:left w:w="73" w:type="dxa"/>
              <w:bottom w:w="0" w:type="dxa"/>
              <w:right w:w="73" w:type="dxa"/>
            </w:tcMar>
            <w:hideMark/>
          </w:tcPr>
          <w:p w14:paraId="79110838"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64.1 (7.8)</w:t>
            </w:r>
          </w:p>
        </w:tc>
        <w:tc>
          <w:tcPr>
            <w:tcW w:w="705" w:type="pct"/>
            <w:tcBorders>
              <w:top w:val="single" w:sz="8" w:space="0" w:color="000000"/>
              <w:left w:val="nil"/>
              <w:bottom w:val="nil"/>
              <w:right w:val="single" w:sz="8" w:space="0" w:color="000000"/>
            </w:tcBorders>
            <w:shd w:val="clear" w:color="auto" w:fill="auto"/>
            <w:tcMar>
              <w:top w:w="16" w:type="dxa"/>
              <w:left w:w="73" w:type="dxa"/>
              <w:bottom w:w="0" w:type="dxa"/>
              <w:right w:w="73" w:type="dxa"/>
            </w:tcMar>
            <w:hideMark/>
          </w:tcPr>
          <w:p w14:paraId="1D754C53"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63.1 (8.4)</w:t>
            </w:r>
          </w:p>
        </w:tc>
        <w:tc>
          <w:tcPr>
            <w:tcW w:w="895" w:type="pct"/>
            <w:tcBorders>
              <w:top w:val="single" w:sz="8" w:space="0" w:color="000000"/>
              <w:left w:val="single" w:sz="8" w:space="0" w:color="000000"/>
              <w:bottom w:val="nil"/>
              <w:right w:val="nil"/>
            </w:tcBorders>
            <w:shd w:val="clear" w:color="auto" w:fill="auto"/>
            <w:tcMar>
              <w:top w:w="16" w:type="dxa"/>
              <w:left w:w="73" w:type="dxa"/>
              <w:bottom w:w="0" w:type="dxa"/>
              <w:right w:w="73" w:type="dxa"/>
            </w:tcMar>
            <w:hideMark/>
          </w:tcPr>
          <w:p w14:paraId="37FDC8EC"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64.6 (8.2)</w:t>
            </w:r>
          </w:p>
        </w:tc>
        <w:tc>
          <w:tcPr>
            <w:tcW w:w="860" w:type="pct"/>
            <w:tcBorders>
              <w:top w:val="single" w:sz="8" w:space="0" w:color="000000"/>
              <w:left w:val="nil"/>
              <w:bottom w:val="nil"/>
              <w:right w:val="nil"/>
            </w:tcBorders>
            <w:shd w:val="clear" w:color="auto" w:fill="auto"/>
            <w:tcMar>
              <w:top w:w="16" w:type="dxa"/>
              <w:left w:w="73" w:type="dxa"/>
              <w:bottom w:w="0" w:type="dxa"/>
              <w:right w:w="73" w:type="dxa"/>
            </w:tcMar>
            <w:hideMark/>
          </w:tcPr>
          <w:p w14:paraId="1E11C520"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64.4 (8.2)</w:t>
            </w:r>
          </w:p>
        </w:tc>
      </w:tr>
      <w:tr w:rsidR="001E3745" w:rsidRPr="001A6367" w14:paraId="2B003BD3" w14:textId="77777777" w:rsidTr="001E3745">
        <w:trPr>
          <w:trHeight w:val="254"/>
        </w:trPr>
        <w:tc>
          <w:tcPr>
            <w:tcW w:w="1646" w:type="pct"/>
            <w:tcBorders>
              <w:top w:val="nil"/>
              <w:left w:val="nil"/>
              <w:bottom w:val="nil"/>
              <w:right w:val="nil"/>
            </w:tcBorders>
            <w:shd w:val="clear" w:color="auto" w:fill="auto"/>
            <w:tcMar>
              <w:top w:w="16" w:type="dxa"/>
              <w:left w:w="111" w:type="dxa"/>
              <w:bottom w:w="0" w:type="dxa"/>
              <w:right w:w="111" w:type="dxa"/>
            </w:tcMar>
            <w:hideMark/>
          </w:tcPr>
          <w:p w14:paraId="42819AE3" w14:textId="77777777" w:rsidR="00F34DD2" w:rsidRPr="001E3745" w:rsidRDefault="00F34DD2" w:rsidP="001E3745">
            <w:pPr>
              <w:spacing w:after="0" w:line="240" w:lineRule="auto"/>
              <w:rPr>
                <w:rFonts w:ascii="Arial" w:hAnsi="Arial"/>
                <w:sz w:val="20"/>
                <w:lang w:val="en-GB"/>
              </w:rPr>
            </w:pPr>
            <w:r w:rsidRPr="001E3745">
              <w:rPr>
                <w:rFonts w:ascii="Arial" w:hAnsi="Arial"/>
                <w:color w:val="000000" w:themeColor="text1"/>
                <w:kern w:val="24"/>
                <w:sz w:val="20"/>
                <w:lang w:val="en-GB"/>
              </w:rPr>
              <w:t>Gender – male, n (%)</w:t>
            </w:r>
          </w:p>
        </w:tc>
        <w:tc>
          <w:tcPr>
            <w:tcW w:w="894" w:type="pct"/>
            <w:tcBorders>
              <w:top w:val="nil"/>
              <w:left w:val="nil"/>
              <w:bottom w:val="nil"/>
              <w:right w:val="nil"/>
            </w:tcBorders>
            <w:shd w:val="clear" w:color="auto" w:fill="auto"/>
            <w:tcMar>
              <w:top w:w="16" w:type="dxa"/>
              <w:left w:w="73" w:type="dxa"/>
              <w:bottom w:w="0" w:type="dxa"/>
              <w:right w:w="73" w:type="dxa"/>
            </w:tcMar>
            <w:hideMark/>
          </w:tcPr>
          <w:p w14:paraId="011FD9E6" w14:textId="7043268F"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77 (63.1</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705" w:type="pct"/>
            <w:tcBorders>
              <w:top w:val="nil"/>
              <w:left w:val="nil"/>
              <w:bottom w:val="nil"/>
              <w:right w:val="single" w:sz="8" w:space="0" w:color="000000"/>
            </w:tcBorders>
            <w:shd w:val="clear" w:color="auto" w:fill="auto"/>
            <w:tcMar>
              <w:top w:w="16" w:type="dxa"/>
              <w:left w:w="73" w:type="dxa"/>
              <w:bottom w:w="0" w:type="dxa"/>
              <w:right w:w="73" w:type="dxa"/>
            </w:tcMar>
            <w:hideMark/>
          </w:tcPr>
          <w:p w14:paraId="3DF70174" w14:textId="5B2B419F"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253 (68.6</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895" w:type="pct"/>
            <w:tcBorders>
              <w:top w:val="nil"/>
              <w:left w:val="single" w:sz="8" w:space="0" w:color="000000"/>
              <w:bottom w:val="nil"/>
              <w:right w:val="nil"/>
            </w:tcBorders>
            <w:shd w:val="clear" w:color="auto" w:fill="auto"/>
            <w:tcMar>
              <w:top w:w="16" w:type="dxa"/>
              <w:left w:w="73" w:type="dxa"/>
              <w:bottom w:w="0" w:type="dxa"/>
              <w:right w:w="73" w:type="dxa"/>
            </w:tcMar>
            <w:hideMark/>
          </w:tcPr>
          <w:p w14:paraId="47FFA21F" w14:textId="25814C6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288 (68.6</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860" w:type="pct"/>
            <w:tcBorders>
              <w:top w:val="nil"/>
              <w:left w:val="nil"/>
              <w:bottom w:val="nil"/>
              <w:right w:val="nil"/>
            </w:tcBorders>
            <w:shd w:val="clear" w:color="auto" w:fill="auto"/>
            <w:tcMar>
              <w:top w:w="16" w:type="dxa"/>
              <w:left w:w="73" w:type="dxa"/>
              <w:bottom w:w="0" w:type="dxa"/>
              <w:right w:w="73" w:type="dxa"/>
            </w:tcMar>
            <w:hideMark/>
          </w:tcPr>
          <w:p w14:paraId="34FB628B" w14:textId="6C5CC483"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885 (70.6</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r>
      <w:tr w:rsidR="001E3745" w:rsidRPr="001A6367" w14:paraId="6BC49ED9" w14:textId="77777777" w:rsidTr="001E3745">
        <w:trPr>
          <w:trHeight w:val="427"/>
        </w:trPr>
        <w:tc>
          <w:tcPr>
            <w:tcW w:w="1646" w:type="pct"/>
            <w:tcBorders>
              <w:top w:val="nil"/>
              <w:left w:val="nil"/>
              <w:bottom w:val="nil"/>
              <w:right w:val="nil"/>
            </w:tcBorders>
            <w:shd w:val="clear" w:color="auto" w:fill="auto"/>
            <w:tcMar>
              <w:top w:w="13" w:type="dxa"/>
              <w:left w:w="13" w:type="dxa"/>
              <w:bottom w:w="0" w:type="dxa"/>
              <w:right w:w="13" w:type="dxa"/>
            </w:tcMar>
            <w:vAlign w:val="center"/>
            <w:hideMark/>
          </w:tcPr>
          <w:p w14:paraId="4303D283" w14:textId="77777777" w:rsidR="00F34DD2" w:rsidRPr="001E3745" w:rsidRDefault="00F34DD2" w:rsidP="001E3745">
            <w:pPr>
              <w:spacing w:after="0" w:line="240" w:lineRule="auto"/>
              <w:ind w:left="72"/>
              <w:rPr>
                <w:rFonts w:ascii="Arial" w:hAnsi="Arial"/>
                <w:sz w:val="20"/>
                <w:lang w:val="en-GB"/>
              </w:rPr>
            </w:pPr>
            <w:r w:rsidRPr="001E3745">
              <w:rPr>
                <w:rFonts w:ascii="Arial" w:hAnsi="Arial"/>
                <w:color w:val="000000" w:themeColor="text1"/>
                <w:kern w:val="24"/>
                <w:sz w:val="20"/>
                <w:lang w:val="en-GB"/>
              </w:rPr>
              <w:t>Current smoker</w:t>
            </w:r>
          </w:p>
        </w:tc>
        <w:tc>
          <w:tcPr>
            <w:tcW w:w="894" w:type="pct"/>
            <w:tcBorders>
              <w:top w:val="nil"/>
              <w:left w:val="nil"/>
              <w:bottom w:val="nil"/>
              <w:right w:val="nil"/>
            </w:tcBorders>
            <w:shd w:val="clear" w:color="auto" w:fill="auto"/>
            <w:tcMar>
              <w:top w:w="16" w:type="dxa"/>
              <w:left w:w="111" w:type="dxa"/>
              <w:bottom w:w="0" w:type="dxa"/>
              <w:right w:w="111" w:type="dxa"/>
            </w:tcMar>
            <w:vAlign w:val="center"/>
            <w:hideMark/>
          </w:tcPr>
          <w:p w14:paraId="04AFC2A9"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90 (73.8)</w:t>
            </w:r>
          </w:p>
        </w:tc>
        <w:tc>
          <w:tcPr>
            <w:tcW w:w="705" w:type="pct"/>
            <w:tcBorders>
              <w:top w:val="nil"/>
              <w:left w:val="nil"/>
              <w:bottom w:val="nil"/>
              <w:right w:val="single" w:sz="8" w:space="0" w:color="000000"/>
            </w:tcBorders>
            <w:shd w:val="clear" w:color="auto" w:fill="auto"/>
            <w:tcMar>
              <w:top w:w="16" w:type="dxa"/>
              <w:left w:w="111" w:type="dxa"/>
              <w:bottom w:w="0" w:type="dxa"/>
              <w:right w:w="111" w:type="dxa"/>
            </w:tcMar>
            <w:vAlign w:val="center"/>
            <w:hideMark/>
          </w:tcPr>
          <w:p w14:paraId="65CB836A"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220 (59.6)</w:t>
            </w:r>
          </w:p>
        </w:tc>
        <w:tc>
          <w:tcPr>
            <w:tcW w:w="895" w:type="pct"/>
            <w:tcBorders>
              <w:top w:val="nil"/>
              <w:left w:val="single" w:sz="8" w:space="0" w:color="000000"/>
              <w:bottom w:val="nil"/>
              <w:right w:val="nil"/>
            </w:tcBorders>
            <w:shd w:val="clear" w:color="auto" w:fill="auto"/>
            <w:tcMar>
              <w:top w:w="16" w:type="dxa"/>
              <w:left w:w="111" w:type="dxa"/>
              <w:bottom w:w="0" w:type="dxa"/>
              <w:right w:w="111" w:type="dxa"/>
            </w:tcMar>
            <w:vAlign w:val="center"/>
            <w:hideMark/>
          </w:tcPr>
          <w:p w14:paraId="4B7D7849"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213 (50.7)</w:t>
            </w:r>
          </w:p>
        </w:tc>
        <w:tc>
          <w:tcPr>
            <w:tcW w:w="860" w:type="pct"/>
            <w:tcBorders>
              <w:top w:val="nil"/>
              <w:left w:val="nil"/>
              <w:bottom w:val="nil"/>
              <w:right w:val="nil"/>
            </w:tcBorders>
            <w:shd w:val="clear" w:color="auto" w:fill="auto"/>
            <w:tcMar>
              <w:top w:w="16" w:type="dxa"/>
              <w:left w:w="111" w:type="dxa"/>
              <w:bottom w:w="0" w:type="dxa"/>
              <w:right w:w="111" w:type="dxa"/>
            </w:tcMar>
            <w:vAlign w:val="center"/>
            <w:hideMark/>
          </w:tcPr>
          <w:p w14:paraId="277C6F3F"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669 (53.4)</w:t>
            </w:r>
          </w:p>
        </w:tc>
      </w:tr>
      <w:tr w:rsidR="001E3745" w:rsidRPr="001A6367" w14:paraId="5BF3F94C" w14:textId="77777777" w:rsidTr="001E3745">
        <w:trPr>
          <w:trHeight w:val="353"/>
        </w:trPr>
        <w:tc>
          <w:tcPr>
            <w:tcW w:w="1646" w:type="pct"/>
            <w:tcBorders>
              <w:top w:val="nil"/>
              <w:left w:val="nil"/>
              <w:bottom w:val="nil"/>
              <w:right w:val="nil"/>
            </w:tcBorders>
            <w:shd w:val="clear" w:color="auto" w:fill="auto"/>
            <w:tcMar>
              <w:top w:w="16" w:type="dxa"/>
              <w:left w:w="111" w:type="dxa"/>
              <w:bottom w:w="0" w:type="dxa"/>
              <w:right w:w="111" w:type="dxa"/>
            </w:tcMar>
            <w:hideMark/>
          </w:tcPr>
          <w:p w14:paraId="710ED84D" w14:textId="77777777" w:rsidR="00F34DD2" w:rsidRPr="001E3745" w:rsidRDefault="00F34DD2" w:rsidP="001E3745">
            <w:pPr>
              <w:spacing w:after="0" w:line="240" w:lineRule="auto"/>
              <w:rPr>
                <w:rFonts w:ascii="Arial" w:hAnsi="Arial"/>
                <w:sz w:val="20"/>
                <w:lang w:val="en-GB"/>
              </w:rPr>
            </w:pPr>
            <w:r w:rsidRPr="001E3745">
              <w:rPr>
                <w:rFonts w:ascii="Arial" w:hAnsi="Arial"/>
                <w:color w:val="000000" w:themeColor="text1"/>
                <w:kern w:val="24"/>
                <w:sz w:val="20"/>
                <w:lang w:val="en-GB"/>
              </w:rPr>
              <w:t>Post-bronchodilator FEV</w:t>
            </w:r>
            <w:r w:rsidRPr="001E3745">
              <w:rPr>
                <w:rFonts w:ascii="Arial" w:hAnsi="Arial"/>
                <w:color w:val="000000" w:themeColor="text1"/>
                <w:kern w:val="24"/>
                <w:position w:val="-8"/>
                <w:sz w:val="20"/>
                <w:vertAlign w:val="subscript"/>
                <w:lang w:val="en-GB"/>
              </w:rPr>
              <w:t>1</w:t>
            </w:r>
            <w:r w:rsidRPr="001E3745">
              <w:rPr>
                <w:rFonts w:ascii="Arial" w:hAnsi="Arial"/>
                <w:color w:val="000000" w:themeColor="text1"/>
                <w:kern w:val="24"/>
                <w:sz w:val="20"/>
                <w:lang w:val="en-GB"/>
              </w:rPr>
              <w:t>, L</w:t>
            </w:r>
          </w:p>
        </w:tc>
        <w:tc>
          <w:tcPr>
            <w:tcW w:w="894" w:type="pct"/>
            <w:tcBorders>
              <w:top w:val="nil"/>
              <w:left w:val="nil"/>
              <w:bottom w:val="nil"/>
              <w:right w:val="nil"/>
            </w:tcBorders>
            <w:shd w:val="clear" w:color="auto" w:fill="auto"/>
            <w:tcMar>
              <w:top w:w="16" w:type="dxa"/>
              <w:left w:w="111" w:type="dxa"/>
              <w:bottom w:w="0" w:type="dxa"/>
              <w:right w:w="111" w:type="dxa"/>
            </w:tcMar>
            <w:hideMark/>
          </w:tcPr>
          <w:p w14:paraId="618CEA59"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1.90 (0.5)</w:t>
            </w:r>
          </w:p>
        </w:tc>
        <w:tc>
          <w:tcPr>
            <w:tcW w:w="705" w:type="pct"/>
            <w:tcBorders>
              <w:top w:val="nil"/>
              <w:left w:val="nil"/>
              <w:bottom w:val="nil"/>
              <w:right w:val="single" w:sz="8" w:space="0" w:color="000000"/>
            </w:tcBorders>
            <w:shd w:val="clear" w:color="auto" w:fill="auto"/>
            <w:tcMar>
              <w:top w:w="16" w:type="dxa"/>
              <w:left w:w="111" w:type="dxa"/>
              <w:bottom w:w="0" w:type="dxa"/>
              <w:right w:w="111" w:type="dxa"/>
            </w:tcMar>
            <w:hideMark/>
          </w:tcPr>
          <w:p w14:paraId="76073338"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1.90 (0.5)</w:t>
            </w:r>
          </w:p>
        </w:tc>
        <w:tc>
          <w:tcPr>
            <w:tcW w:w="895" w:type="pct"/>
            <w:tcBorders>
              <w:top w:val="nil"/>
              <w:left w:val="single" w:sz="8" w:space="0" w:color="000000"/>
              <w:bottom w:val="nil"/>
              <w:right w:val="nil"/>
            </w:tcBorders>
            <w:shd w:val="clear" w:color="auto" w:fill="auto"/>
            <w:tcMar>
              <w:top w:w="16" w:type="dxa"/>
              <w:left w:w="111" w:type="dxa"/>
              <w:bottom w:w="0" w:type="dxa"/>
              <w:right w:w="111" w:type="dxa"/>
            </w:tcMar>
            <w:hideMark/>
          </w:tcPr>
          <w:p w14:paraId="0D44D1D9"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1.90 (0.4)</w:t>
            </w:r>
          </w:p>
        </w:tc>
        <w:tc>
          <w:tcPr>
            <w:tcW w:w="860" w:type="pct"/>
            <w:tcBorders>
              <w:top w:val="nil"/>
              <w:left w:val="nil"/>
              <w:bottom w:val="nil"/>
              <w:right w:val="nil"/>
            </w:tcBorders>
            <w:shd w:val="clear" w:color="auto" w:fill="auto"/>
            <w:tcMar>
              <w:top w:w="16" w:type="dxa"/>
              <w:left w:w="111" w:type="dxa"/>
              <w:bottom w:w="0" w:type="dxa"/>
              <w:right w:w="111" w:type="dxa"/>
            </w:tcMar>
            <w:hideMark/>
          </w:tcPr>
          <w:p w14:paraId="243337E4"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1.91 (0.5)</w:t>
            </w:r>
          </w:p>
        </w:tc>
      </w:tr>
      <w:tr w:rsidR="001E3745" w:rsidRPr="001A6367" w14:paraId="205522E5" w14:textId="77777777" w:rsidTr="001E3745">
        <w:trPr>
          <w:trHeight w:val="614"/>
        </w:trPr>
        <w:tc>
          <w:tcPr>
            <w:tcW w:w="1646" w:type="pct"/>
            <w:tcBorders>
              <w:top w:val="nil"/>
              <w:left w:val="nil"/>
              <w:bottom w:val="nil"/>
              <w:right w:val="nil"/>
            </w:tcBorders>
            <w:shd w:val="clear" w:color="auto" w:fill="auto"/>
            <w:tcMar>
              <w:top w:w="16" w:type="dxa"/>
              <w:left w:w="111" w:type="dxa"/>
              <w:bottom w:w="0" w:type="dxa"/>
              <w:right w:w="111" w:type="dxa"/>
            </w:tcMar>
            <w:hideMark/>
          </w:tcPr>
          <w:p w14:paraId="39AFBFC9" w14:textId="77777777" w:rsidR="00F34DD2" w:rsidRPr="001E3745" w:rsidRDefault="00F34DD2" w:rsidP="001E3745">
            <w:pPr>
              <w:spacing w:after="0" w:line="240" w:lineRule="auto"/>
              <w:rPr>
                <w:rFonts w:ascii="Arial" w:hAnsi="Arial"/>
                <w:sz w:val="20"/>
                <w:lang w:val="en-GB"/>
              </w:rPr>
            </w:pPr>
            <w:r w:rsidRPr="001E3745">
              <w:rPr>
                <w:rFonts w:ascii="Arial" w:hAnsi="Arial"/>
                <w:color w:val="000000" w:themeColor="text1"/>
                <w:kern w:val="24"/>
                <w:sz w:val="20"/>
                <w:lang w:val="en-GB"/>
              </w:rPr>
              <w:t>Post-bronchodilator FEV</w:t>
            </w:r>
            <w:r w:rsidRPr="001E3745">
              <w:rPr>
                <w:rFonts w:ascii="Arial" w:hAnsi="Arial"/>
                <w:color w:val="000000" w:themeColor="text1"/>
                <w:kern w:val="24"/>
                <w:position w:val="-8"/>
                <w:sz w:val="20"/>
                <w:vertAlign w:val="subscript"/>
                <w:lang w:val="en-GB"/>
              </w:rPr>
              <w:t>1</w:t>
            </w:r>
            <w:r w:rsidRPr="001E3745">
              <w:rPr>
                <w:rFonts w:ascii="Arial" w:hAnsi="Arial"/>
                <w:color w:val="000000" w:themeColor="text1"/>
                <w:kern w:val="24"/>
                <w:sz w:val="20"/>
                <w:lang w:val="en-GB"/>
              </w:rPr>
              <w:t>, % predicted of normal value</w:t>
            </w:r>
          </w:p>
        </w:tc>
        <w:tc>
          <w:tcPr>
            <w:tcW w:w="894" w:type="pct"/>
            <w:tcBorders>
              <w:top w:val="nil"/>
              <w:left w:val="nil"/>
              <w:bottom w:val="nil"/>
              <w:right w:val="nil"/>
            </w:tcBorders>
            <w:shd w:val="clear" w:color="auto" w:fill="auto"/>
            <w:tcMar>
              <w:top w:w="16" w:type="dxa"/>
              <w:left w:w="73" w:type="dxa"/>
              <w:bottom w:w="0" w:type="dxa"/>
              <w:right w:w="73" w:type="dxa"/>
            </w:tcMar>
            <w:hideMark/>
          </w:tcPr>
          <w:p w14:paraId="265D606E"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66.5 (7.6)</w:t>
            </w:r>
          </w:p>
        </w:tc>
        <w:tc>
          <w:tcPr>
            <w:tcW w:w="705" w:type="pct"/>
            <w:tcBorders>
              <w:top w:val="nil"/>
              <w:left w:val="nil"/>
              <w:bottom w:val="nil"/>
              <w:right w:val="single" w:sz="8" w:space="0" w:color="000000"/>
            </w:tcBorders>
            <w:shd w:val="clear" w:color="auto" w:fill="auto"/>
            <w:tcMar>
              <w:top w:w="16" w:type="dxa"/>
              <w:left w:w="73" w:type="dxa"/>
              <w:bottom w:w="0" w:type="dxa"/>
              <w:right w:w="73" w:type="dxa"/>
            </w:tcMar>
            <w:hideMark/>
          </w:tcPr>
          <w:p w14:paraId="674930B4"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65.7 (8.7)</w:t>
            </w:r>
          </w:p>
        </w:tc>
        <w:tc>
          <w:tcPr>
            <w:tcW w:w="895" w:type="pct"/>
            <w:tcBorders>
              <w:top w:val="nil"/>
              <w:left w:val="single" w:sz="8" w:space="0" w:color="000000"/>
              <w:bottom w:val="nil"/>
              <w:right w:val="nil"/>
            </w:tcBorders>
            <w:shd w:val="clear" w:color="auto" w:fill="auto"/>
            <w:tcMar>
              <w:top w:w="16" w:type="dxa"/>
              <w:left w:w="73" w:type="dxa"/>
              <w:bottom w:w="0" w:type="dxa"/>
              <w:right w:w="73" w:type="dxa"/>
            </w:tcMar>
            <w:hideMark/>
          </w:tcPr>
          <w:p w14:paraId="7DDE53EF"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66.1 (8.4)</w:t>
            </w:r>
          </w:p>
        </w:tc>
        <w:tc>
          <w:tcPr>
            <w:tcW w:w="860" w:type="pct"/>
            <w:tcBorders>
              <w:top w:val="nil"/>
              <w:left w:val="nil"/>
              <w:bottom w:val="nil"/>
              <w:right w:val="nil"/>
            </w:tcBorders>
            <w:shd w:val="clear" w:color="auto" w:fill="auto"/>
            <w:tcMar>
              <w:top w:w="16" w:type="dxa"/>
              <w:left w:w="73" w:type="dxa"/>
              <w:bottom w:w="0" w:type="dxa"/>
              <w:right w:w="73" w:type="dxa"/>
            </w:tcMar>
            <w:hideMark/>
          </w:tcPr>
          <w:p w14:paraId="55470344"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65.6 (8.7)</w:t>
            </w:r>
          </w:p>
        </w:tc>
      </w:tr>
      <w:tr w:rsidR="001E3745" w:rsidRPr="001A6367" w14:paraId="5B5D11CD" w14:textId="77777777" w:rsidTr="001E3745">
        <w:trPr>
          <w:trHeight w:val="427"/>
        </w:trPr>
        <w:tc>
          <w:tcPr>
            <w:tcW w:w="1646" w:type="pct"/>
            <w:tcBorders>
              <w:top w:val="nil"/>
              <w:left w:val="nil"/>
              <w:bottom w:val="nil"/>
              <w:right w:val="nil"/>
            </w:tcBorders>
            <w:shd w:val="clear" w:color="auto" w:fill="auto"/>
            <w:tcMar>
              <w:top w:w="16" w:type="dxa"/>
              <w:left w:w="111" w:type="dxa"/>
              <w:bottom w:w="0" w:type="dxa"/>
              <w:right w:w="111" w:type="dxa"/>
            </w:tcMar>
            <w:hideMark/>
          </w:tcPr>
          <w:p w14:paraId="7D2860D6" w14:textId="77777777" w:rsidR="00F34DD2" w:rsidRPr="001E3745" w:rsidRDefault="00F34DD2" w:rsidP="001E3745">
            <w:pPr>
              <w:spacing w:after="0" w:line="240" w:lineRule="auto"/>
              <w:rPr>
                <w:rFonts w:ascii="Arial" w:hAnsi="Arial"/>
                <w:sz w:val="20"/>
                <w:lang w:val="en-GB"/>
              </w:rPr>
            </w:pPr>
            <w:r w:rsidRPr="001E3745">
              <w:rPr>
                <w:rFonts w:ascii="Arial" w:hAnsi="Arial"/>
                <w:color w:val="000000" w:themeColor="text1"/>
                <w:kern w:val="24"/>
                <w:sz w:val="20"/>
                <w:lang w:val="en-GB"/>
              </w:rPr>
              <w:t xml:space="preserve">Dyspnoea – mMRC grade, n (%) </w:t>
            </w:r>
          </w:p>
        </w:tc>
        <w:tc>
          <w:tcPr>
            <w:tcW w:w="894" w:type="pct"/>
            <w:tcBorders>
              <w:top w:val="nil"/>
              <w:left w:val="nil"/>
              <w:bottom w:val="nil"/>
              <w:right w:val="nil"/>
            </w:tcBorders>
            <w:shd w:val="clear" w:color="auto" w:fill="auto"/>
            <w:tcMar>
              <w:top w:w="16" w:type="dxa"/>
              <w:left w:w="73" w:type="dxa"/>
              <w:bottom w:w="0" w:type="dxa"/>
              <w:right w:w="73" w:type="dxa"/>
            </w:tcMar>
            <w:hideMark/>
          </w:tcPr>
          <w:p w14:paraId="1117F40C"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 </w:t>
            </w:r>
          </w:p>
        </w:tc>
        <w:tc>
          <w:tcPr>
            <w:tcW w:w="705" w:type="pct"/>
            <w:tcBorders>
              <w:top w:val="nil"/>
              <w:left w:val="nil"/>
              <w:bottom w:val="nil"/>
              <w:right w:val="single" w:sz="8" w:space="0" w:color="000000"/>
            </w:tcBorders>
            <w:shd w:val="clear" w:color="auto" w:fill="auto"/>
            <w:tcMar>
              <w:top w:w="16" w:type="dxa"/>
              <w:left w:w="73" w:type="dxa"/>
              <w:bottom w:w="0" w:type="dxa"/>
              <w:right w:w="73" w:type="dxa"/>
            </w:tcMar>
            <w:hideMark/>
          </w:tcPr>
          <w:p w14:paraId="5EFA1F0A"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 </w:t>
            </w:r>
          </w:p>
        </w:tc>
        <w:tc>
          <w:tcPr>
            <w:tcW w:w="895" w:type="pct"/>
            <w:tcBorders>
              <w:top w:val="nil"/>
              <w:left w:val="single" w:sz="8" w:space="0" w:color="000000"/>
              <w:bottom w:val="nil"/>
              <w:right w:val="nil"/>
            </w:tcBorders>
            <w:shd w:val="clear" w:color="auto" w:fill="auto"/>
            <w:tcMar>
              <w:top w:w="16" w:type="dxa"/>
              <w:left w:w="73" w:type="dxa"/>
              <w:bottom w:w="0" w:type="dxa"/>
              <w:right w:w="73" w:type="dxa"/>
            </w:tcMar>
            <w:hideMark/>
          </w:tcPr>
          <w:p w14:paraId="3C85A2B1"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 </w:t>
            </w:r>
          </w:p>
        </w:tc>
        <w:tc>
          <w:tcPr>
            <w:tcW w:w="860" w:type="pct"/>
            <w:tcBorders>
              <w:top w:val="nil"/>
              <w:left w:val="nil"/>
              <w:bottom w:val="nil"/>
              <w:right w:val="nil"/>
            </w:tcBorders>
            <w:shd w:val="clear" w:color="auto" w:fill="auto"/>
            <w:tcMar>
              <w:top w:w="16" w:type="dxa"/>
              <w:left w:w="73" w:type="dxa"/>
              <w:bottom w:w="0" w:type="dxa"/>
              <w:right w:w="73" w:type="dxa"/>
            </w:tcMar>
            <w:hideMark/>
          </w:tcPr>
          <w:p w14:paraId="6DBF34E4"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 </w:t>
            </w:r>
          </w:p>
        </w:tc>
      </w:tr>
      <w:tr w:rsidR="001E3745" w:rsidRPr="001A6367" w14:paraId="2D47C5BE" w14:textId="77777777" w:rsidTr="001E3745">
        <w:trPr>
          <w:trHeight w:val="254"/>
        </w:trPr>
        <w:tc>
          <w:tcPr>
            <w:tcW w:w="1646" w:type="pct"/>
            <w:tcBorders>
              <w:top w:val="nil"/>
              <w:left w:val="nil"/>
              <w:bottom w:val="nil"/>
              <w:right w:val="nil"/>
            </w:tcBorders>
            <w:shd w:val="clear" w:color="auto" w:fill="auto"/>
            <w:tcMar>
              <w:top w:w="16" w:type="dxa"/>
              <w:left w:w="111" w:type="dxa"/>
              <w:bottom w:w="0" w:type="dxa"/>
              <w:right w:w="111" w:type="dxa"/>
            </w:tcMar>
            <w:hideMark/>
          </w:tcPr>
          <w:p w14:paraId="1C80D2CC" w14:textId="77777777" w:rsidR="00F34DD2" w:rsidRPr="001E3745" w:rsidRDefault="00F34DD2" w:rsidP="001E3745">
            <w:pPr>
              <w:spacing w:after="0" w:line="240" w:lineRule="auto"/>
              <w:ind w:left="518"/>
              <w:rPr>
                <w:rFonts w:ascii="Arial" w:hAnsi="Arial"/>
                <w:sz w:val="20"/>
                <w:lang w:val="en-GB"/>
              </w:rPr>
            </w:pPr>
            <w:r w:rsidRPr="001E3745">
              <w:rPr>
                <w:rFonts w:ascii="Arial" w:hAnsi="Arial"/>
                <w:color w:val="000000" w:themeColor="text1"/>
                <w:kern w:val="24"/>
                <w:sz w:val="20"/>
                <w:lang w:val="en-GB"/>
              </w:rPr>
              <w:t>0</w:t>
            </w:r>
          </w:p>
        </w:tc>
        <w:tc>
          <w:tcPr>
            <w:tcW w:w="894" w:type="pct"/>
            <w:tcBorders>
              <w:top w:val="nil"/>
              <w:left w:val="nil"/>
              <w:bottom w:val="nil"/>
              <w:right w:val="nil"/>
            </w:tcBorders>
            <w:shd w:val="clear" w:color="auto" w:fill="auto"/>
            <w:tcMar>
              <w:top w:w="16" w:type="dxa"/>
              <w:left w:w="73" w:type="dxa"/>
              <w:bottom w:w="0" w:type="dxa"/>
              <w:right w:w="73" w:type="dxa"/>
            </w:tcMar>
            <w:hideMark/>
          </w:tcPr>
          <w:p w14:paraId="1523901D" w14:textId="3DEBBF2A"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0 (0.0</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705" w:type="pct"/>
            <w:tcBorders>
              <w:top w:val="nil"/>
              <w:left w:val="nil"/>
              <w:bottom w:val="nil"/>
              <w:right w:val="single" w:sz="8" w:space="0" w:color="000000"/>
            </w:tcBorders>
            <w:shd w:val="clear" w:color="auto" w:fill="auto"/>
            <w:tcMar>
              <w:top w:w="16" w:type="dxa"/>
              <w:left w:w="73" w:type="dxa"/>
              <w:bottom w:w="0" w:type="dxa"/>
              <w:right w:w="73" w:type="dxa"/>
            </w:tcMar>
            <w:hideMark/>
          </w:tcPr>
          <w:p w14:paraId="105C5E43" w14:textId="1811858D"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7 (1.9</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895" w:type="pct"/>
            <w:tcBorders>
              <w:top w:val="nil"/>
              <w:left w:val="single" w:sz="8" w:space="0" w:color="000000"/>
              <w:bottom w:val="nil"/>
              <w:right w:val="nil"/>
            </w:tcBorders>
            <w:shd w:val="clear" w:color="auto" w:fill="auto"/>
            <w:tcMar>
              <w:top w:w="16" w:type="dxa"/>
              <w:left w:w="73" w:type="dxa"/>
              <w:bottom w:w="0" w:type="dxa"/>
              <w:right w:w="73" w:type="dxa"/>
            </w:tcMar>
            <w:hideMark/>
          </w:tcPr>
          <w:p w14:paraId="4298ECE2" w14:textId="733D3D26"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1 (0.2</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860" w:type="pct"/>
            <w:tcBorders>
              <w:top w:val="nil"/>
              <w:left w:val="nil"/>
              <w:bottom w:val="nil"/>
              <w:right w:val="nil"/>
            </w:tcBorders>
            <w:shd w:val="clear" w:color="auto" w:fill="auto"/>
            <w:tcMar>
              <w:top w:w="16" w:type="dxa"/>
              <w:left w:w="73" w:type="dxa"/>
              <w:bottom w:w="0" w:type="dxa"/>
              <w:right w:w="73" w:type="dxa"/>
            </w:tcMar>
            <w:hideMark/>
          </w:tcPr>
          <w:p w14:paraId="7FC46AF2" w14:textId="0F5FCD39"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13 (1.0</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r>
      <w:tr w:rsidR="001E3745" w:rsidRPr="001A6367" w14:paraId="67C88637" w14:textId="77777777" w:rsidTr="001E3745">
        <w:trPr>
          <w:trHeight w:val="254"/>
        </w:trPr>
        <w:tc>
          <w:tcPr>
            <w:tcW w:w="1646" w:type="pct"/>
            <w:tcBorders>
              <w:top w:val="nil"/>
              <w:left w:val="nil"/>
              <w:bottom w:val="nil"/>
              <w:right w:val="nil"/>
            </w:tcBorders>
            <w:shd w:val="clear" w:color="auto" w:fill="auto"/>
            <w:tcMar>
              <w:top w:w="16" w:type="dxa"/>
              <w:left w:w="111" w:type="dxa"/>
              <w:bottom w:w="0" w:type="dxa"/>
              <w:right w:w="111" w:type="dxa"/>
            </w:tcMar>
            <w:hideMark/>
          </w:tcPr>
          <w:p w14:paraId="3579DF5E" w14:textId="77777777" w:rsidR="00F34DD2" w:rsidRPr="001E3745" w:rsidRDefault="00F34DD2" w:rsidP="001E3745">
            <w:pPr>
              <w:spacing w:after="0" w:line="240" w:lineRule="auto"/>
              <w:ind w:left="518"/>
              <w:rPr>
                <w:rFonts w:ascii="Arial" w:hAnsi="Arial"/>
                <w:sz w:val="20"/>
                <w:lang w:val="en-GB"/>
              </w:rPr>
            </w:pPr>
            <w:r w:rsidRPr="001E3745">
              <w:rPr>
                <w:rFonts w:ascii="Arial" w:hAnsi="Arial"/>
                <w:color w:val="000000" w:themeColor="text1"/>
                <w:kern w:val="24"/>
                <w:sz w:val="20"/>
                <w:lang w:val="en-GB"/>
              </w:rPr>
              <w:t>1</w:t>
            </w:r>
          </w:p>
        </w:tc>
        <w:tc>
          <w:tcPr>
            <w:tcW w:w="894" w:type="pct"/>
            <w:tcBorders>
              <w:top w:val="nil"/>
              <w:left w:val="nil"/>
              <w:bottom w:val="nil"/>
              <w:right w:val="nil"/>
            </w:tcBorders>
            <w:shd w:val="clear" w:color="auto" w:fill="auto"/>
            <w:tcMar>
              <w:top w:w="16" w:type="dxa"/>
              <w:left w:w="73" w:type="dxa"/>
              <w:bottom w:w="0" w:type="dxa"/>
              <w:right w:w="73" w:type="dxa"/>
            </w:tcMar>
            <w:vAlign w:val="center"/>
            <w:hideMark/>
          </w:tcPr>
          <w:p w14:paraId="1F7AEEB8" w14:textId="6950C544"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89 (73.0</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705" w:type="pct"/>
            <w:tcBorders>
              <w:top w:val="nil"/>
              <w:left w:val="nil"/>
              <w:bottom w:val="nil"/>
              <w:right w:val="single" w:sz="8" w:space="0" w:color="000000"/>
            </w:tcBorders>
            <w:shd w:val="clear" w:color="auto" w:fill="auto"/>
            <w:tcMar>
              <w:top w:w="16" w:type="dxa"/>
              <w:left w:w="73" w:type="dxa"/>
              <w:bottom w:w="0" w:type="dxa"/>
              <w:right w:w="73" w:type="dxa"/>
            </w:tcMar>
            <w:vAlign w:val="center"/>
            <w:hideMark/>
          </w:tcPr>
          <w:p w14:paraId="4A24CCF4" w14:textId="5AACBF6E"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260 (70.5</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r w:rsidRPr="001E3745">
              <w:rPr>
                <w:rFonts w:ascii="Arial" w:hAnsi="Arial"/>
                <w:color w:val="000000" w:themeColor="text1"/>
                <w:kern w:val="24"/>
                <w:sz w:val="20"/>
                <w:lang w:val="en-GB"/>
              </w:rPr>
              <w:t xml:space="preserve"> </w:t>
            </w:r>
          </w:p>
        </w:tc>
        <w:tc>
          <w:tcPr>
            <w:tcW w:w="895" w:type="pct"/>
            <w:tcBorders>
              <w:top w:val="nil"/>
              <w:left w:val="single" w:sz="8" w:space="0" w:color="000000"/>
              <w:bottom w:val="nil"/>
              <w:right w:val="nil"/>
            </w:tcBorders>
            <w:shd w:val="clear" w:color="auto" w:fill="auto"/>
            <w:tcMar>
              <w:top w:w="16" w:type="dxa"/>
              <w:left w:w="73" w:type="dxa"/>
              <w:bottom w:w="0" w:type="dxa"/>
              <w:right w:w="73" w:type="dxa"/>
            </w:tcMar>
            <w:vAlign w:val="center"/>
            <w:hideMark/>
          </w:tcPr>
          <w:p w14:paraId="00D78AC1" w14:textId="3038D739"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404 (96.2</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r w:rsidRPr="001E3745">
              <w:rPr>
                <w:rFonts w:ascii="Arial" w:hAnsi="Arial"/>
                <w:color w:val="000000" w:themeColor="text1"/>
                <w:kern w:val="24"/>
                <w:sz w:val="20"/>
                <w:lang w:val="en-GB"/>
              </w:rPr>
              <w:t xml:space="preserve"> </w:t>
            </w:r>
          </w:p>
        </w:tc>
        <w:tc>
          <w:tcPr>
            <w:tcW w:w="860" w:type="pct"/>
            <w:tcBorders>
              <w:top w:val="nil"/>
              <w:left w:val="nil"/>
              <w:bottom w:val="nil"/>
              <w:right w:val="nil"/>
            </w:tcBorders>
            <w:shd w:val="clear" w:color="auto" w:fill="auto"/>
            <w:tcMar>
              <w:top w:w="16" w:type="dxa"/>
              <w:left w:w="73" w:type="dxa"/>
              <w:bottom w:w="0" w:type="dxa"/>
              <w:right w:w="73" w:type="dxa"/>
            </w:tcMar>
            <w:vAlign w:val="center"/>
            <w:hideMark/>
          </w:tcPr>
          <w:p w14:paraId="67F2C6FB" w14:textId="0FA56DA4"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1174 (93.6</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r w:rsidRPr="001E3745">
              <w:rPr>
                <w:rFonts w:ascii="Arial" w:hAnsi="Arial"/>
                <w:color w:val="000000" w:themeColor="text1"/>
                <w:kern w:val="24"/>
                <w:sz w:val="20"/>
                <w:lang w:val="en-GB"/>
              </w:rPr>
              <w:t xml:space="preserve"> </w:t>
            </w:r>
          </w:p>
        </w:tc>
      </w:tr>
      <w:tr w:rsidR="001E3745" w:rsidRPr="001A6367" w14:paraId="269E46F1" w14:textId="77777777" w:rsidTr="001E3745">
        <w:trPr>
          <w:trHeight w:val="427"/>
        </w:trPr>
        <w:tc>
          <w:tcPr>
            <w:tcW w:w="1646" w:type="pct"/>
            <w:tcBorders>
              <w:top w:val="nil"/>
              <w:left w:val="nil"/>
              <w:bottom w:val="nil"/>
              <w:right w:val="nil"/>
            </w:tcBorders>
            <w:shd w:val="clear" w:color="auto" w:fill="auto"/>
            <w:tcMar>
              <w:top w:w="16" w:type="dxa"/>
              <w:left w:w="117" w:type="dxa"/>
              <w:bottom w:w="0" w:type="dxa"/>
              <w:right w:w="117" w:type="dxa"/>
            </w:tcMar>
            <w:hideMark/>
          </w:tcPr>
          <w:p w14:paraId="12D1DB07" w14:textId="77777777" w:rsidR="00F34DD2" w:rsidRPr="001E3745" w:rsidRDefault="00F34DD2" w:rsidP="001E3745">
            <w:pPr>
              <w:spacing w:after="0" w:line="240" w:lineRule="auto"/>
              <w:ind w:left="518"/>
              <w:rPr>
                <w:rFonts w:ascii="Arial" w:hAnsi="Arial"/>
                <w:sz w:val="20"/>
                <w:lang w:val="en-GB"/>
              </w:rPr>
            </w:pPr>
            <w:r w:rsidRPr="001E3745">
              <w:rPr>
                <w:rFonts w:ascii="Arial" w:hAnsi="Arial"/>
                <w:color w:val="000000" w:themeColor="text1"/>
                <w:kern w:val="24"/>
                <w:sz w:val="20"/>
                <w:lang w:val="en-GB"/>
              </w:rPr>
              <w:t>≥2</w:t>
            </w:r>
          </w:p>
        </w:tc>
        <w:tc>
          <w:tcPr>
            <w:tcW w:w="894" w:type="pct"/>
            <w:tcBorders>
              <w:top w:val="nil"/>
              <w:left w:val="nil"/>
              <w:bottom w:val="nil"/>
              <w:right w:val="nil"/>
            </w:tcBorders>
            <w:shd w:val="clear" w:color="auto" w:fill="auto"/>
            <w:tcMar>
              <w:top w:w="16" w:type="dxa"/>
              <w:left w:w="117" w:type="dxa"/>
              <w:bottom w:w="0" w:type="dxa"/>
              <w:right w:w="117" w:type="dxa"/>
            </w:tcMar>
            <w:vAlign w:val="center"/>
            <w:hideMark/>
          </w:tcPr>
          <w:p w14:paraId="17CC565D" w14:textId="586BEE70"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33 (27.1</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705" w:type="pct"/>
            <w:tcBorders>
              <w:top w:val="nil"/>
              <w:left w:val="nil"/>
              <w:bottom w:val="nil"/>
              <w:right w:val="single" w:sz="8" w:space="0" w:color="000000"/>
            </w:tcBorders>
            <w:shd w:val="clear" w:color="auto" w:fill="auto"/>
            <w:tcMar>
              <w:top w:w="16" w:type="dxa"/>
              <w:left w:w="117" w:type="dxa"/>
              <w:bottom w:w="0" w:type="dxa"/>
              <w:right w:w="117" w:type="dxa"/>
            </w:tcMar>
            <w:vAlign w:val="center"/>
            <w:hideMark/>
          </w:tcPr>
          <w:p w14:paraId="1519F7D1" w14:textId="3FA731ED"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102 (27.6</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895" w:type="pct"/>
            <w:tcBorders>
              <w:top w:val="nil"/>
              <w:left w:val="single" w:sz="8" w:space="0" w:color="000000"/>
              <w:bottom w:val="nil"/>
              <w:right w:val="nil"/>
            </w:tcBorders>
            <w:shd w:val="clear" w:color="auto" w:fill="auto"/>
            <w:tcMar>
              <w:top w:w="16" w:type="dxa"/>
              <w:left w:w="117" w:type="dxa"/>
              <w:bottom w:w="0" w:type="dxa"/>
              <w:right w:w="117" w:type="dxa"/>
            </w:tcMar>
            <w:vAlign w:val="center"/>
            <w:hideMark/>
          </w:tcPr>
          <w:p w14:paraId="2044D216" w14:textId="0C3338E0"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15 (3.6</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860" w:type="pct"/>
            <w:tcBorders>
              <w:top w:val="nil"/>
              <w:left w:val="nil"/>
              <w:bottom w:val="nil"/>
              <w:right w:val="nil"/>
            </w:tcBorders>
            <w:shd w:val="clear" w:color="auto" w:fill="auto"/>
            <w:tcMar>
              <w:top w:w="16" w:type="dxa"/>
              <w:left w:w="117" w:type="dxa"/>
              <w:bottom w:w="0" w:type="dxa"/>
              <w:right w:w="117" w:type="dxa"/>
            </w:tcMar>
            <w:vAlign w:val="center"/>
            <w:hideMark/>
          </w:tcPr>
          <w:p w14:paraId="0B3C6293" w14:textId="2419B2CF"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66 (5.3</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r>
      <w:tr w:rsidR="001E3745" w:rsidRPr="001A6367" w14:paraId="0E11857E" w14:textId="77777777" w:rsidTr="001E3745">
        <w:trPr>
          <w:trHeight w:val="533"/>
        </w:trPr>
        <w:tc>
          <w:tcPr>
            <w:tcW w:w="1646" w:type="pct"/>
            <w:tcBorders>
              <w:top w:val="nil"/>
              <w:left w:val="nil"/>
              <w:bottom w:val="nil"/>
              <w:right w:val="nil"/>
            </w:tcBorders>
            <w:shd w:val="clear" w:color="auto" w:fill="auto"/>
            <w:tcMar>
              <w:top w:w="16" w:type="dxa"/>
              <w:left w:w="117" w:type="dxa"/>
              <w:bottom w:w="0" w:type="dxa"/>
              <w:right w:w="117" w:type="dxa"/>
            </w:tcMar>
            <w:hideMark/>
          </w:tcPr>
          <w:p w14:paraId="21146578" w14:textId="77777777" w:rsidR="00F34DD2" w:rsidRPr="001E3745" w:rsidRDefault="00F34DD2" w:rsidP="001E3745">
            <w:pPr>
              <w:spacing w:after="0" w:line="240" w:lineRule="auto"/>
              <w:rPr>
                <w:rFonts w:ascii="Arial" w:hAnsi="Arial"/>
                <w:sz w:val="20"/>
                <w:lang w:val="en-GB"/>
              </w:rPr>
            </w:pPr>
            <w:r w:rsidRPr="001E3745">
              <w:rPr>
                <w:rFonts w:ascii="Arial" w:hAnsi="Arial"/>
                <w:color w:val="000000" w:themeColor="text1"/>
                <w:kern w:val="24"/>
                <w:sz w:val="20"/>
                <w:lang w:val="en-GB"/>
              </w:rPr>
              <w:t>Number of exacerbation in the past 12 months, n (%)</w:t>
            </w:r>
          </w:p>
        </w:tc>
        <w:tc>
          <w:tcPr>
            <w:tcW w:w="894" w:type="pct"/>
            <w:tcBorders>
              <w:top w:val="nil"/>
              <w:left w:val="nil"/>
              <w:bottom w:val="nil"/>
              <w:right w:val="nil"/>
            </w:tcBorders>
            <w:shd w:val="clear" w:color="auto" w:fill="auto"/>
            <w:tcMar>
              <w:top w:w="16" w:type="dxa"/>
              <w:left w:w="117" w:type="dxa"/>
              <w:bottom w:w="0" w:type="dxa"/>
              <w:right w:w="117" w:type="dxa"/>
            </w:tcMar>
            <w:vAlign w:val="center"/>
            <w:hideMark/>
          </w:tcPr>
          <w:p w14:paraId="26855EDF"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 </w:t>
            </w:r>
          </w:p>
        </w:tc>
        <w:tc>
          <w:tcPr>
            <w:tcW w:w="705" w:type="pct"/>
            <w:tcBorders>
              <w:top w:val="nil"/>
              <w:left w:val="nil"/>
              <w:bottom w:val="nil"/>
              <w:right w:val="single" w:sz="8" w:space="0" w:color="000000"/>
            </w:tcBorders>
            <w:shd w:val="clear" w:color="auto" w:fill="auto"/>
            <w:tcMar>
              <w:top w:w="16" w:type="dxa"/>
              <w:left w:w="117" w:type="dxa"/>
              <w:bottom w:w="0" w:type="dxa"/>
              <w:right w:w="117" w:type="dxa"/>
            </w:tcMar>
            <w:vAlign w:val="center"/>
            <w:hideMark/>
          </w:tcPr>
          <w:p w14:paraId="65956647"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 </w:t>
            </w:r>
          </w:p>
        </w:tc>
        <w:tc>
          <w:tcPr>
            <w:tcW w:w="895" w:type="pct"/>
            <w:tcBorders>
              <w:top w:val="nil"/>
              <w:left w:val="single" w:sz="8" w:space="0" w:color="000000"/>
              <w:bottom w:val="nil"/>
              <w:right w:val="nil"/>
            </w:tcBorders>
            <w:shd w:val="clear" w:color="auto" w:fill="auto"/>
            <w:tcMar>
              <w:top w:w="16" w:type="dxa"/>
              <w:left w:w="117" w:type="dxa"/>
              <w:bottom w:w="0" w:type="dxa"/>
              <w:right w:w="117" w:type="dxa"/>
            </w:tcMar>
            <w:vAlign w:val="center"/>
            <w:hideMark/>
          </w:tcPr>
          <w:p w14:paraId="2F81A6C2"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 </w:t>
            </w:r>
          </w:p>
        </w:tc>
        <w:tc>
          <w:tcPr>
            <w:tcW w:w="860" w:type="pct"/>
            <w:tcBorders>
              <w:top w:val="nil"/>
              <w:left w:val="nil"/>
              <w:bottom w:val="nil"/>
              <w:right w:val="nil"/>
            </w:tcBorders>
            <w:shd w:val="clear" w:color="auto" w:fill="auto"/>
            <w:tcMar>
              <w:top w:w="16" w:type="dxa"/>
              <w:left w:w="117" w:type="dxa"/>
              <w:bottom w:w="0" w:type="dxa"/>
              <w:right w:w="117" w:type="dxa"/>
            </w:tcMar>
            <w:vAlign w:val="center"/>
            <w:hideMark/>
          </w:tcPr>
          <w:p w14:paraId="1BE728B6"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 </w:t>
            </w:r>
          </w:p>
        </w:tc>
      </w:tr>
      <w:tr w:rsidR="001E3745" w:rsidRPr="001A6367" w14:paraId="3903381F" w14:textId="77777777" w:rsidTr="001E3745">
        <w:trPr>
          <w:trHeight w:val="263"/>
        </w:trPr>
        <w:tc>
          <w:tcPr>
            <w:tcW w:w="1646" w:type="pct"/>
            <w:tcBorders>
              <w:top w:val="nil"/>
              <w:left w:val="nil"/>
              <w:bottom w:val="nil"/>
              <w:right w:val="nil"/>
            </w:tcBorders>
            <w:shd w:val="clear" w:color="auto" w:fill="auto"/>
            <w:tcMar>
              <w:top w:w="16" w:type="dxa"/>
              <w:left w:w="117" w:type="dxa"/>
              <w:bottom w:w="0" w:type="dxa"/>
              <w:right w:w="117" w:type="dxa"/>
            </w:tcMar>
            <w:hideMark/>
          </w:tcPr>
          <w:p w14:paraId="513AEF2A" w14:textId="77777777" w:rsidR="00F34DD2" w:rsidRPr="001E3745" w:rsidRDefault="00F34DD2" w:rsidP="001E3745">
            <w:pPr>
              <w:spacing w:after="0" w:line="240" w:lineRule="auto"/>
              <w:ind w:left="518"/>
              <w:rPr>
                <w:rFonts w:ascii="Arial" w:hAnsi="Arial"/>
                <w:sz w:val="20"/>
                <w:lang w:val="en-GB"/>
              </w:rPr>
            </w:pPr>
            <w:r w:rsidRPr="001E3745">
              <w:rPr>
                <w:rFonts w:ascii="Arial" w:hAnsi="Arial"/>
                <w:color w:val="000000" w:themeColor="text1"/>
                <w:kern w:val="24"/>
                <w:sz w:val="20"/>
                <w:lang w:val="en-GB"/>
              </w:rPr>
              <w:t>0</w:t>
            </w:r>
          </w:p>
        </w:tc>
        <w:tc>
          <w:tcPr>
            <w:tcW w:w="894" w:type="pct"/>
            <w:tcBorders>
              <w:top w:val="nil"/>
              <w:left w:val="nil"/>
              <w:bottom w:val="nil"/>
              <w:right w:val="nil"/>
            </w:tcBorders>
            <w:shd w:val="clear" w:color="auto" w:fill="auto"/>
            <w:tcMar>
              <w:top w:w="16" w:type="dxa"/>
              <w:left w:w="117" w:type="dxa"/>
              <w:bottom w:w="0" w:type="dxa"/>
              <w:right w:w="117" w:type="dxa"/>
            </w:tcMar>
            <w:hideMark/>
          </w:tcPr>
          <w:p w14:paraId="5CF60788" w14:textId="08ED62FA"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99 (81.2</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705" w:type="pct"/>
            <w:tcBorders>
              <w:top w:val="nil"/>
              <w:left w:val="nil"/>
              <w:bottom w:val="nil"/>
              <w:right w:val="single" w:sz="8" w:space="0" w:color="000000"/>
            </w:tcBorders>
            <w:shd w:val="clear" w:color="auto" w:fill="auto"/>
            <w:tcMar>
              <w:top w:w="16" w:type="dxa"/>
              <w:left w:w="117" w:type="dxa"/>
              <w:bottom w:w="0" w:type="dxa"/>
              <w:right w:w="117" w:type="dxa"/>
            </w:tcMar>
            <w:hideMark/>
          </w:tcPr>
          <w:p w14:paraId="658BCE1C" w14:textId="15FAD801"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300 (81.3</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895" w:type="pct"/>
            <w:tcBorders>
              <w:top w:val="nil"/>
              <w:left w:val="single" w:sz="8" w:space="0" w:color="000000"/>
              <w:bottom w:val="nil"/>
              <w:right w:val="nil"/>
            </w:tcBorders>
            <w:shd w:val="clear" w:color="auto" w:fill="auto"/>
            <w:tcMar>
              <w:top w:w="16" w:type="dxa"/>
              <w:left w:w="117" w:type="dxa"/>
              <w:bottom w:w="0" w:type="dxa"/>
              <w:right w:w="117" w:type="dxa"/>
            </w:tcMar>
            <w:hideMark/>
          </w:tcPr>
          <w:p w14:paraId="3F6F02FB" w14:textId="533D6745"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341 (81.2</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860" w:type="pct"/>
            <w:tcBorders>
              <w:top w:val="nil"/>
              <w:left w:val="nil"/>
              <w:bottom w:val="nil"/>
              <w:right w:val="nil"/>
            </w:tcBorders>
            <w:shd w:val="clear" w:color="auto" w:fill="auto"/>
            <w:tcMar>
              <w:top w:w="16" w:type="dxa"/>
              <w:left w:w="117" w:type="dxa"/>
              <w:bottom w:w="0" w:type="dxa"/>
              <w:right w:w="117" w:type="dxa"/>
            </w:tcMar>
            <w:hideMark/>
          </w:tcPr>
          <w:p w14:paraId="20D225DC" w14:textId="75AF91CA"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1038 (82.8</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r>
      <w:tr w:rsidR="001E3745" w:rsidRPr="001A6367" w14:paraId="0DBC3B24" w14:textId="77777777" w:rsidTr="001E3745">
        <w:trPr>
          <w:trHeight w:val="344"/>
        </w:trPr>
        <w:tc>
          <w:tcPr>
            <w:tcW w:w="1646" w:type="pct"/>
            <w:tcBorders>
              <w:top w:val="nil"/>
              <w:left w:val="nil"/>
              <w:bottom w:val="nil"/>
              <w:right w:val="nil"/>
            </w:tcBorders>
            <w:shd w:val="clear" w:color="auto" w:fill="auto"/>
            <w:tcMar>
              <w:top w:w="16" w:type="dxa"/>
              <w:left w:w="117" w:type="dxa"/>
              <w:bottom w:w="0" w:type="dxa"/>
              <w:right w:w="117" w:type="dxa"/>
            </w:tcMar>
            <w:hideMark/>
          </w:tcPr>
          <w:p w14:paraId="4B8CD6E0" w14:textId="77777777" w:rsidR="00F34DD2" w:rsidRPr="001E3745" w:rsidRDefault="00F34DD2" w:rsidP="001E3745">
            <w:pPr>
              <w:spacing w:after="0" w:line="240" w:lineRule="auto"/>
              <w:ind w:left="518"/>
              <w:rPr>
                <w:rFonts w:ascii="Arial" w:hAnsi="Arial"/>
                <w:sz w:val="20"/>
                <w:lang w:val="en-GB"/>
              </w:rPr>
            </w:pPr>
            <w:r w:rsidRPr="001E3745">
              <w:rPr>
                <w:rFonts w:ascii="Arial" w:hAnsi="Arial"/>
                <w:color w:val="000000" w:themeColor="text1"/>
                <w:kern w:val="24"/>
                <w:sz w:val="20"/>
                <w:lang w:val="en-GB"/>
              </w:rPr>
              <w:t>1</w:t>
            </w:r>
          </w:p>
        </w:tc>
        <w:tc>
          <w:tcPr>
            <w:tcW w:w="894" w:type="pct"/>
            <w:tcBorders>
              <w:top w:val="nil"/>
              <w:left w:val="nil"/>
              <w:bottom w:val="nil"/>
              <w:right w:val="nil"/>
            </w:tcBorders>
            <w:shd w:val="clear" w:color="auto" w:fill="auto"/>
            <w:tcMar>
              <w:top w:w="16" w:type="dxa"/>
              <w:left w:w="73" w:type="dxa"/>
              <w:bottom w:w="0" w:type="dxa"/>
              <w:right w:w="73" w:type="dxa"/>
            </w:tcMar>
            <w:hideMark/>
          </w:tcPr>
          <w:p w14:paraId="751C3281" w14:textId="6B78D669"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22 (18.0</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705" w:type="pct"/>
            <w:tcBorders>
              <w:top w:val="nil"/>
              <w:left w:val="nil"/>
              <w:bottom w:val="nil"/>
              <w:right w:val="single" w:sz="8" w:space="0" w:color="000000"/>
            </w:tcBorders>
            <w:shd w:val="clear" w:color="auto" w:fill="auto"/>
            <w:tcMar>
              <w:top w:w="16" w:type="dxa"/>
              <w:left w:w="73" w:type="dxa"/>
              <w:bottom w:w="0" w:type="dxa"/>
              <w:right w:w="73" w:type="dxa"/>
            </w:tcMar>
            <w:hideMark/>
          </w:tcPr>
          <w:p w14:paraId="55CA649D" w14:textId="15C666DE"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68 (18.4</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895" w:type="pct"/>
            <w:tcBorders>
              <w:top w:val="nil"/>
              <w:left w:val="single" w:sz="8" w:space="0" w:color="000000"/>
              <w:bottom w:val="nil"/>
              <w:right w:val="nil"/>
            </w:tcBorders>
            <w:shd w:val="clear" w:color="auto" w:fill="auto"/>
            <w:tcMar>
              <w:top w:w="16" w:type="dxa"/>
              <w:left w:w="73" w:type="dxa"/>
              <w:bottom w:w="0" w:type="dxa"/>
              <w:right w:w="73" w:type="dxa"/>
            </w:tcMar>
            <w:hideMark/>
          </w:tcPr>
          <w:p w14:paraId="5082CEA6" w14:textId="77651BB3"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78 (18.6</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860" w:type="pct"/>
            <w:tcBorders>
              <w:top w:val="nil"/>
              <w:left w:val="nil"/>
              <w:bottom w:val="nil"/>
              <w:right w:val="nil"/>
            </w:tcBorders>
            <w:shd w:val="clear" w:color="auto" w:fill="auto"/>
            <w:tcMar>
              <w:top w:w="16" w:type="dxa"/>
              <w:left w:w="73" w:type="dxa"/>
              <w:bottom w:w="0" w:type="dxa"/>
              <w:right w:w="73" w:type="dxa"/>
            </w:tcMar>
            <w:hideMark/>
          </w:tcPr>
          <w:p w14:paraId="453E9A8F" w14:textId="7CE4A60C"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215 (17.2</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r>
      <w:tr w:rsidR="001E3745" w:rsidRPr="001A6367" w14:paraId="17932FA0" w14:textId="77777777" w:rsidTr="001E3745">
        <w:trPr>
          <w:trHeight w:val="245"/>
        </w:trPr>
        <w:tc>
          <w:tcPr>
            <w:tcW w:w="1646" w:type="pct"/>
            <w:tcBorders>
              <w:top w:val="nil"/>
              <w:left w:val="nil"/>
              <w:bottom w:val="nil"/>
              <w:right w:val="nil"/>
            </w:tcBorders>
            <w:shd w:val="clear" w:color="auto" w:fill="auto"/>
            <w:tcMar>
              <w:top w:w="16" w:type="dxa"/>
              <w:left w:w="117" w:type="dxa"/>
              <w:bottom w:w="0" w:type="dxa"/>
              <w:right w:w="117" w:type="dxa"/>
            </w:tcMar>
            <w:hideMark/>
          </w:tcPr>
          <w:p w14:paraId="093589BB" w14:textId="77777777" w:rsidR="00F34DD2" w:rsidRPr="001E3745" w:rsidRDefault="00F34DD2" w:rsidP="001E3745">
            <w:pPr>
              <w:spacing w:after="0" w:line="240" w:lineRule="auto"/>
              <w:ind w:left="518"/>
              <w:rPr>
                <w:rFonts w:ascii="Arial" w:hAnsi="Arial"/>
                <w:sz w:val="20"/>
                <w:lang w:val="en-GB"/>
              </w:rPr>
            </w:pPr>
            <w:r w:rsidRPr="001E3745">
              <w:rPr>
                <w:rFonts w:ascii="Arial" w:hAnsi="Arial"/>
                <w:color w:val="000000" w:themeColor="text1"/>
                <w:kern w:val="24"/>
                <w:sz w:val="20"/>
                <w:lang w:val="en-GB"/>
              </w:rPr>
              <w:t>≥2</w:t>
            </w:r>
          </w:p>
        </w:tc>
        <w:tc>
          <w:tcPr>
            <w:tcW w:w="894" w:type="pct"/>
            <w:tcBorders>
              <w:top w:val="nil"/>
              <w:left w:val="nil"/>
              <w:bottom w:val="nil"/>
              <w:right w:val="nil"/>
            </w:tcBorders>
            <w:shd w:val="clear" w:color="auto" w:fill="auto"/>
            <w:tcMar>
              <w:top w:w="16" w:type="dxa"/>
              <w:left w:w="73" w:type="dxa"/>
              <w:bottom w:w="0" w:type="dxa"/>
              <w:right w:w="73" w:type="dxa"/>
            </w:tcMar>
            <w:hideMark/>
          </w:tcPr>
          <w:p w14:paraId="65F18081" w14:textId="6AC31CA8"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1 (0.8</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705" w:type="pct"/>
            <w:tcBorders>
              <w:top w:val="nil"/>
              <w:left w:val="nil"/>
              <w:bottom w:val="nil"/>
              <w:right w:val="single" w:sz="8" w:space="0" w:color="000000"/>
            </w:tcBorders>
            <w:shd w:val="clear" w:color="auto" w:fill="auto"/>
            <w:tcMar>
              <w:top w:w="16" w:type="dxa"/>
              <w:left w:w="73" w:type="dxa"/>
              <w:bottom w:w="0" w:type="dxa"/>
              <w:right w:w="73" w:type="dxa"/>
            </w:tcMar>
            <w:hideMark/>
          </w:tcPr>
          <w:p w14:paraId="7CDBD031" w14:textId="5A2F5470"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1 (0.3</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895" w:type="pct"/>
            <w:tcBorders>
              <w:top w:val="nil"/>
              <w:left w:val="single" w:sz="8" w:space="0" w:color="000000"/>
              <w:bottom w:val="nil"/>
              <w:right w:val="nil"/>
            </w:tcBorders>
            <w:shd w:val="clear" w:color="auto" w:fill="auto"/>
            <w:tcMar>
              <w:top w:w="16" w:type="dxa"/>
              <w:left w:w="73" w:type="dxa"/>
              <w:bottom w:w="0" w:type="dxa"/>
              <w:right w:w="73" w:type="dxa"/>
            </w:tcMar>
            <w:hideMark/>
          </w:tcPr>
          <w:p w14:paraId="17CEE742" w14:textId="64C72CBE"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1 (0.2</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860" w:type="pct"/>
            <w:tcBorders>
              <w:top w:val="nil"/>
              <w:left w:val="nil"/>
              <w:bottom w:val="nil"/>
              <w:right w:val="nil"/>
            </w:tcBorders>
            <w:shd w:val="clear" w:color="auto" w:fill="auto"/>
            <w:tcMar>
              <w:top w:w="16" w:type="dxa"/>
              <w:left w:w="73" w:type="dxa"/>
              <w:bottom w:w="0" w:type="dxa"/>
              <w:right w:w="73" w:type="dxa"/>
            </w:tcMar>
            <w:hideMark/>
          </w:tcPr>
          <w:p w14:paraId="778A8166" w14:textId="480C6FFB"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1 (0.1</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r>
      <w:tr w:rsidR="001E3745" w:rsidRPr="001A6367" w14:paraId="19B33800" w14:textId="77777777" w:rsidTr="001E3745">
        <w:trPr>
          <w:trHeight w:val="427"/>
        </w:trPr>
        <w:tc>
          <w:tcPr>
            <w:tcW w:w="1646" w:type="pct"/>
            <w:tcBorders>
              <w:top w:val="nil"/>
              <w:left w:val="nil"/>
              <w:bottom w:val="nil"/>
              <w:right w:val="nil"/>
            </w:tcBorders>
            <w:shd w:val="clear" w:color="auto" w:fill="auto"/>
            <w:tcMar>
              <w:top w:w="16" w:type="dxa"/>
              <w:left w:w="117" w:type="dxa"/>
              <w:bottom w:w="0" w:type="dxa"/>
              <w:right w:w="117" w:type="dxa"/>
            </w:tcMar>
            <w:vAlign w:val="center"/>
            <w:hideMark/>
          </w:tcPr>
          <w:p w14:paraId="0496D37D" w14:textId="77777777" w:rsidR="00F34DD2" w:rsidRPr="001E3745" w:rsidRDefault="00F34DD2" w:rsidP="001E3745">
            <w:pPr>
              <w:spacing w:after="0" w:line="240" w:lineRule="auto"/>
              <w:rPr>
                <w:rFonts w:ascii="Arial" w:hAnsi="Arial"/>
                <w:sz w:val="20"/>
                <w:lang w:val="en-GB"/>
              </w:rPr>
            </w:pPr>
            <w:r w:rsidRPr="001E3745">
              <w:rPr>
                <w:rFonts w:ascii="Arial" w:hAnsi="Arial"/>
                <w:color w:val="000000" w:themeColor="text1"/>
                <w:kern w:val="24"/>
                <w:sz w:val="20"/>
                <w:lang w:val="en-GB"/>
              </w:rPr>
              <w:t>Baseline treatments, n (%)</w:t>
            </w:r>
            <w:r w:rsidRPr="001E3745">
              <w:rPr>
                <w:rFonts w:ascii="Arial" w:hAnsi="Arial"/>
                <w:color w:val="000000" w:themeColor="text1"/>
                <w:kern w:val="24"/>
                <w:position w:val="10"/>
                <w:sz w:val="20"/>
                <w:vertAlign w:val="superscript"/>
                <w:lang w:val="en-GB"/>
              </w:rPr>
              <w:t>‡</w:t>
            </w:r>
          </w:p>
        </w:tc>
        <w:tc>
          <w:tcPr>
            <w:tcW w:w="894" w:type="pct"/>
            <w:tcBorders>
              <w:top w:val="nil"/>
              <w:left w:val="nil"/>
              <w:bottom w:val="nil"/>
              <w:right w:val="nil"/>
            </w:tcBorders>
            <w:shd w:val="clear" w:color="auto" w:fill="auto"/>
            <w:tcMar>
              <w:top w:w="16" w:type="dxa"/>
              <w:left w:w="73" w:type="dxa"/>
              <w:bottom w:w="0" w:type="dxa"/>
              <w:right w:w="73" w:type="dxa"/>
            </w:tcMar>
            <w:vAlign w:val="center"/>
            <w:hideMark/>
          </w:tcPr>
          <w:p w14:paraId="293C0507"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 </w:t>
            </w:r>
          </w:p>
        </w:tc>
        <w:tc>
          <w:tcPr>
            <w:tcW w:w="705" w:type="pct"/>
            <w:tcBorders>
              <w:top w:val="nil"/>
              <w:left w:val="nil"/>
              <w:bottom w:val="nil"/>
              <w:right w:val="single" w:sz="8" w:space="0" w:color="000000"/>
            </w:tcBorders>
            <w:shd w:val="clear" w:color="auto" w:fill="auto"/>
            <w:tcMar>
              <w:top w:w="16" w:type="dxa"/>
              <w:left w:w="73" w:type="dxa"/>
              <w:bottom w:w="0" w:type="dxa"/>
              <w:right w:w="73" w:type="dxa"/>
            </w:tcMar>
            <w:vAlign w:val="center"/>
            <w:hideMark/>
          </w:tcPr>
          <w:p w14:paraId="7E99B43B"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 </w:t>
            </w:r>
          </w:p>
        </w:tc>
        <w:tc>
          <w:tcPr>
            <w:tcW w:w="895" w:type="pct"/>
            <w:tcBorders>
              <w:top w:val="nil"/>
              <w:left w:val="single" w:sz="8" w:space="0" w:color="000000"/>
              <w:bottom w:val="nil"/>
              <w:right w:val="nil"/>
            </w:tcBorders>
            <w:shd w:val="clear" w:color="auto" w:fill="auto"/>
            <w:tcMar>
              <w:top w:w="16" w:type="dxa"/>
              <w:left w:w="73" w:type="dxa"/>
              <w:bottom w:w="0" w:type="dxa"/>
              <w:right w:w="73" w:type="dxa"/>
            </w:tcMar>
            <w:vAlign w:val="center"/>
            <w:hideMark/>
          </w:tcPr>
          <w:p w14:paraId="69A441B4"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 </w:t>
            </w:r>
          </w:p>
        </w:tc>
        <w:tc>
          <w:tcPr>
            <w:tcW w:w="860" w:type="pct"/>
            <w:tcBorders>
              <w:top w:val="nil"/>
              <w:left w:val="nil"/>
              <w:bottom w:val="nil"/>
              <w:right w:val="nil"/>
            </w:tcBorders>
            <w:shd w:val="clear" w:color="auto" w:fill="auto"/>
            <w:tcMar>
              <w:top w:w="16" w:type="dxa"/>
              <w:left w:w="73" w:type="dxa"/>
              <w:bottom w:w="0" w:type="dxa"/>
              <w:right w:w="73" w:type="dxa"/>
            </w:tcMar>
            <w:vAlign w:val="center"/>
            <w:hideMark/>
          </w:tcPr>
          <w:p w14:paraId="5D798369"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 </w:t>
            </w:r>
          </w:p>
        </w:tc>
      </w:tr>
      <w:tr w:rsidR="001E3745" w:rsidRPr="001A6367" w14:paraId="1EB58390" w14:textId="77777777" w:rsidTr="001E3745">
        <w:trPr>
          <w:trHeight w:val="427"/>
        </w:trPr>
        <w:tc>
          <w:tcPr>
            <w:tcW w:w="1646" w:type="pct"/>
            <w:tcBorders>
              <w:top w:val="nil"/>
              <w:left w:val="nil"/>
              <w:bottom w:val="nil"/>
              <w:right w:val="nil"/>
            </w:tcBorders>
            <w:shd w:val="clear" w:color="auto" w:fill="auto"/>
            <w:tcMar>
              <w:top w:w="16" w:type="dxa"/>
              <w:left w:w="117" w:type="dxa"/>
              <w:bottom w:w="0" w:type="dxa"/>
              <w:right w:w="117" w:type="dxa"/>
            </w:tcMar>
            <w:hideMark/>
          </w:tcPr>
          <w:p w14:paraId="0B781E36" w14:textId="77777777" w:rsidR="00F34DD2" w:rsidRPr="001E3745" w:rsidRDefault="00F34DD2" w:rsidP="001E3745">
            <w:pPr>
              <w:spacing w:after="0" w:line="240" w:lineRule="auto"/>
              <w:ind w:left="245"/>
              <w:rPr>
                <w:rFonts w:ascii="Arial" w:hAnsi="Arial"/>
                <w:sz w:val="20"/>
                <w:lang w:val="en-GB"/>
              </w:rPr>
            </w:pPr>
            <w:r w:rsidRPr="001E3745">
              <w:rPr>
                <w:rFonts w:ascii="Arial" w:hAnsi="Arial"/>
                <w:color w:val="000000" w:themeColor="text1"/>
                <w:kern w:val="24"/>
                <w:sz w:val="20"/>
                <w:lang w:val="en-GB"/>
              </w:rPr>
              <w:t>LAMA (only monotherapy)</w:t>
            </w:r>
          </w:p>
        </w:tc>
        <w:tc>
          <w:tcPr>
            <w:tcW w:w="894" w:type="pct"/>
            <w:tcBorders>
              <w:top w:val="nil"/>
              <w:left w:val="nil"/>
              <w:bottom w:val="nil"/>
              <w:right w:val="nil"/>
            </w:tcBorders>
            <w:shd w:val="clear" w:color="auto" w:fill="auto"/>
            <w:tcMar>
              <w:top w:w="16" w:type="dxa"/>
              <w:left w:w="73" w:type="dxa"/>
              <w:bottom w:w="0" w:type="dxa"/>
              <w:right w:w="73" w:type="dxa"/>
            </w:tcMar>
            <w:hideMark/>
          </w:tcPr>
          <w:p w14:paraId="1A2BB8AA" w14:textId="2030CCCC"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1 (0.8</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705" w:type="pct"/>
            <w:tcBorders>
              <w:top w:val="nil"/>
              <w:left w:val="nil"/>
              <w:bottom w:val="nil"/>
              <w:right w:val="single" w:sz="8" w:space="0" w:color="000000"/>
            </w:tcBorders>
            <w:shd w:val="clear" w:color="auto" w:fill="auto"/>
            <w:tcMar>
              <w:top w:w="16" w:type="dxa"/>
              <w:left w:w="73" w:type="dxa"/>
              <w:bottom w:w="0" w:type="dxa"/>
              <w:right w:w="73" w:type="dxa"/>
            </w:tcMar>
            <w:hideMark/>
          </w:tcPr>
          <w:p w14:paraId="1A580A55" w14:textId="0B2D7512"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3 (0.8</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895" w:type="pct"/>
            <w:tcBorders>
              <w:top w:val="nil"/>
              <w:left w:val="single" w:sz="8" w:space="0" w:color="000000"/>
              <w:bottom w:val="nil"/>
              <w:right w:val="nil"/>
            </w:tcBorders>
            <w:shd w:val="clear" w:color="auto" w:fill="auto"/>
            <w:tcMar>
              <w:top w:w="16" w:type="dxa"/>
              <w:left w:w="73" w:type="dxa"/>
              <w:bottom w:w="0" w:type="dxa"/>
              <w:right w:w="73" w:type="dxa"/>
            </w:tcMar>
            <w:hideMark/>
          </w:tcPr>
          <w:p w14:paraId="3E9117AD" w14:textId="69F0E789"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236 (56.6</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860" w:type="pct"/>
            <w:tcBorders>
              <w:top w:val="nil"/>
              <w:left w:val="nil"/>
              <w:bottom w:val="nil"/>
              <w:right w:val="nil"/>
            </w:tcBorders>
            <w:shd w:val="clear" w:color="auto" w:fill="auto"/>
            <w:tcMar>
              <w:top w:w="16" w:type="dxa"/>
              <w:left w:w="73" w:type="dxa"/>
              <w:bottom w:w="0" w:type="dxa"/>
              <w:right w:w="73" w:type="dxa"/>
            </w:tcMar>
            <w:hideMark/>
          </w:tcPr>
          <w:p w14:paraId="5F46158C" w14:textId="59EF7538"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687 (55.3</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r>
      <w:tr w:rsidR="001E3745" w:rsidRPr="001A6367" w14:paraId="572AD34D" w14:textId="77777777" w:rsidTr="001E3745">
        <w:trPr>
          <w:trHeight w:val="427"/>
        </w:trPr>
        <w:tc>
          <w:tcPr>
            <w:tcW w:w="1646" w:type="pct"/>
            <w:tcBorders>
              <w:top w:val="nil"/>
              <w:left w:val="nil"/>
              <w:bottom w:val="nil"/>
              <w:right w:val="nil"/>
            </w:tcBorders>
            <w:shd w:val="clear" w:color="auto" w:fill="auto"/>
            <w:tcMar>
              <w:top w:w="16" w:type="dxa"/>
              <w:left w:w="117" w:type="dxa"/>
              <w:bottom w:w="0" w:type="dxa"/>
              <w:right w:w="117" w:type="dxa"/>
            </w:tcMar>
            <w:hideMark/>
          </w:tcPr>
          <w:p w14:paraId="3484EDC6" w14:textId="77777777" w:rsidR="00F34DD2" w:rsidRPr="001E3745" w:rsidRDefault="00F34DD2" w:rsidP="001E3745">
            <w:pPr>
              <w:spacing w:after="0" w:line="240" w:lineRule="auto"/>
              <w:ind w:left="245"/>
              <w:rPr>
                <w:rFonts w:ascii="Arial" w:hAnsi="Arial"/>
                <w:sz w:val="20"/>
                <w:lang w:val="en-GB"/>
              </w:rPr>
            </w:pPr>
            <w:r w:rsidRPr="001E3745">
              <w:rPr>
                <w:rFonts w:ascii="Arial" w:hAnsi="Arial"/>
                <w:color w:val="000000" w:themeColor="text1"/>
                <w:kern w:val="24"/>
                <w:sz w:val="20"/>
                <w:lang w:val="en-GB"/>
              </w:rPr>
              <w:t>LABA (only monotherapy)</w:t>
            </w:r>
          </w:p>
        </w:tc>
        <w:tc>
          <w:tcPr>
            <w:tcW w:w="894" w:type="pct"/>
            <w:tcBorders>
              <w:top w:val="nil"/>
              <w:left w:val="nil"/>
              <w:bottom w:val="nil"/>
              <w:right w:val="nil"/>
            </w:tcBorders>
            <w:shd w:val="clear" w:color="auto" w:fill="auto"/>
            <w:tcMar>
              <w:top w:w="16" w:type="dxa"/>
              <w:left w:w="73" w:type="dxa"/>
              <w:bottom w:w="0" w:type="dxa"/>
              <w:right w:w="73" w:type="dxa"/>
            </w:tcMar>
            <w:hideMark/>
          </w:tcPr>
          <w:p w14:paraId="6AA2A330"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w:t>
            </w:r>
          </w:p>
        </w:tc>
        <w:tc>
          <w:tcPr>
            <w:tcW w:w="705" w:type="pct"/>
            <w:tcBorders>
              <w:top w:val="nil"/>
              <w:left w:val="nil"/>
              <w:bottom w:val="nil"/>
              <w:right w:val="single" w:sz="8" w:space="0" w:color="000000"/>
            </w:tcBorders>
            <w:shd w:val="clear" w:color="auto" w:fill="auto"/>
            <w:tcMar>
              <w:top w:w="16" w:type="dxa"/>
              <w:left w:w="73" w:type="dxa"/>
              <w:bottom w:w="0" w:type="dxa"/>
              <w:right w:w="73" w:type="dxa"/>
            </w:tcMar>
            <w:hideMark/>
          </w:tcPr>
          <w:p w14:paraId="7C5B559B" w14:textId="5270C840"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2 (0.5</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895" w:type="pct"/>
            <w:tcBorders>
              <w:top w:val="nil"/>
              <w:left w:val="single" w:sz="8" w:space="0" w:color="000000"/>
              <w:bottom w:val="nil"/>
              <w:right w:val="nil"/>
            </w:tcBorders>
            <w:shd w:val="clear" w:color="auto" w:fill="auto"/>
            <w:tcMar>
              <w:top w:w="16" w:type="dxa"/>
              <w:left w:w="73" w:type="dxa"/>
              <w:bottom w:w="0" w:type="dxa"/>
              <w:right w:w="73" w:type="dxa"/>
            </w:tcMar>
            <w:hideMark/>
          </w:tcPr>
          <w:p w14:paraId="56F00E19" w14:textId="4BBF1019"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176 (42.2</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860" w:type="pct"/>
            <w:tcBorders>
              <w:top w:val="nil"/>
              <w:left w:val="nil"/>
              <w:bottom w:val="nil"/>
              <w:right w:val="nil"/>
            </w:tcBorders>
            <w:shd w:val="clear" w:color="auto" w:fill="auto"/>
            <w:tcMar>
              <w:top w:w="16" w:type="dxa"/>
              <w:left w:w="73" w:type="dxa"/>
              <w:bottom w:w="0" w:type="dxa"/>
              <w:right w:w="73" w:type="dxa"/>
            </w:tcMar>
            <w:hideMark/>
          </w:tcPr>
          <w:p w14:paraId="5259B969" w14:textId="7BD9688B"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546 (43.9</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r>
      <w:tr w:rsidR="001E3745" w:rsidRPr="001A6367" w14:paraId="16D8EC01" w14:textId="77777777" w:rsidTr="001E3745">
        <w:trPr>
          <w:trHeight w:val="542"/>
        </w:trPr>
        <w:tc>
          <w:tcPr>
            <w:tcW w:w="1646" w:type="pct"/>
            <w:tcBorders>
              <w:top w:val="nil"/>
              <w:left w:val="nil"/>
              <w:bottom w:val="nil"/>
              <w:right w:val="nil"/>
            </w:tcBorders>
            <w:shd w:val="clear" w:color="auto" w:fill="auto"/>
            <w:tcMar>
              <w:top w:w="16" w:type="dxa"/>
              <w:left w:w="117" w:type="dxa"/>
              <w:bottom w:w="0" w:type="dxa"/>
              <w:right w:w="117" w:type="dxa"/>
            </w:tcMar>
            <w:hideMark/>
          </w:tcPr>
          <w:p w14:paraId="20F908DE" w14:textId="77777777" w:rsidR="00F34DD2" w:rsidRPr="001E3745" w:rsidRDefault="00F34DD2" w:rsidP="001E3745">
            <w:pPr>
              <w:spacing w:after="0" w:line="240" w:lineRule="auto"/>
              <w:ind w:left="245"/>
              <w:rPr>
                <w:rFonts w:ascii="Arial" w:hAnsi="Arial"/>
                <w:sz w:val="20"/>
                <w:lang w:val="en-GB"/>
              </w:rPr>
            </w:pPr>
            <w:r w:rsidRPr="001E3745">
              <w:rPr>
                <w:rFonts w:ascii="Arial" w:hAnsi="Arial"/>
                <w:color w:val="000000" w:themeColor="text1"/>
                <w:kern w:val="24"/>
                <w:sz w:val="20"/>
                <w:lang w:val="en-GB"/>
              </w:rPr>
              <w:t>LABA+ICS (fixed-dose or free combination)</w:t>
            </w:r>
          </w:p>
        </w:tc>
        <w:tc>
          <w:tcPr>
            <w:tcW w:w="894" w:type="pct"/>
            <w:tcBorders>
              <w:top w:val="nil"/>
              <w:left w:val="nil"/>
              <w:bottom w:val="nil"/>
              <w:right w:val="nil"/>
            </w:tcBorders>
            <w:shd w:val="clear" w:color="auto" w:fill="auto"/>
            <w:tcMar>
              <w:top w:w="16" w:type="dxa"/>
              <w:left w:w="73" w:type="dxa"/>
              <w:bottom w:w="0" w:type="dxa"/>
              <w:right w:w="73" w:type="dxa"/>
            </w:tcMar>
            <w:hideMark/>
          </w:tcPr>
          <w:p w14:paraId="0CD5E29A"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w:t>
            </w:r>
          </w:p>
        </w:tc>
        <w:tc>
          <w:tcPr>
            <w:tcW w:w="705" w:type="pct"/>
            <w:tcBorders>
              <w:top w:val="nil"/>
              <w:left w:val="nil"/>
              <w:bottom w:val="nil"/>
              <w:right w:val="single" w:sz="8" w:space="0" w:color="000000"/>
            </w:tcBorders>
            <w:shd w:val="clear" w:color="auto" w:fill="auto"/>
            <w:tcMar>
              <w:top w:w="16" w:type="dxa"/>
              <w:left w:w="73" w:type="dxa"/>
              <w:bottom w:w="0" w:type="dxa"/>
              <w:right w:w="73" w:type="dxa"/>
            </w:tcMar>
            <w:hideMark/>
          </w:tcPr>
          <w:p w14:paraId="0462D908" w14:textId="5E8C980D"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1 (0.3</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895" w:type="pct"/>
            <w:tcBorders>
              <w:top w:val="nil"/>
              <w:left w:val="single" w:sz="8" w:space="0" w:color="000000"/>
              <w:bottom w:val="nil"/>
              <w:right w:val="nil"/>
            </w:tcBorders>
            <w:shd w:val="clear" w:color="auto" w:fill="auto"/>
            <w:tcMar>
              <w:top w:w="16" w:type="dxa"/>
              <w:left w:w="73" w:type="dxa"/>
              <w:bottom w:w="0" w:type="dxa"/>
              <w:right w:w="73" w:type="dxa"/>
            </w:tcMar>
            <w:hideMark/>
          </w:tcPr>
          <w:p w14:paraId="5F2CCC64" w14:textId="77777777"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w:t>
            </w:r>
          </w:p>
        </w:tc>
        <w:tc>
          <w:tcPr>
            <w:tcW w:w="860" w:type="pct"/>
            <w:tcBorders>
              <w:top w:val="nil"/>
              <w:left w:val="nil"/>
              <w:bottom w:val="nil"/>
              <w:right w:val="nil"/>
            </w:tcBorders>
            <w:shd w:val="clear" w:color="auto" w:fill="auto"/>
            <w:tcMar>
              <w:top w:w="16" w:type="dxa"/>
              <w:left w:w="73" w:type="dxa"/>
              <w:bottom w:w="0" w:type="dxa"/>
              <w:right w:w="73" w:type="dxa"/>
            </w:tcMar>
            <w:hideMark/>
          </w:tcPr>
          <w:p w14:paraId="54A9F2EA" w14:textId="52B218CB"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3 (0.2</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r>
      <w:tr w:rsidR="001E3745" w:rsidRPr="001A6367" w14:paraId="2670DD61" w14:textId="77777777" w:rsidTr="001E3745">
        <w:trPr>
          <w:trHeight w:val="427"/>
        </w:trPr>
        <w:tc>
          <w:tcPr>
            <w:tcW w:w="1646" w:type="pct"/>
            <w:tcBorders>
              <w:top w:val="nil"/>
              <w:left w:val="nil"/>
              <w:bottom w:val="single" w:sz="8" w:space="0" w:color="000000"/>
              <w:right w:val="nil"/>
            </w:tcBorders>
            <w:shd w:val="clear" w:color="auto" w:fill="auto"/>
            <w:tcMar>
              <w:top w:w="16" w:type="dxa"/>
              <w:left w:w="117" w:type="dxa"/>
              <w:bottom w:w="0" w:type="dxa"/>
              <w:right w:w="117" w:type="dxa"/>
            </w:tcMar>
            <w:hideMark/>
          </w:tcPr>
          <w:p w14:paraId="1AE2928B" w14:textId="77777777" w:rsidR="00F34DD2" w:rsidRPr="001E3745" w:rsidRDefault="00F34DD2" w:rsidP="001E3745">
            <w:pPr>
              <w:spacing w:after="0" w:line="240" w:lineRule="auto"/>
              <w:ind w:left="245"/>
              <w:rPr>
                <w:rFonts w:ascii="Arial" w:hAnsi="Arial"/>
                <w:sz w:val="20"/>
                <w:lang w:val="en-GB"/>
              </w:rPr>
            </w:pPr>
            <w:r w:rsidRPr="001E3745">
              <w:rPr>
                <w:rFonts w:ascii="Arial" w:hAnsi="Arial"/>
                <w:color w:val="000000" w:themeColor="text1"/>
                <w:kern w:val="24"/>
                <w:sz w:val="20"/>
                <w:lang w:val="en-GB"/>
              </w:rPr>
              <w:t>Others</w:t>
            </w:r>
            <w:r w:rsidRPr="001E3745">
              <w:rPr>
                <w:rFonts w:ascii="Arial" w:hAnsi="Arial"/>
                <w:color w:val="000000" w:themeColor="text1"/>
                <w:kern w:val="24"/>
                <w:position w:val="10"/>
                <w:sz w:val="20"/>
                <w:vertAlign w:val="superscript"/>
                <w:lang w:val="en-GB"/>
              </w:rPr>
              <w:t>†</w:t>
            </w:r>
          </w:p>
        </w:tc>
        <w:tc>
          <w:tcPr>
            <w:tcW w:w="894" w:type="pct"/>
            <w:tcBorders>
              <w:top w:val="nil"/>
              <w:left w:val="nil"/>
              <w:bottom w:val="single" w:sz="8" w:space="0" w:color="000000"/>
              <w:right w:val="nil"/>
            </w:tcBorders>
            <w:shd w:val="clear" w:color="auto" w:fill="auto"/>
            <w:tcMar>
              <w:top w:w="16" w:type="dxa"/>
              <w:left w:w="73" w:type="dxa"/>
              <w:bottom w:w="0" w:type="dxa"/>
              <w:right w:w="73" w:type="dxa"/>
            </w:tcMar>
            <w:hideMark/>
          </w:tcPr>
          <w:p w14:paraId="011CB079" w14:textId="156DF712"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128 (103.2</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705" w:type="pct"/>
            <w:tcBorders>
              <w:top w:val="nil"/>
              <w:left w:val="nil"/>
              <w:bottom w:val="single" w:sz="8" w:space="0" w:color="000000"/>
              <w:right w:val="single" w:sz="8" w:space="0" w:color="000000"/>
            </w:tcBorders>
            <w:shd w:val="clear" w:color="auto" w:fill="auto"/>
            <w:tcMar>
              <w:top w:w="16" w:type="dxa"/>
              <w:left w:w="73" w:type="dxa"/>
              <w:bottom w:w="0" w:type="dxa"/>
              <w:right w:w="73" w:type="dxa"/>
            </w:tcMar>
            <w:hideMark/>
          </w:tcPr>
          <w:p w14:paraId="44AABA7E" w14:textId="36AC206B"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378 (99.5</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895" w:type="pct"/>
            <w:tcBorders>
              <w:top w:val="nil"/>
              <w:left w:val="single" w:sz="8" w:space="0" w:color="000000"/>
              <w:bottom w:val="single" w:sz="8" w:space="0" w:color="000000"/>
              <w:right w:val="nil"/>
            </w:tcBorders>
            <w:shd w:val="clear" w:color="auto" w:fill="auto"/>
            <w:tcMar>
              <w:top w:w="16" w:type="dxa"/>
              <w:left w:w="73" w:type="dxa"/>
              <w:bottom w:w="0" w:type="dxa"/>
              <w:right w:w="73" w:type="dxa"/>
            </w:tcMar>
            <w:hideMark/>
          </w:tcPr>
          <w:p w14:paraId="64C157E0" w14:textId="0464692A"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17 (4.0</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c>
          <w:tcPr>
            <w:tcW w:w="860" w:type="pct"/>
            <w:tcBorders>
              <w:top w:val="nil"/>
              <w:left w:val="nil"/>
              <w:bottom w:val="single" w:sz="8" w:space="0" w:color="000000"/>
              <w:right w:val="nil"/>
            </w:tcBorders>
            <w:shd w:val="clear" w:color="auto" w:fill="auto"/>
            <w:tcMar>
              <w:top w:w="16" w:type="dxa"/>
              <w:left w:w="73" w:type="dxa"/>
              <w:bottom w:w="0" w:type="dxa"/>
              <w:right w:w="73" w:type="dxa"/>
            </w:tcMar>
            <w:hideMark/>
          </w:tcPr>
          <w:p w14:paraId="68552B74" w14:textId="1B231DE4" w:rsidR="00F34DD2" w:rsidRPr="001E3745" w:rsidRDefault="00F34DD2" w:rsidP="001E3745">
            <w:pPr>
              <w:spacing w:after="0" w:line="240" w:lineRule="auto"/>
              <w:jc w:val="center"/>
              <w:rPr>
                <w:rFonts w:ascii="Arial" w:hAnsi="Arial"/>
                <w:sz w:val="20"/>
                <w:lang w:val="en-GB"/>
              </w:rPr>
            </w:pPr>
            <w:r w:rsidRPr="001E3745">
              <w:rPr>
                <w:rFonts w:ascii="Arial" w:hAnsi="Arial"/>
                <w:color w:val="000000" w:themeColor="text1"/>
                <w:kern w:val="24"/>
                <w:sz w:val="20"/>
                <w:lang w:val="en-GB"/>
              </w:rPr>
              <w:t>53 (4.3</w:t>
            </w:r>
            <w:r>
              <w:rPr>
                <w:rFonts w:ascii="Arial" w:eastAsia="Times New Roman" w:hAnsi="Arial" w:cs="Arial"/>
                <w:color w:val="000000" w:themeColor="text1"/>
                <w:kern w:val="24"/>
                <w:sz w:val="20"/>
                <w:szCs w:val="20"/>
                <w:lang w:val="en-GB"/>
              </w:rPr>
              <w:t>%</w:t>
            </w:r>
            <w:r w:rsidRPr="001A6367">
              <w:rPr>
                <w:rFonts w:ascii="Arial" w:eastAsia="Times New Roman" w:hAnsi="Arial" w:cs="Arial"/>
                <w:color w:val="000000" w:themeColor="text1"/>
                <w:kern w:val="24"/>
                <w:sz w:val="20"/>
                <w:szCs w:val="20"/>
                <w:lang w:val="en-GB"/>
              </w:rPr>
              <w:t>)</w:t>
            </w:r>
          </w:p>
        </w:tc>
      </w:tr>
      <w:tr w:rsidR="00F34DD2" w:rsidRPr="001A6367" w14:paraId="6BE0A0FD" w14:textId="77777777" w:rsidTr="00D94365">
        <w:trPr>
          <w:trHeight w:val="1169"/>
        </w:trPr>
        <w:tc>
          <w:tcPr>
            <w:tcW w:w="5000" w:type="pct"/>
            <w:gridSpan w:val="5"/>
            <w:tcBorders>
              <w:top w:val="single" w:sz="8" w:space="0" w:color="000000"/>
              <w:left w:val="nil"/>
              <w:bottom w:val="single" w:sz="8" w:space="0" w:color="000000"/>
              <w:right w:val="nil"/>
            </w:tcBorders>
            <w:shd w:val="clear" w:color="auto" w:fill="auto"/>
            <w:tcMar>
              <w:top w:w="16" w:type="dxa"/>
              <w:left w:w="117" w:type="dxa"/>
              <w:bottom w:w="0" w:type="dxa"/>
              <w:right w:w="117" w:type="dxa"/>
            </w:tcMar>
            <w:hideMark/>
          </w:tcPr>
          <w:p w14:paraId="52E99CB7" w14:textId="77777777" w:rsidR="00F34DD2" w:rsidRDefault="00F34DD2" w:rsidP="001E3745">
            <w:pPr>
              <w:spacing w:after="0" w:line="240" w:lineRule="auto"/>
              <w:rPr>
                <w:rFonts w:ascii="Arial" w:eastAsia="Times New Roman" w:hAnsi="Arial" w:cs="Arial"/>
                <w:color w:val="000000" w:themeColor="text1"/>
                <w:kern w:val="24"/>
                <w:sz w:val="20"/>
                <w:szCs w:val="20"/>
                <w:lang w:val="en-GB"/>
              </w:rPr>
            </w:pPr>
            <w:r w:rsidRPr="001A6367">
              <w:rPr>
                <w:rFonts w:ascii="Arial" w:eastAsia="Times New Roman" w:hAnsi="Arial" w:cs="Arial"/>
                <w:color w:val="000000" w:themeColor="text1"/>
                <w:kern w:val="24"/>
                <w:sz w:val="20"/>
                <w:szCs w:val="20"/>
                <w:vertAlign w:val="superscript"/>
                <w:lang w:val="en-GB"/>
              </w:rPr>
              <w:t>#</w:t>
            </w:r>
            <w:r w:rsidRPr="001A6367">
              <w:rPr>
                <w:rFonts w:ascii="Arial" w:eastAsiaTheme="minorEastAsia" w:hAnsi="Arial" w:cs="Arial"/>
                <w:color w:val="000000"/>
                <w:kern w:val="24"/>
                <w:sz w:val="20"/>
                <w:szCs w:val="20"/>
                <w:lang w:val="en-GB"/>
              </w:rPr>
              <w:t xml:space="preserve">Non-inferiority testing and patient had </w:t>
            </w:r>
            <w:r>
              <w:rPr>
                <w:rFonts w:ascii="Arial" w:eastAsiaTheme="minorEastAsia" w:hAnsi="Arial" w:cs="Arial"/>
                <w:color w:val="000000"/>
                <w:kern w:val="24"/>
                <w:sz w:val="20"/>
                <w:szCs w:val="20"/>
                <w:lang w:val="en-GB"/>
              </w:rPr>
              <w:t xml:space="preserve">an </w:t>
            </w:r>
            <w:r w:rsidRPr="001A6367">
              <w:rPr>
                <w:rFonts w:ascii="Arial" w:eastAsiaTheme="minorEastAsia" w:hAnsi="Arial" w:cs="Arial"/>
                <w:color w:val="000000"/>
                <w:kern w:val="24"/>
                <w:sz w:val="20"/>
                <w:szCs w:val="20"/>
                <w:lang w:val="en-GB"/>
              </w:rPr>
              <w:t xml:space="preserve">mMRC </w:t>
            </w:r>
            <w:r>
              <w:rPr>
                <w:rFonts w:ascii="Arial" w:eastAsiaTheme="minorEastAsia" w:hAnsi="Arial" w:cs="Arial"/>
                <w:color w:val="000000"/>
                <w:kern w:val="24"/>
                <w:sz w:val="20"/>
                <w:szCs w:val="20"/>
                <w:lang w:val="en-GB"/>
              </w:rPr>
              <w:t xml:space="preserve">score </w:t>
            </w:r>
            <w:r w:rsidRPr="001A6367">
              <w:rPr>
                <w:rFonts w:ascii="Arial" w:eastAsiaTheme="minorEastAsia" w:hAnsi="Arial" w:cs="Arial"/>
                <w:color w:val="000000"/>
                <w:kern w:val="24"/>
                <w:sz w:val="20"/>
                <w:szCs w:val="20"/>
                <w:lang w:val="en-GB"/>
              </w:rPr>
              <w:t>= 1</w:t>
            </w:r>
            <w:r w:rsidRPr="001A6367">
              <w:rPr>
                <w:rFonts w:ascii="Arial" w:eastAsia="Times New Roman" w:hAnsi="Arial" w:cs="Arial"/>
                <w:color w:val="000000" w:themeColor="text1"/>
                <w:kern w:val="24"/>
                <w:sz w:val="20"/>
                <w:szCs w:val="20"/>
                <w:lang w:val="en-GB"/>
              </w:rPr>
              <w:t xml:space="preserve">; </w:t>
            </w:r>
            <w:r w:rsidRPr="001A6367">
              <w:rPr>
                <w:rFonts w:ascii="Arial" w:eastAsia="Times New Roman" w:hAnsi="Arial" w:cs="Arial"/>
                <w:color w:val="000000" w:themeColor="text1"/>
                <w:kern w:val="24"/>
                <w:position w:val="7"/>
                <w:sz w:val="20"/>
                <w:szCs w:val="20"/>
                <w:vertAlign w:val="superscript"/>
                <w:lang w:val="en-GB"/>
              </w:rPr>
              <w:t>‡</w:t>
            </w:r>
            <w:r w:rsidRPr="001A6367">
              <w:rPr>
                <w:rFonts w:ascii="Arial" w:eastAsia="Times New Roman" w:hAnsi="Arial" w:cs="Arial"/>
                <w:color w:val="000000" w:themeColor="text1"/>
                <w:kern w:val="24"/>
                <w:sz w:val="20"/>
                <w:szCs w:val="20"/>
                <w:lang w:val="en-GB"/>
              </w:rPr>
              <w:t xml:space="preserve">At baseline, some of the patients were receiving more than one type of COPD medications. </w:t>
            </w:r>
            <w:r w:rsidRPr="001A6367">
              <w:rPr>
                <w:rFonts w:ascii="Arial" w:eastAsia="Times New Roman" w:hAnsi="Arial" w:cs="Arial"/>
                <w:color w:val="000000" w:themeColor="text1"/>
                <w:kern w:val="24"/>
                <w:position w:val="7"/>
                <w:sz w:val="20"/>
                <w:szCs w:val="20"/>
                <w:vertAlign w:val="superscript"/>
                <w:lang w:val="en-GB"/>
              </w:rPr>
              <w:t>†</w:t>
            </w:r>
            <w:r w:rsidRPr="001A6367">
              <w:rPr>
                <w:rFonts w:ascii="Arial" w:eastAsia="Times New Roman" w:hAnsi="Arial" w:cs="Arial"/>
                <w:color w:val="000000" w:themeColor="text1"/>
                <w:kern w:val="24"/>
                <w:sz w:val="20"/>
                <w:szCs w:val="20"/>
                <w:lang w:val="en-GB"/>
              </w:rPr>
              <w:t xml:space="preserve">SABA, SAMA, ICS, systemic corticosteroids, methylxanthines, roflumilast, etc. Data are presented as mean (standard deviation), unless otherwise stated. </w:t>
            </w:r>
          </w:p>
          <w:p w14:paraId="672E0772" w14:textId="77777777" w:rsidR="00F34DD2" w:rsidRPr="001A6367" w:rsidRDefault="00F34DD2" w:rsidP="001E3745">
            <w:pPr>
              <w:spacing w:after="0" w:line="240" w:lineRule="auto"/>
              <w:rPr>
                <w:rFonts w:ascii="Arial" w:eastAsia="Times New Roman" w:hAnsi="Arial" w:cs="Arial"/>
                <w:sz w:val="20"/>
                <w:szCs w:val="20"/>
                <w:lang w:val="en-GB"/>
              </w:rPr>
            </w:pPr>
            <w:r w:rsidRPr="001A6367">
              <w:rPr>
                <w:rFonts w:ascii="Arial" w:eastAsia="Times New Roman" w:hAnsi="Arial" w:cs="Arial"/>
                <w:color w:val="000000" w:themeColor="text1"/>
                <w:kern w:val="24"/>
                <w:sz w:val="20"/>
                <w:szCs w:val="20"/>
                <w:lang w:val="en-GB"/>
              </w:rPr>
              <w:t>FEV</w:t>
            </w:r>
            <w:r w:rsidRPr="001A6367">
              <w:rPr>
                <w:rFonts w:ascii="Arial" w:eastAsia="Times New Roman" w:hAnsi="Arial" w:cs="Arial"/>
                <w:color w:val="000000" w:themeColor="text1"/>
                <w:kern w:val="24"/>
                <w:position w:val="-6"/>
                <w:sz w:val="20"/>
                <w:szCs w:val="20"/>
                <w:vertAlign w:val="subscript"/>
                <w:lang w:val="en-GB"/>
              </w:rPr>
              <w:t>1</w:t>
            </w:r>
            <w:r w:rsidRPr="001A6367">
              <w:rPr>
                <w:rFonts w:ascii="Arial" w:eastAsia="Times New Roman" w:hAnsi="Arial" w:cs="Arial"/>
                <w:color w:val="000000" w:themeColor="text1"/>
                <w:kern w:val="24"/>
                <w:sz w:val="20"/>
                <w:szCs w:val="20"/>
                <w:lang w:val="en-GB"/>
              </w:rPr>
              <w:t xml:space="preserve">, forced expiratory volume in 1 second; GLY, glycopyrronium; </w:t>
            </w:r>
            <w:r>
              <w:rPr>
                <w:rFonts w:ascii="Arial" w:eastAsia="Times New Roman" w:hAnsi="Arial" w:cs="Arial"/>
                <w:color w:val="000000" w:themeColor="text1"/>
                <w:kern w:val="24"/>
                <w:sz w:val="20"/>
                <w:szCs w:val="20"/>
                <w:lang w:val="en-GB"/>
              </w:rPr>
              <w:t xml:space="preserve">ITT, intention to treat; </w:t>
            </w:r>
            <w:r w:rsidRPr="001A6367">
              <w:rPr>
                <w:rFonts w:ascii="Arial" w:eastAsia="Times New Roman" w:hAnsi="Arial" w:cs="Arial"/>
                <w:color w:val="000000" w:themeColor="text1"/>
                <w:kern w:val="24"/>
                <w:sz w:val="20"/>
                <w:szCs w:val="20"/>
                <w:lang w:val="en-GB"/>
              </w:rPr>
              <w:t>LABA, long-acting β</w:t>
            </w:r>
            <w:r w:rsidRPr="001A6367">
              <w:rPr>
                <w:rFonts w:ascii="Arial" w:eastAsia="Times New Roman" w:hAnsi="Arial" w:cs="Arial"/>
                <w:color w:val="000000" w:themeColor="text1"/>
                <w:kern w:val="24"/>
                <w:position w:val="-6"/>
                <w:sz w:val="20"/>
                <w:szCs w:val="20"/>
                <w:vertAlign w:val="subscript"/>
                <w:lang w:val="en-GB"/>
              </w:rPr>
              <w:t>2</w:t>
            </w:r>
            <w:r w:rsidRPr="001A6367">
              <w:rPr>
                <w:rFonts w:ascii="Arial" w:eastAsia="Times New Roman" w:hAnsi="Arial" w:cs="Arial"/>
                <w:color w:val="000000" w:themeColor="text1"/>
                <w:kern w:val="24"/>
                <w:sz w:val="20"/>
                <w:szCs w:val="20"/>
                <w:lang w:val="en-GB"/>
              </w:rPr>
              <w:t>-agonist; LAMA, long-acting muscarinic antagonist; mMRC, modified Medical Research Council; SABA, short-acting β</w:t>
            </w:r>
            <w:r w:rsidRPr="001A6367">
              <w:rPr>
                <w:rFonts w:ascii="Arial" w:eastAsia="Times New Roman" w:hAnsi="Arial" w:cs="Arial"/>
                <w:color w:val="000000" w:themeColor="text1"/>
                <w:kern w:val="24"/>
                <w:position w:val="-6"/>
                <w:sz w:val="20"/>
                <w:szCs w:val="20"/>
                <w:vertAlign w:val="subscript"/>
                <w:lang w:val="en-GB"/>
              </w:rPr>
              <w:t>2</w:t>
            </w:r>
            <w:r w:rsidRPr="001A6367">
              <w:rPr>
                <w:rFonts w:ascii="Arial" w:eastAsia="Times New Roman" w:hAnsi="Arial" w:cs="Arial"/>
                <w:color w:val="000000" w:themeColor="text1"/>
                <w:kern w:val="24"/>
                <w:sz w:val="20"/>
                <w:szCs w:val="20"/>
                <w:lang w:val="en-GB"/>
              </w:rPr>
              <w:t>-agonist; SAMA, short-acting muscarinic antagonist</w:t>
            </w:r>
          </w:p>
        </w:tc>
      </w:tr>
    </w:tbl>
    <w:p w14:paraId="238CFE6D" w14:textId="77777777" w:rsidR="00F34DD2" w:rsidRDefault="00F34DD2" w:rsidP="001E3745">
      <w:pPr>
        <w:pStyle w:val="Heading2"/>
        <w:spacing w:after="0" w:line="480" w:lineRule="auto"/>
        <w:rPr>
          <w:b/>
          <w:color w:val="auto"/>
          <w:sz w:val="22"/>
          <w:lang w:val="en-US"/>
        </w:rPr>
      </w:pPr>
    </w:p>
    <w:p w14:paraId="73096074" w14:textId="77777777" w:rsidR="00F34DD2" w:rsidRDefault="00F34DD2">
      <w:pPr>
        <w:spacing w:after="0" w:line="240" w:lineRule="auto"/>
        <w:rPr>
          <w:rFonts w:ascii="Arial" w:eastAsia="Times New Roman" w:hAnsi="Arial" w:cs="Arial"/>
          <w:b/>
          <w:lang w:eastAsia="de-DE"/>
        </w:rPr>
      </w:pPr>
      <w:r>
        <w:rPr>
          <w:b/>
        </w:rPr>
        <w:br w:type="page"/>
      </w:r>
    </w:p>
    <w:p w14:paraId="49C63F92" w14:textId="77777777" w:rsidR="00F34DD2" w:rsidRPr="00F20375" w:rsidRDefault="00F34DD2" w:rsidP="001E3745">
      <w:pPr>
        <w:pStyle w:val="Heading2"/>
        <w:spacing w:after="0" w:line="480" w:lineRule="auto"/>
        <w:rPr>
          <w:b/>
          <w:color w:val="auto"/>
          <w:sz w:val="22"/>
        </w:rPr>
      </w:pPr>
      <w:r>
        <w:rPr>
          <w:rFonts w:eastAsia="Calibri"/>
          <w:b/>
          <w:color w:val="auto"/>
          <w:sz w:val="22"/>
          <w:lang w:eastAsia="en-US"/>
        </w:rPr>
        <w:lastRenderedPageBreak/>
        <w:t xml:space="preserve">S6.1. </w:t>
      </w:r>
      <w:r w:rsidRPr="00A22412">
        <w:rPr>
          <w:rFonts w:eastAsia="Calibri"/>
          <w:b/>
          <w:color w:val="auto"/>
          <w:sz w:val="22"/>
          <w:lang w:eastAsia="en-US"/>
        </w:rPr>
        <w:t>Impact of direct switch to GLY from baseline treatments on lung function and</w:t>
      </w:r>
      <w:r w:rsidRPr="00F20375">
        <w:rPr>
          <w:b/>
          <w:color w:val="auto"/>
          <w:sz w:val="22"/>
        </w:rPr>
        <w:t xml:space="preserve"> dyspnoea</w:t>
      </w:r>
    </w:p>
    <w:p w14:paraId="5581A093" w14:textId="1D864938" w:rsidR="00F34DD2" w:rsidRPr="001E3745" w:rsidRDefault="00F34DD2" w:rsidP="001E3745">
      <w:pPr>
        <w:pStyle w:val="ListParagraph"/>
        <w:autoSpaceDE w:val="0"/>
        <w:autoSpaceDN w:val="0"/>
        <w:adjustRightInd w:val="0"/>
        <w:spacing w:after="0" w:line="480" w:lineRule="auto"/>
        <w:ind w:left="0" w:firstLine="720"/>
        <w:contextualSpacing w:val="0"/>
        <w:rPr>
          <w:rFonts w:ascii="Arial" w:hAnsi="Arial"/>
        </w:rPr>
      </w:pPr>
      <w:r w:rsidRPr="001E3745">
        <w:rPr>
          <w:rFonts w:ascii="Arial" w:hAnsi="Arial"/>
        </w:rPr>
        <w:t xml:space="preserve">In </w:t>
      </w:r>
      <w:r w:rsidRPr="00386092">
        <w:rPr>
          <w:rFonts w:ascii="Arial" w:hAnsi="Arial" w:cs="Arial"/>
          <w:bCs/>
        </w:rPr>
        <w:t xml:space="preserve">the early discontinued </w:t>
      </w:r>
      <w:r w:rsidRPr="001E3745">
        <w:rPr>
          <w:rFonts w:ascii="Arial" w:hAnsi="Arial"/>
        </w:rPr>
        <w:t xml:space="preserve">groups of </w:t>
      </w:r>
      <w:r w:rsidRPr="00386092">
        <w:rPr>
          <w:rFonts w:ascii="Arial" w:hAnsi="Arial" w:cs="Arial"/>
          <w:bCs/>
        </w:rPr>
        <w:t>direct switch to GLY from</w:t>
      </w:r>
      <w:r w:rsidRPr="001E3745">
        <w:rPr>
          <w:rFonts w:ascii="Arial" w:hAnsi="Arial"/>
        </w:rPr>
        <w:t xml:space="preserve"> SABA and/or SAMA and LABA or LAMA with </w:t>
      </w:r>
      <w:r>
        <w:rPr>
          <w:rFonts w:ascii="Arial" w:hAnsi="Arial" w:cs="Arial"/>
          <w:bCs/>
        </w:rPr>
        <w:t xml:space="preserve">an </w:t>
      </w:r>
      <w:r w:rsidRPr="001E3745">
        <w:rPr>
          <w:rFonts w:ascii="Arial" w:hAnsi="Arial"/>
        </w:rPr>
        <w:t xml:space="preserve">mMRC </w:t>
      </w:r>
      <w:r>
        <w:rPr>
          <w:rFonts w:ascii="Arial" w:hAnsi="Arial" w:cs="Arial"/>
          <w:bCs/>
        </w:rPr>
        <w:t>score</w:t>
      </w:r>
      <w:r w:rsidRPr="00386092">
        <w:rPr>
          <w:rFonts w:ascii="Arial" w:hAnsi="Arial" w:cs="Arial"/>
          <w:bCs/>
        </w:rPr>
        <w:t xml:space="preserve"> </w:t>
      </w:r>
      <w:r w:rsidRPr="001E3745">
        <w:rPr>
          <w:rFonts w:ascii="Arial" w:hAnsi="Arial"/>
        </w:rPr>
        <w:t>= 1</w:t>
      </w:r>
      <w:r w:rsidRPr="00386092">
        <w:rPr>
          <w:rFonts w:ascii="Arial" w:hAnsi="Arial" w:cs="Arial"/>
          <w:bCs/>
        </w:rPr>
        <w:t>, which were underpowered due to a small sample size, GLY provided</w:t>
      </w:r>
      <w:r w:rsidRPr="001E3745">
        <w:rPr>
          <w:rFonts w:ascii="Arial" w:hAnsi="Arial"/>
        </w:rPr>
        <w:t xml:space="preserve"> superior </w:t>
      </w:r>
      <w:r w:rsidRPr="00386092">
        <w:rPr>
          <w:rFonts w:ascii="Arial" w:hAnsi="Arial" w:cs="Arial"/>
          <w:bCs/>
        </w:rPr>
        <w:t xml:space="preserve">improvements </w:t>
      </w:r>
      <w:r w:rsidRPr="001E3745">
        <w:rPr>
          <w:rFonts w:ascii="Arial" w:hAnsi="Arial"/>
        </w:rPr>
        <w:t>in trough FEV</w:t>
      </w:r>
      <w:r w:rsidRPr="001E3745">
        <w:rPr>
          <w:rFonts w:ascii="Arial" w:hAnsi="Arial"/>
          <w:vertAlign w:val="subscript"/>
        </w:rPr>
        <w:t>1</w:t>
      </w:r>
      <w:r w:rsidRPr="001E3745">
        <w:rPr>
          <w:rFonts w:ascii="Arial" w:hAnsi="Arial"/>
        </w:rPr>
        <w:t xml:space="preserve"> </w:t>
      </w:r>
      <w:r w:rsidRPr="00386092">
        <w:rPr>
          <w:rFonts w:ascii="Arial" w:hAnsi="Arial" w:cs="Arial"/>
          <w:bCs/>
        </w:rPr>
        <w:t>(</w:t>
      </w:r>
      <w:bookmarkStart w:id="26" w:name="_Hlk485739942"/>
      <w:r w:rsidRPr="00386092">
        <w:rPr>
          <w:rFonts w:ascii="Arial" w:hAnsi="Arial" w:cs="Arial"/>
          <w:bCs/>
          <w:lang w:val="el-GR"/>
        </w:rPr>
        <w:t>Δ</w:t>
      </w:r>
      <w:bookmarkEnd w:id="26"/>
      <w:r w:rsidRPr="00386092">
        <w:rPr>
          <w:rFonts w:ascii="Arial" w:hAnsi="Arial" w:cs="Arial"/>
          <w:bCs/>
          <w:lang w:val="en-IN"/>
        </w:rPr>
        <w:t xml:space="preserve"> </w:t>
      </w:r>
      <w:r w:rsidRPr="00386092">
        <w:rPr>
          <w:rFonts w:ascii="Arial" w:hAnsi="Arial" w:cs="Arial"/>
          <w:bCs/>
        </w:rPr>
        <w:t xml:space="preserve">= +65 mL, P = 0.018) </w:t>
      </w:r>
      <w:r w:rsidRPr="001E3745">
        <w:rPr>
          <w:rFonts w:ascii="Arial" w:hAnsi="Arial"/>
        </w:rPr>
        <w:t xml:space="preserve">and TDI </w:t>
      </w:r>
      <w:r w:rsidRPr="00386092">
        <w:rPr>
          <w:rFonts w:ascii="Arial" w:hAnsi="Arial" w:cs="Arial"/>
          <w:bCs/>
        </w:rPr>
        <w:t>(</w:t>
      </w:r>
      <w:r w:rsidRPr="00386092">
        <w:rPr>
          <w:rFonts w:ascii="Arial" w:hAnsi="Arial" w:cs="Arial"/>
          <w:bCs/>
          <w:lang w:val="el-GR"/>
        </w:rPr>
        <w:t>Δ</w:t>
      </w:r>
      <w:r w:rsidRPr="00386092">
        <w:rPr>
          <w:rFonts w:ascii="Arial" w:hAnsi="Arial" w:cs="Arial"/>
          <w:bCs/>
          <w:lang w:val="en-IN"/>
        </w:rPr>
        <w:t xml:space="preserve"> </w:t>
      </w:r>
      <w:r w:rsidRPr="00386092">
        <w:rPr>
          <w:rFonts w:ascii="Arial" w:hAnsi="Arial" w:cs="Arial"/>
          <w:bCs/>
        </w:rPr>
        <w:t xml:space="preserve">= 1.79 units, P &lt; 0.0001) </w:t>
      </w:r>
      <w:r w:rsidRPr="001E3745">
        <w:rPr>
          <w:rFonts w:ascii="Arial" w:hAnsi="Arial"/>
        </w:rPr>
        <w:t xml:space="preserve">at </w:t>
      </w:r>
      <w:r w:rsidRPr="00386092">
        <w:rPr>
          <w:rFonts w:ascii="Arial" w:hAnsi="Arial" w:cs="Arial"/>
          <w:bCs/>
        </w:rPr>
        <w:t>Week</w:t>
      </w:r>
      <w:r w:rsidRPr="001E3745">
        <w:rPr>
          <w:rFonts w:ascii="Arial" w:hAnsi="Arial"/>
        </w:rPr>
        <w:t xml:space="preserve"> 12 </w:t>
      </w:r>
      <w:r w:rsidRPr="00386092">
        <w:rPr>
          <w:rFonts w:ascii="Arial" w:hAnsi="Arial" w:cs="Arial"/>
          <w:bCs/>
        </w:rPr>
        <w:t xml:space="preserve">against SABA and/or SAMA </w:t>
      </w:r>
      <w:r w:rsidRPr="001E3745">
        <w:rPr>
          <w:rFonts w:ascii="Arial" w:hAnsi="Arial"/>
        </w:rPr>
        <w:t>(</w:t>
      </w:r>
      <w:r w:rsidRPr="001E3745">
        <w:rPr>
          <w:rFonts w:ascii="Arial" w:hAnsi="Arial"/>
          <w:b/>
        </w:rPr>
        <w:t xml:space="preserve">Figures </w:t>
      </w:r>
      <w:r>
        <w:rPr>
          <w:rFonts w:ascii="Arial" w:hAnsi="Arial" w:cs="Arial"/>
          <w:b/>
          <w:bCs/>
        </w:rPr>
        <w:t>S5A, S5B</w:t>
      </w:r>
      <w:r w:rsidRPr="001E3745">
        <w:rPr>
          <w:rFonts w:ascii="Arial" w:hAnsi="Arial"/>
        </w:rPr>
        <w:t xml:space="preserve">). </w:t>
      </w:r>
    </w:p>
    <w:p w14:paraId="68FA0DC1" w14:textId="5D73C929" w:rsidR="00F34DD2" w:rsidRPr="00F20375" w:rsidRDefault="00F34DD2" w:rsidP="00E35C7C">
      <w:pPr>
        <w:autoSpaceDE w:val="0"/>
        <w:autoSpaceDN w:val="0"/>
        <w:adjustRightInd w:val="0"/>
        <w:spacing w:after="0" w:line="480" w:lineRule="auto"/>
        <w:rPr>
          <w:rFonts w:ascii="Arial" w:hAnsi="Arial" w:cs="Arial"/>
          <w:lang w:val="en-GB"/>
        </w:rPr>
      </w:pPr>
      <w:r w:rsidRPr="00F20375">
        <w:rPr>
          <w:rFonts w:ascii="Arial" w:hAnsi="Arial" w:cs="Arial"/>
          <w:bCs/>
          <w:lang w:val="en-GB"/>
        </w:rPr>
        <w:t xml:space="preserve">In addition, </w:t>
      </w:r>
      <w:r w:rsidRPr="00F20375">
        <w:rPr>
          <w:rFonts w:ascii="Arial" w:hAnsi="Arial" w:cs="Arial"/>
          <w:lang w:val="en-GB"/>
        </w:rPr>
        <w:t xml:space="preserve">GLY showed non-inferiority in terms of achieving </w:t>
      </w:r>
      <w:r w:rsidRPr="00386092">
        <w:rPr>
          <w:rFonts w:ascii="Arial" w:hAnsi="Arial" w:cs="Arial"/>
          <w:bCs/>
          <w:lang w:val="el-GR"/>
        </w:rPr>
        <w:t>Δ</w:t>
      </w:r>
      <w:r w:rsidRPr="00F20375">
        <w:rPr>
          <w:rFonts w:ascii="Arial" w:hAnsi="Arial" w:cs="Arial"/>
          <w:lang w:val="en-GB"/>
        </w:rPr>
        <w:t xml:space="preserve"> as </w:t>
      </w:r>
      <w:r w:rsidRPr="00F20375">
        <w:rPr>
          <w:rFonts w:ascii="Arial" w:hAnsi="Arial" w:cs="Arial"/>
          <w:bCs/>
          <w:lang w:val="en-GB"/>
        </w:rPr>
        <w:t xml:space="preserve">a </w:t>
      </w:r>
      <w:r w:rsidRPr="00F20375">
        <w:rPr>
          <w:rFonts w:ascii="Arial" w:hAnsi="Arial" w:cs="Arial"/>
          <w:lang w:val="en-GB"/>
        </w:rPr>
        <w:t xml:space="preserve">lower bound of </w:t>
      </w:r>
      <w:r>
        <w:rPr>
          <w:rFonts w:ascii="Arial" w:hAnsi="Arial" w:cs="Arial"/>
          <w:lang w:val="en-GB"/>
        </w:rPr>
        <w:t xml:space="preserve">the </w:t>
      </w:r>
      <w:r w:rsidRPr="00F20375">
        <w:rPr>
          <w:rFonts w:ascii="Arial" w:hAnsi="Arial" w:cs="Arial"/>
          <w:lang w:val="en-GB"/>
        </w:rPr>
        <w:t xml:space="preserve">95% </w:t>
      </w:r>
      <w:bookmarkStart w:id="27" w:name="_Hlk485740187"/>
      <w:r w:rsidRPr="00F20375">
        <w:rPr>
          <w:rFonts w:ascii="Arial" w:hAnsi="Arial" w:cs="Arial"/>
          <w:lang w:val="en-GB"/>
        </w:rPr>
        <w:t>confidence interval (CI</w:t>
      </w:r>
      <w:bookmarkEnd w:id="27"/>
      <w:r w:rsidRPr="00F20375">
        <w:rPr>
          <w:rFonts w:ascii="Arial" w:hAnsi="Arial" w:cs="Arial"/>
          <w:lang w:val="en-GB"/>
        </w:rPr>
        <w:t>) of −40 mL for FEV</w:t>
      </w:r>
      <w:r w:rsidRPr="00F20375">
        <w:rPr>
          <w:rFonts w:ascii="Arial" w:hAnsi="Arial" w:cs="Arial"/>
          <w:vertAlign w:val="subscript"/>
          <w:lang w:val="en-GB"/>
        </w:rPr>
        <w:t>1</w:t>
      </w:r>
      <w:r w:rsidRPr="00F20375">
        <w:rPr>
          <w:rFonts w:ascii="Arial" w:hAnsi="Arial" w:cs="Arial"/>
          <w:lang w:val="en-GB"/>
        </w:rPr>
        <w:t xml:space="preserve"> and </w:t>
      </w:r>
      <w:r>
        <w:rPr>
          <w:rFonts w:ascii="Arial" w:hAnsi="Arial" w:cs="Arial"/>
          <w:lang w:val="en-GB"/>
        </w:rPr>
        <w:t xml:space="preserve">the </w:t>
      </w:r>
      <w:r w:rsidRPr="00F20375">
        <w:rPr>
          <w:rFonts w:ascii="Arial" w:hAnsi="Arial" w:cs="Arial"/>
          <w:lang w:val="en-GB"/>
        </w:rPr>
        <w:t xml:space="preserve">lower bound of </w:t>
      </w:r>
      <w:r>
        <w:rPr>
          <w:rFonts w:ascii="Arial" w:hAnsi="Arial" w:cs="Arial"/>
          <w:lang w:val="en-GB"/>
        </w:rPr>
        <w:t xml:space="preserve">the </w:t>
      </w:r>
      <w:r w:rsidRPr="00F20375">
        <w:rPr>
          <w:rFonts w:ascii="Arial" w:hAnsi="Arial" w:cs="Arial"/>
          <w:lang w:val="en-GB"/>
        </w:rPr>
        <w:t>95% CI of 0.6 unit</w:t>
      </w:r>
      <w:r>
        <w:rPr>
          <w:rFonts w:ascii="Arial" w:hAnsi="Arial" w:cs="Arial"/>
          <w:lang w:val="en-GB"/>
        </w:rPr>
        <w:t>s</w:t>
      </w:r>
      <w:r w:rsidRPr="00F20375">
        <w:rPr>
          <w:rFonts w:ascii="Arial" w:hAnsi="Arial" w:cs="Arial"/>
          <w:lang w:val="en-GB"/>
        </w:rPr>
        <w:t xml:space="preserve"> for TDI versus LABA or LAMA at </w:t>
      </w:r>
      <w:r>
        <w:rPr>
          <w:rFonts w:ascii="Arial" w:hAnsi="Arial" w:cs="Arial"/>
          <w:lang w:val="en-GB"/>
        </w:rPr>
        <w:t>W</w:t>
      </w:r>
      <w:r w:rsidRPr="00F20375">
        <w:rPr>
          <w:rFonts w:ascii="Arial" w:hAnsi="Arial" w:cs="Arial"/>
          <w:lang w:val="en-GB"/>
        </w:rPr>
        <w:t>eek 12 (</w:t>
      </w:r>
      <w:r w:rsidRPr="00F20375">
        <w:rPr>
          <w:rFonts w:ascii="Arial" w:hAnsi="Arial" w:cs="Arial"/>
          <w:b/>
          <w:lang w:val="en-GB"/>
        </w:rPr>
        <w:t>Figure</w:t>
      </w:r>
      <w:r>
        <w:rPr>
          <w:rFonts w:ascii="Arial" w:hAnsi="Arial" w:cs="Arial"/>
          <w:b/>
          <w:lang w:val="en-GB"/>
        </w:rPr>
        <w:t>s</w:t>
      </w:r>
      <w:r w:rsidRPr="00F20375">
        <w:rPr>
          <w:rFonts w:ascii="Arial" w:hAnsi="Arial" w:cs="Arial"/>
          <w:b/>
          <w:lang w:val="en-GB"/>
        </w:rPr>
        <w:t xml:space="preserve"> S</w:t>
      </w:r>
      <w:r>
        <w:rPr>
          <w:rFonts w:ascii="Arial" w:hAnsi="Arial" w:cs="Arial"/>
          <w:b/>
          <w:lang w:val="en-GB"/>
        </w:rPr>
        <w:t>6</w:t>
      </w:r>
      <w:r w:rsidRPr="00F20375">
        <w:rPr>
          <w:rFonts w:ascii="Arial" w:hAnsi="Arial" w:cs="Arial"/>
          <w:b/>
          <w:lang w:val="en-GB"/>
        </w:rPr>
        <w:t xml:space="preserve">A </w:t>
      </w:r>
      <w:r w:rsidRPr="001A1380">
        <w:rPr>
          <w:rFonts w:ascii="Arial" w:hAnsi="Arial" w:cs="Arial"/>
          <w:b/>
          <w:lang w:val="en-GB"/>
        </w:rPr>
        <w:t>and</w:t>
      </w:r>
      <w:r w:rsidRPr="00F20375">
        <w:rPr>
          <w:rFonts w:ascii="Arial" w:hAnsi="Arial" w:cs="Arial"/>
          <w:b/>
          <w:lang w:val="en-GB"/>
        </w:rPr>
        <w:t xml:space="preserve"> S</w:t>
      </w:r>
      <w:r>
        <w:rPr>
          <w:rFonts w:ascii="Arial" w:hAnsi="Arial" w:cs="Arial"/>
          <w:b/>
          <w:lang w:val="en-GB"/>
        </w:rPr>
        <w:t>6</w:t>
      </w:r>
      <w:r w:rsidRPr="00F20375">
        <w:rPr>
          <w:rFonts w:ascii="Arial" w:hAnsi="Arial" w:cs="Arial"/>
          <w:b/>
          <w:lang w:val="en-GB"/>
        </w:rPr>
        <w:t>B</w:t>
      </w:r>
      <w:r w:rsidRPr="00F20375">
        <w:rPr>
          <w:rFonts w:ascii="Arial" w:hAnsi="Arial" w:cs="Arial"/>
          <w:lang w:val="en-GB"/>
        </w:rPr>
        <w:t>).</w:t>
      </w:r>
    </w:p>
    <w:p w14:paraId="5BEE8399" w14:textId="18EDE87C" w:rsidR="00F34DD2" w:rsidRDefault="00F34DD2" w:rsidP="00E35C7C">
      <w:pPr>
        <w:autoSpaceDE w:val="0"/>
        <w:autoSpaceDN w:val="0"/>
        <w:adjustRightInd w:val="0"/>
        <w:spacing w:after="0" w:line="480" w:lineRule="auto"/>
        <w:rPr>
          <w:rFonts w:ascii="Arial" w:hAnsi="Arial" w:cs="Arial"/>
          <w:lang w:val="en-GB"/>
        </w:rPr>
      </w:pPr>
      <w:r w:rsidRPr="00F20375">
        <w:rPr>
          <w:rFonts w:ascii="Arial" w:hAnsi="Arial" w:cs="Arial"/>
          <w:lang w:val="en-GB"/>
        </w:rPr>
        <w:t xml:space="preserve">Furthermore, a significantly </w:t>
      </w:r>
      <w:r>
        <w:rPr>
          <w:rFonts w:ascii="Arial" w:hAnsi="Arial" w:cs="Arial"/>
          <w:lang w:val="en-GB"/>
        </w:rPr>
        <w:t>greater</w:t>
      </w:r>
      <w:r w:rsidRPr="00F20375">
        <w:rPr>
          <w:rFonts w:ascii="Arial" w:hAnsi="Arial" w:cs="Arial"/>
          <w:lang w:val="en-GB"/>
        </w:rPr>
        <w:t xml:space="preserve"> </w:t>
      </w:r>
      <w:r w:rsidRPr="00F20375">
        <w:rPr>
          <w:rFonts w:ascii="Arial" w:hAnsi="Arial" w:cs="Arial"/>
          <w:bCs/>
          <w:lang w:val="en-GB"/>
        </w:rPr>
        <w:t xml:space="preserve">proportion </w:t>
      </w:r>
      <w:r w:rsidRPr="00F20375">
        <w:rPr>
          <w:rFonts w:ascii="Arial" w:hAnsi="Arial" w:cs="Arial"/>
          <w:lang w:val="en-GB"/>
        </w:rPr>
        <w:t xml:space="preserve">of patients reached the </w:t>
      </w:r>
      <w:bookmarkStart w:id="28" w:name="_Hlk485740325"/>
      <w:r w:rsidRPr="001A1380">
        <w:rPr>
          <w:rFonts w:ascii="Arial" w:hAnsi="Arial" w:cs="Arial"/>
          <w:lang w:val="en-GB"/>
        </w:rPr>
        <w:t xml:space="preserve">minimum clinically important difference </w:t>
      </w:r>
      <w:r>
        <w:rPr>
          <w:rFonts w:ascii="Arial" w:hAnsi="Arial" w:cs="Arial"/>
          <w:lang w:val="en-GB"/>
        </w:rPr>
        <w:t>(</w:t>
      </w:r>
      <w:r w:rsidRPr="00F20375">
        <w:rPr>
          <w:rFonts w:ascii="Arial" w:hAnsi="Arial" w:cs="Arial"/>
          <w:lang w:val="en-GB"/>
        </w:rPr>
        <w:t>MCID</w:t>
      </w:r>
      <w:bookmarkEnd w:id="28"/>
      <w:r>
        <w:rPr>
          <w:rFonts w:ascii="Arial" w:hAnsi="Arial" w:cs="Arial"/>
          <w:lang w:val="en-GB"/>
        </w:rPr>
        <w:t>)</w:t>
      </w:r>
      <w:r w:rsidRPr="00F20375">
        <w:rPr>
          <w:rFonts w:ascii="Arial" w:hAnsi="Arial" w:cs="Arial"/>
          <w:lang w:val="en-GB"/>
        </w:rPr>
        <w:t xml:space="preserve"> of 100 mL for trough FEV</w:t>
      </w:r>
      <w:r w:rsidRPr="00F20375">
        <w:rPr>
          <w:rFonts w:ascii="Arial" w:hAnsi="Arial" w:cs="Arial"/>
          <w:vertAlign w:val="subscript"/>
          <w:lang w:val="en-GB"/>
        </w:rPr>
        <w:t>1</w:t>
      </w:r>
      <w:r w:rsidRPr="00F20375">
        <w:rPr>
          <w:rFonts w:ascii="Arial" w:hAnsi="Arial" w:cs="Arial"/>
          <w:lang w:val="en-GB"/>
        </w:rPr>
        <w:t xml:space="preserve"> and ≥1 unit for TDI compared with SABA and/or SAMA and LABA or LAMA at </w:t>
      </w:r>
      <w:r>
        <w:rPr>
          <w:rFonts w:ascii="Arial" w:hAnsi="Arial" w:cs="Arial"/>
          <w:lang w:val="en-GB"/>
        </w:rPr>
        <w:t>W</w:t>
      </w:r>
      <w:r w:rsidRPr="00F20375">
        <w:rPr>
          <w:rFonts w:ascii="Arial" w:hAnsi="Arial" w:cs="Arial"/>
          <w:lang w:val="en-GB"/>
        </w:rPr>
        <w:t>eek 12 (</w:t>
      </w:r>
      <w:r w:rsidRPr="00F20375">
        <w:rPr>
          <w:rFonts w:ascii="Arial" w:hAnsi="Arial" w:cs="Arial"/>
          <w:b/>
          <w:lang w:val="en-GB"/>
        </w:rPr>
        <w:t>Table S2</w:t>
      </w:r>
      <w:r w:rsidRPr="00F20375">
        <w:rPr>
          <w:rFonts w:ascii="Arial" w:hAnsi="Arial" w:cs="Arial"/>
          <w:lang w:val="en-GB"/>
        </w:rPr>
        <w:t>).</w:t>
      </w:r>
    </w:p>
    <w:p w14:paraId="683B604B" w14:textId="6974F405" w:rsidR="00F34DD2" w:rsidRPr="006D58E5" w:rsidRDefault="00F34DD2" w:rsidP="001E3745">
      <w:pPr>
        <w:widowControl w:val="0"/>
        <w:spacing w:after="0" w:line="480" w:lineRule="auto"/>
        <w:rPr>
          <w:rFonts w:ascii="Arial" w:hAnsi="Arial" w:cs="Arial"/>
          <w:b/>
          <w:lang w:val="en-GB"/>
        </w:rPr>
      </w:pPr>
      <w:r>
        <w:rPr>
          <w:rFonts w:ascii="Arial" w:hAnsi="Arial" w:cs="Arial"/>
          <w:b/>
        </w:rPr>
        <w:t xml:space="preserve">S6.2. </w:t>
      </w:r>
      <w:r w:rsidRPr="006D58E5">
        <w:rPr>
          <w:rFonts w:ascii="Arial" w:hAnsi="Arial" w:cs="Arial"/>
          <w:b/>
          <w:lang w:val="en-GB"/>
        </w:rPr>
        <w:t>Impact of direct switch to GLY on patient-reported outcomes and safety</w:t>
      </w:r>
    </w:p>
    <w:p w14:paraId="48EA03AC" w14:textId="2AD461DE" w:rsidR="00F34DD2" w:rsidRDefault="00F34DD2" w:rsidP="001E3745">
      <w:pPr>
        <w:spacing w:after="0" w:line="480" w:lineRule="auto"/>
        <w:ind w:firstLine="720"/>
        <w:rPr>
          <w:rFonts w:ascii="Arial" w:hAnsi="Arial" w:cs="Arial"/>
          <w:lang w:val="en-GB"/>
        </w:rPr>
      </w:pPr>
      <w:r w:rsidRPr="00F20375">
        <w:rPr>
          <w:rFonts w:ascii="Arial" w:hAnsi="Arial" w:cs="Arial"/>
          <w:lang w:val="en-GB"/>
        </w:rPr>
        <w:t>In the ITT population, patients who received GLY experienced greater reductions in total CAT scores, CCQ total scores</w:t>
      </w:r>
      <w:r>
        <w:rPr>
          <w:rFonts w:ascii="Arial" w:hAnsi="Arial" w:cs="Arial"/>
          <w:lang w:val="en-GB"/>
        </w:rPr>
        <w:t xml:space="preserve"> and</w:t>
      </w:r>
      <w:r w:rsidRPr="00F20375">
        <w:rPr>
          <w:rFonts w:ascii="Arial" w:hAnsi="Arial" w:cs="Arial"/>
          <w:lang w:val="en-GB"/>
        </w:rPr>
        <w:t xml:space="preserve"> number of puffs</w:t>
      </w:r>
      <w:r>
        <w:rPr>
          <w:rFonts w:ascii="Arial" w:hAnsi="Arial" w:cs="Arial"/>
          <w:lang w:val="en-GB"/>
        </w:rPr>
        <w:t xml:space="preserve"> of rescue medication per </w:t>
      </w:r>
      <w:r w:rsidRPr="00F20375">
        <w:rPr>
          <w:rFonts w:ascii="Arial" w:hAnsi="Arial" w:cs="Arial"/>
          <w:lang w:val="en-GB"/>
        </w:rPr>
        <w:t xml:space="preserve">day and increase in days without rescue medication use </w:t>
      </w:r>
      <w:r>
        <w:rPr>
          <w:rFonts w:ascii="Arial" w:hAnsi="Arial" w:cs="Arial"/>
          <w:lang w:val="en-GB"/>
        </w:rPr>
        <w:t>versus those</w:t>
      </w:r>
      <w:r w:rsidRPr="00F20375">
        <w:rPr>
          <w:rFonts w:ascii="Arial" w:hAnsi="Arial" w:cs="Arial"/>
          <w:lang w:val="en-GB"/>
        </w:rPr>
        <w:t xml:space="preserve"> </w:t>
      </w:r>
      <w:r>
        <w:rPr>
          <w:rFonts w:ascii="Arial" w:hAnsi="Arial" w:cs="Arial"/>
          <w:lang w:val="en-GB"/>
        </w:rPr>
        <w:t>who received SABA</w:t>
      </w:r>
      <w:r w:rsidRPr="00FA3C92">
        <w:rPr>
          <w:rFonts w:ascii="Arial" w:hAnsi="Arial" w:cs="Arial"/>
          <w:lang w:val="en-GB"/>
        </w:rPr>
        <w:t xml:space="preserve"> and/or </w:t>
      </w:r>
      <w:r>
        <w:rPr>
          <w:rFonts w:ascii="Arial" w:hAnsi="Arial" w:cs="Arial"/>
          <w:lang w:val="en-GB"/>
        </w:rPr>
        <w:t>SAMA (</w:t>
      </w:r>
      <w:r w:rsidRPr="00F20375">
        <w:rPr>
          <w:rFonts w:ascii="Arial" w:hAnsi="Arial" w:cs="Arial"/>
          <w:b/>
          <w:lang w:val="en-GB"/>
        </w:rPr>
        <w:t>Table S3</w:t>
      </w:r>
      <w:r w:rsidRPr="00F20375">
        <w:rPr>
          <w:rFonts w:ascii="Arial" w:hAnsi="Arial" w:cs="Arial"/>
          <w:lang w:val="en-GB"/>
        </w:rPr>
        <w:t xml:space="preserve">). </w:t>
      </w:r>
      <w:r>
        <w:rPr>
          <w:rFonts w:ascii="Arial" w:hAnsi="Arial" w:cs="Arial"/>
        </w:rPr>
        <w:t>Four</w:t>
      </w:r>
      <w:r w:rsidRPr="00386092">
        <w:rPr>
          <w:rFonts w:ascii="Arial" w:hAnsi="Arial" w:cs="Arial"/>
        </w:rPr>
        <w:t xml:space="preserve"> deaths were reported </w:t>
      </w:r>
      <w:r>
        <w:rPr>
          <w:rFonts w:ascii="Arial" w:hAnsi="Arial" w:cs="Arial"/>
        </w:rPr>
        <w:t xml:space="preserve">in the GLY group </w:t>
      </w:r>
      <w:r w:rsidRPr="00386092">
        <w:rPr>
          <w:rFonts w:ascii="Arial" w:hAnsi="Arial" w:cs="Arial"/>
        </w:rPr>
        <w:t>during the study, and none were considered to be treatment related: one death was reported in the group that remained on SABA and/or SAMA</w:t>
      </w:r>
      <w:r>
        <w:rPr>
          <w:rFonts w:ascii="Arial" w:hAnsi="Arial" w:cs="Arial"/>
        </w:rPr>
        <w:t xml:space="preserve"> and</w:t>
      </w:r>
      <w:r w:rsidRPr="00386092">
        <w:rPr>
          <w:rFonts w:ascii="Arial" w:hAnsi="Arial" w:cs="Arial"/>
        </w:rPr>
        <w:t xml:space="preserve"> three in the group that switched to GLY from LABA or LAMA.</w:t>
      </w:r>
      <w:r>
        <w:rPr>
          <w:rFonts w:ascii="Arial" w:hAnsi="Arial" w:cs="Arial"/>
        </w:rPr>
        <w:t xml:space="preserve"> </w:t>
      </w:r>
      <w:r w:rsidRPr="00F20375">
        <w:rPr>
          <w:rFonts w:ascii="Arial" w:hAnsi="Arial" w:cs="Arial"/>
          <w:lang w:val="en-GB"/>
        </w:rPr>
        <w:t>Moreover, the safety and tolerability of GLY was consistent with previous reports without any new safety signals (</w:t>
      </w:r>
      <w:r w:rsidRPr="00F20375">
        <w:rPr>
          <w:rFonts w:ascii="Arial" w:hAnsi="Arial" w:cs="Arial"/>
          <w:b/>
          <w:lang w:val="en-GB"/>
        </w:rPr>
        <w:t xml:space="preserve">Tables S4 </w:t>
      </w:r>
      <w:r w:rsidRPr="001A1380">
        <w:rPr>
          <w:rFonts w:ascii="Arial" w:hAnsi="Arial" w:cs="Arial"/>
          <w:b/>
          <w:lang w:val="en-GB"/>
        </w:rPr>
        <w:t>and</w:t>
      </w:r>
      <w:r w:rsidRPr="00F20375">
        <w:rPr>
          <w:rFonts w:ascii="Arial" w:hAnsi="Arial" w:cs="Arial"/>
          <w:b/>
          <w:lang w:val="en-GB"/>
        </w:rPr>
        <w:t xml:space="preserve"> S5</w:t>
      </w:r>
      <w:r w:rsidRPr="00F20375">
        <w:rPr>
          <w:rFonts w:ascii="Arial" w:hAnsi="Arial" w:cs="Arial"/>
          <w:lang w:val="en-GB"/>
        </w:rPr>
        <w:t>).</w:t>
      </w:r>
    </w:p>
    <w:p w14:paraId="214A497B" w14:textId="77777777" w:rsidR="00AB28A5" w:rsidRDefault="00AB28A5">
      <w:pPr>
        <w:spacing w:after="160" w:line="259" w:lineRule="auto"/>
        <w:rPr>
          <w:rFonts w:ascii="Arial" w:hAnsi="Arial" w:cs="Arial"/>
          <w:b/>
          <w:lang w:val="en-GB"/>
        </w:rPr>
      </w:pPr>
      <w:r>
        <w:rPr>
          <w:rFonts w:ascii="Arial" w:hAnsi="Arial" w:cs="Arial"/>
          <w:b/>
          <w:lang w:val="en-GB"/>
        </w:rPr>
        <w:br w:type="page"/>
      </w:r>
    </w:p>
    <w:p w14:paraId="64FEE118" w14:textId="29F6D6AA" w:rsidR="00F34DD2" w:rsidRPr="00F20375" w:rsidRDefault="00F34DD2" w:rsidP="001E3745">
      <w:pPr>
        <w:pStyle w:val="ListParagraph"/>
        <w:autoSpaceDE w:val="0"/>
        <w:autoSpaceDN w:val="0"/>
        <w:adjustRightInd w:val="0"/>
        <w:spacing w:after="0" w:line="480" w:lineRule="auto"/>
        <w:ind w:left="0"/>
        <w:contextualSpacing w:val="0"/>
        <w:rPr>
          <w:rFonts w:ascii="Arial" w:hAnsi="Arial" w:cs="Arial"/>
          <w:b/>
          <w:lang w:val="en-GB"/>
        </w:rPr>
      </w:pPr>
      <w:r w:rsidRPr="00F20375">
        <w:rPr>
          <w:rFonts w:ascii="Arial" w:hAnsi="Arial" w:cs="Arial"/>
          <w:b/>
          <w:lang w:val="en-GB"/>
        </w:rPr>
        <w:lastRenderedPageBreak/>
        <w:t>Figure S</w:t>
      </w:r>
      <w:r>
        <w:rPr>
          <w:rFonts w:ascii="Arial" w:hAnsi="Arial" w:cs="Arial"/>
          <w:b/>
          <w:lang w:val="en-GB"/>
        </w:rPr>
        <w:t>5</w:t>
      </w:r>
      <w:r w:rsidRPr="00F20375">
        <w:rPr>
          <w:rFonts w:ascii="Arial" w:hAnsi="Arial" w:cs="Arial"/>
          <w:b/>
          <w:lang w:val="en-GB"/>
        </w:rPr>
        <w:t>. Change from baseline in (A) trough FEV</w:t>
      </w:r>
      <w:r w:rsidRPr="00F20375">
        <w:rPr>
          <w:rFonts w:ascii="Arial" w:hAnsi="Arial" w:cs="Arial"/>
          <w:b/>
          <w:vertAlign w:val="subscript"/>
          <w:lang w:val="en-GB"/>
        </w:rPr>
        <w:t>1</w:t>
      </w:r>
      <w:r w:rsidRPr="00F20375">
        <w:rPr>
          <w:rFonts w:ascii="Arial" w:hAnsi="Arial" w:cs="Arial"/>
          <w:b/>
          <w:lang w:val="en-GB"/>
        </w:rPr>
        <w:t xml:space="preserve"> and (B) TDI with GLY </w:t>
      </w:r>
      <w:r>
        <w:rPr>
          <w:rFonts w:ascii="Arial" w:hAnsi="Arial" w:cs="Arial"/>
          <w:b/>
          <w:lang w:val="en-GB"/>
        </w:rPr>
        <w:t xml:space="preserve">treatment versus </w:t>
      </w:r>
      <w:r w:rsidRPr="00F20375">
        <w:rPr>
          <w:rFonts w:ascii="Arial" w:hAnsi="Arial" w:cs="Arial"/>
          <w:b/>
          <w:lang w:val="en-GB"/>
        </w:rPr>
        <w:t xml:space="preserve">other treatments at </w:t>
      </w:r>
      <w:r>
        <w:rPr>
          <w:rFonts w:ascii="Arial" w:hAnsi="Arial" w:cs="Arial"/>
          <w:b/>
          <w:lang w:val="en-GB"/>
        </w:rPr>
        <w:t>W</w:t>
      </w:r>
      <w:r w:rsidRPr="00F20375">
        <w:rPr>
          <w:rFonts w:ascii="Arial" w:hAnsi="Arial" w:cs="Arial"/>
          <w:b/>
          <w:lang w:val="en-GB"/>
        </w:rPr>
        <w:t>eek 12 (</w:t>
      </w:r>
      <w:r>
        <w:rPr>
          <w:rFonts w:ascii="Arial" w:hAnsi="Arial" w:cs="Arial"/>
          <w:b/>
          <w:lang w:val="en-GB"/>
        </w:rPr>
        <w:t>ITT population)</w:t>
      </w:r>
    </w:p>
    <w:tbl>
      <w:tblPr>
        <w:tblW w:w="0" w:type="auto"/>
        <w:tblBorders>
          <w:top w:val="single" w:sz="4" w:space="0" w:color="auto"/>
          <w:bottom w:val="single" w:sz="4" w:space="0" w:color="auto"/>
        </w:tblBorders>
        <w:tblLook w:val="00A0" w:firstRow="1" w:lastRow="0" w:firstColumn="1" w:lastColumn="0" w:noHBand="0" w:noVBand="0"/>
      </w:tblPr>
      <w:tblGrid>
        <w:gridCol w:w="9360"/>
      </w:tblGrid>
      <w:tr w:rsidR="00F34DD2" w:rsidRPr="00F20375" w14:paraId="0F7A2359" w14:textId="77777777" w:rsidTr="00542DFD">
        <w:tc>
          <w:tcPr>
            <w:tcW w:w="9360" w:type="dxa"/>
            <w:tcBorders>
              <w:top w:val="single" w:sz="4" w:space="0" w:color="auto"/>
            </w:tcBorders>
          </w:tcPr>
          <w:p w14:paraId="210E37A7" w14:textId="5E93F511" w:rsidR="00F34DD2" w:rsidRPr="00F20375" w:rsidRDefault="00AB28A5" w:rsidP="00AB28A5">
            <w:pPr>
              <w:widowControl w:val="0"/>
              <w:spacing w:after="0" w:line="240" w:lineRule="auto"/>
              <w:jc w:val="center"/>
              <w:rPr>
                <w:rFonts w:ascii="Arial" w:hAnsi="Arial" w:cs="Arial"/>
                <w:b/>
                <w:lang w:val="en-GB"/>
              </w:rPr>
            </w:pPr>
            <w:r>
              <w:rPr>
                <w:rFonts w:ascii="Arial" w:hAnsi="Arial" w:cs="Arial"/>
                <w:b/>
                <w:noProof/>
              </w:rPr>
              <w:drawing>
                <wp:inline distT="0" distB="0" distL="0" distR="0" wp14:anchorId="0E18DAF1" wp14:editId="008A2DDB">
                  <wp:extent cx="6080441" cy="20258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83713" cy="2026922"/>
                          </a:xfrm>
                          <a:prstGeom prst="rect">
                            <a:avLst/>
                          </a:prstGeom>
                          <a:noFill/>
                        </pic:spPr>
                      </pic:pic>
                    </a:graphicData>
                  </a:graphic>
                </wp:inline>
              </w:drawing>
            </w:r>
          </w:p>
          <w:p w14:paraId="3979C4A8" w14:textId="77777777" w:rsidR="00F34DD2" w:rsidRPr="00F20375" w:rsidRDefault="00F34DD2" w:rsidP="00542DFD">
            <w:pPr>
              <w:widowControl w:val="0"/>
              <w:spacing w:after="0" w:line="240" w:lineRule="auto"/>
              <w:rPr>
                <w:rFonts w:ascii="Arial" w:hAnsi="Arial" w:cs="Arial"/>
                <w:b/>
                <w:lang w:val="en-GB"/>
              </w:rPr>
            </w:pPr>
          </w:p>
        </w:tc>
      </w:tr>
      <w:tr w:rsidR="00F34DD2" w:rsidRPr="00F20375" w14:paraId="0FC13A4A" w14:textId="77777777" w:rsidTr="00542DFD">
        <w:tc>
          <w:tcPr>
            <w:tcW w:w="9360" w:type="dxa"/>
            <w:tcBorders>
              <w:bottom w:val="single" w:sz="4" w:space="0" w:color="auto"/>
            </w:tcBorders>
          </w:tcPr>
          <w:p w14:paraId="5BAAB74A" w14:textId="77777777" w:rsidR="00F34DD2" w:rsidRDefault="00F34DD2" w:rsidP="00FB4D8C">
            <w:pPr>
              <w:widowControl w:val="0"/>
              <w:pBdr>
                <w:top w:val="single" w:sz="4" w:space="1" w:color="auto"/>
              </w:pBdr>
              <w:spacing w:after="0" w:line="240" w:lineRule="auto"/>
              <w:rPr>
                <w:rFonts w:ascii="Arial" w:hAnsi="Arial" w:cs="Arial"/>
                <w:sz w:val="20"/>
                <w:lang w:val="en-GB"/>
              </w:rPr>
            </w:pPr>
            <w:r w:rsidRPr="00F20375">
              <w:rPr>
                <w:rFonts w:ascii="Arial" w:hAnsi="Arial" w:cs="Arial"/>
                <w:sz w:val="20"/>
                <w:lang w:val="en-GB"/>
              </w:rPr>
              <w:t>*</w:t>
            </w:r>
            <w:r w:rsidRPr="00E26948">
              <w:rPr>
                <w:rFonts w:ascii="Arial" w:hAnsi="Arial" w:cs="Arial"/>
                <w:iCs/>
                <w:sz w:val="20"/>
                <w:lang w:val="en-GB"/>
              </w:rPr>
              <w:t>P</w:t>
            </w:r>
            <w:r w:rsidRPr="00F20375">
              <w:rPr>
                <w:rFonts w:ascii="Arial" w:hAnsi="Arial" w:cs="Arial"/>
                <w:sz w:val="20"/>
                <w:lang w:val="en-GB"/>
              </w:rPr>
              <w:t xml:space="preserve"> = 0.0180; **</w:t>
            </w:r>
            <w:r w:rsidRPr="00E26948">
              <w:rPr>
                <w:rFonts w:ascii="Arial" w:hAnsi="Arial" w:cs="Arial"/>
                <w:iCs/>
                <w:sz w:val="20"/>
                <w:lang w:val="en-GB"/>
              </w:rPr>
              <w:t>P</w:t>
            </w:r>
            <w:r w:rsidRPr="00F20375">
              <w:rPr>
                <w:rFonts w:ascii="Arial" w:hAnsi="Arial" w:cs="Arial"/>
                <w:sz w:val="20"/>
                <w:lang w:val="en-GB"/>
              </w:rPr>
              <w:t xml:space="preserve"> &lt; 0.0001; </w:t>
            </w:r>
            <w:r w:rsidRPr="00F20375">
              <w:rPr>
                <w:rFonts w:ascii="Arial" w:hAnsi="Arial" w:cs="Arial"/>
                <w:sz w:val="20"/>
                <w:vertAlign w:val="superscript"/>
                <w:lang w:val="en-GB"/>
              </w:rPr>
              <w:t>#</w:t>
            </w:r>
            <w:r w:rsidRPr="00F20375">
              <w:rPr>
                <w:rFonts w:ascii="Arial" w:hAnsi="Arial" w:cs="Arial"/>
                <w:sz w:val="20"/>
                <w:lang w:val="en-GB"/>
              </w:rPr>
              <w:t xml:space="preserve">Non-inferiority testing and patient had </w:t>
            </w:r>
            <w:r>
              <w:rPr>
                <w:rFonts w:ascii="Arial" w:hAnsi="Arial" w:cs="Arial"/>
                <w:sz w:val="20"/>
                <w:lang w:val="en-GB"/>
              </w:rPr>
              <w:t xml:space="preserve">an </w:t>
            </w:r>
            <w:r w:rsidRPr="00F20375">
              <w:rPr>
                <w:rFonts w:ascii="Arial" w:hAnsi="Arial" w:cs="Arial"/>
                <w:sz w:val="20"/>
                <w:lang w:val="en-GB"/>
              </w:rPr>
              <w:t>mMRC</w:t>
            </w:r>
            <w:r>
              <w:rPr>
                <w:rFonts w:ascii="Arial" w:hAnsi="Arial" w:cs="Arial"/>
                <w:sz w:val="20"/>
                <w:lang w:val="en-GB"/>
              </w:rPr>
              <w:t xml:space="preserve"> score</w:t>
            </w:r>
            <w:r w:rsidRPr="00F20375">
              <w:rPr>
                <w:rFonts w:ascii="Arial" w:hAnsi="Arial" w:cs="Arial"/>
                <w:sz w:val="20"/>
                <w:lang w:val="en-GB"/>
              </w:rPr>
              <w:t xml:space="preserve"> = 1; Data are least squares means (95%</w:t>
            </w:r>
            <w:r>
              <w:rPr>
                <w:rFonts w:ascii="Arial" w:hAnsi="Arial" w:cs="Arial"/>
                <w:sz w:val="20"/>
                <w:lang w:val="en-GB"/>
              </w:rPr>
              <w:t xml:space="preserve"> </w:t>
            </w:r>
            <w:r w:rsidRPr="00F20375">
              <w:rPr>
                <w:rFonts w:ascii="Arial" w:hAnsi="Arial" w:cs="Arial"/>
                <w:sz w:val="20"/>
                <w:lang w:val="en-GB"/>
              </w:rPr>
              <w:t xml:space="preserve">CI). </w:t>
            </w:r>
          </w:p>
          <w:p w14:paraId="3F46874C" w14:textId="7F6D806D" w:rsidR="00F34DD2" w:rsidRPr="001E3745" w:rsidRDefault="00F34DD2" w:rsidP="001E3745">
            <w:pPr>
              <w:rPr>
                <w:rFonts w:ascii="Arial" w:hAnsi="Arial"/>
                <w:lang w:val="el-GR"/>
              </w:rPr>
            </w:pPr>
            <w:r w:rsidRPr="00386092">
              <w:rPr>
                <w:rFonts w:ascii="Arial" w:hAnsi="Arial" w:cs="Arial"/>
                <w:bCs/>
                <w:lang w:val="el-GR"/>
              </w:rPr>
              <w:t>Δ</w:t>
            </w:r>
            <w:r>
              <w:rPr>
                <w:rFonts w:ascii="Arial" w:hAnsi="Arial" w:cs="Arial"/>
                <w:bCs/>
                <w:lang w:val="en-IN"/>
              </w:rPr>
              <w:t>, treatment difference;</w:t>
            </w:r>
            <w:r w:rsidRPr="001E3745">
              <w:rPr>
                <w:rFonts w:ascii="Arial" w:hAnsi="Arial"/>
                <w:lang w:val="en-IN"/>
              </w:rPr>
              <w:t xml:space="preserve"> </w:t>
            </w:r>
            <w:r w:rsidRPr="00F20375">
              <w:rPr>
                <w:rFonts w:ascii="Arial" w:hAnsi="Arial" w:cs="Arial"/>
                <w:sz w:val="20"/>
                <w:lang w:val="en-GB"/>
              </w:rPr>
              <w:t>CI, confidence interval; FEV</w:t>
            </w:r>
            <w:r w:rsidRPr="00F20375">
              <w:rPr>
                <w:rFonts w:ascii="Arial" w:hAnsi="Arial" w:cs="Arial"/>
                <w:sz w:val="20"/>
                <w:vertAlign w:val="subscript"/>
                <w:lang w:val="en-GB"/>
              </w:rPr>
              <w:t>1</w:t>
            </w:r>
            <w:r w:rsidRPr="00F20375">
              <w:rPr>
                <w:rFonts w:ascii="Arial" w:hAnsi="Arial" w:cs="Arial"/>
                <w:sz w:val="20"/>
                <w:lang w:val="en-GB"/>
              </w:rPr>
              <w:t>, forced expiratory volume in 1 second; GLY, glycopyrronium; ITT, intention</w:t>
            </w:r>
            <w:r>
              <w:rPr>
                <w:rFonts w:ascii="Arial" w:hAnsi="Arial" w:cs="Arial"/>
                <w:sz w:val="20"/>
                <w:lang w:val="en-GB"/>
              </w:rPr>
              <w:t xml:space="preserve"> </w:t>
            </w:r>
            <w:r w:rsidRPr="00F20375">
              <w:rPr>
                <w:rFonts w:ascii="Arial" w:hAnsi="Arial" w:cs="Arial"/>
                <w:sz w:val="20"/>
                <w:lang w:val="en-GB"/>
              </w:rPr>
              <w:t>to</w:t>
            </w:r>
            <w:r>
              <w:rPr>
                <w:rFonts w:ascii="Arial" w:hAnsi="Arial" w:cs="Arial"/>
                <w:sz w:val="20"/>
                <w:lang w:val="en-GB"/>
              </w:rPr>
              <w:t xml:space="preserve"> </w:t>
            </w:r>
            <w:r w:rsidRPr="00F20375">
              <w:rPr>
                <w:rFonts w:ascii="Arial" w:hAnsi="Arial" w:cs="Arial"/>
                <w:sz w:val="20"/>
                <w:lang w:val="en-GB"/>
              </w:rPr>
              <w:t>treat; LABA, long-acting β</w:t>
            </w:r>
            <w:r w:rsidRPr="00F20375">
              <w:rPr>
                <w:rFonts w:ascii="Arial" w:hAnsi="Arial" w:cs="Arial"/>
                <w:sz w:val="20"/>
                <w:vertAlign w:val="subscript"/>
                <w:lang w:val="en-GB"/>
              </w:rPr>
              <w:t>2</w:t>
            </w:r>
            <w:r w:rsidRPr="00F20375">
              <w:rPr>
                <w:rFonts w:ascii="Arial" w:hAnsi="Arial" w:cs="Arial"/>
                <w:sz w:val="20"/>
                <w:lang w:val="en-GB"/>
              </w:rPr>
              <w:t xml:space="preserve">-agonist; LAMA, long-acting muscarinic antagonist; mMRC, modified Medical </w:t>
            </w:r>
            <w:r>
              <w:rPr>
                <w:rFonts w:ascii="Arial" w:hAnsi="Arial" w:cs="Arial"/>
                <w:sz w:val="20"/>
                <w:lang w:val="en-GB"/>
              </w:rPr>
              <w:t>R</w:t>
            </w:r>
            <w:r w:rsidRPr="00F20375">
              <w:rPr>
                <w:rFonts w:ascii="Arial" w:hAnsi="Arial" w:cs="Arial"/>
                <w:sz w:val="20"/>
                <w:lang w:val="en-GB"/>
              </w:rPr>
              <w:t>esearch Council; SABA, short-acting β</w:t>
            </w:r>
            <w:r w:rsidRPr="00F20375">
              <w:rPr>
                <w:rFonts w:ascii="Arial" w:hAnsi="Arial" w:cs="Arial"/>
                <w:sz w:val="20"/>
                <w:vertAlign w:val="subscript"/>
                <w:lang w:val="en-GB"/>
              </w:rPr>
              <w:t>2</w:t>
            </w:r>
            <w:r w:rsidRPr="00F20375">
              <w:rPr>
                <w:rFonts w:ascii="Arial" w:hAnsi="Arial" w:cs="Arial"/>
                <w:sz w:val="20"/>
                <w:lang w:val="en-GB"/>
              </w:rPr>
              <w:t>-agonist; SAMA, short-acting muscarinic antagonist</w:t>
            </w:r>
            <w:r>
              <w:rPr>
                <w:rFonts w:ascii="Arial" w:hAnsi="Arial" w:cs="Arial"/>
                <w:sz w:val="20"/>
                <w:lang w:val="en-GB"/>
              </w:rPr>
              <w:t>, TDI, t</w:t>
            </w:r>
            <w:r w:rsidRPr="00411530">
              <w:rPr>
                <w:rFonts w:ascii="Arial" w:hAnsi="Arial" w:cs="Arial"/>
                <w:sz w:val="20"/>
                <w:lang w:val="en-GB"/>
              </w:rPr>
              <w:t>ransition dyspnoea index</w:t>
            </w:r>
          </w:p>
        </w:tc>
      </w:tr>
    </w:tbl>
    <w:p w14:paraId="02E5EDE5" w14:textId="77777777" w:rsidR="00F34DD2" w:rsidRPr="00F20375" w:rsidRDefault="00F34DD2" w:rsidP="009445CA">
      <w:pPr>
        <w:widowControl w:val="0"/>
        <w:rPr>
          <w:rFonts w:ascii="Arial" w:hAnsi="Arial" w:cs="Arial"/>
          <w:b/>
          <w:lang w:val="en-GB"/>
        </w:rPr>
      </w:pPr>
    </w:p>
    <w:p w14:paraId="6C67CFD8" w14:textId="1E0DD323" w:rsidR="00F34DD2" w:rsidRPr="00F20375" w:rsidRDefault="00F34DD2" w:rsidP="00A95E02">
      <w:pPr>
        <w:rPr>
          <w:rFonts w:ascii="Arial" w:hAnsi="Arial" w:cs="Arial"/>
          <w:b/>
          <w:lang w:val="en-GB"/>
        </w:rPr>
      </w:pPr>
      <w:r w:rsidRPr="00F20375">
        <w:rPr>
          <w:rFonts w:ascii="Arial" w:hAnsi="Arial" w:cs="Arial"/>
          <w:b/>
          <w:lang w:val="en-GB"/>
        </w:rPr>
        <w:t>Figure S</w:t>
      </w:r>
      <w:r>
        <w:rPr>
          <w:rFonts w:ascii="Arial" w:hAnsi="Arial" w:cs="Arial"/>
          <w:b/>
          <w:lang w:val="en-GB"/>
        </w:rPr>
        <w:t>6</w:t>
      </w:r>
      <w:r w:rsidRPr="00F20375">
        <w:rPr>
          <w:rFonts w:ascii="Arial" w:hAnsi="Arial" w:cs="Arial"/>
          <w:b/>
          <w:lang w:val="en-GB"/>
        </w:rPr>
        <w:t>. Change from baseline in (A) trough FEV</w:t>
      </w:r>
      <w:r w:rsidRPr="00F20375">
        <w:rPr>
          <w:rFonts w:ascii="Arial" w:hAnsi="Arial" w:cs="Arial"/>
          <w:b/>
          <w:vertAlign w:val="subscript"/>
          <w:lang w:val="en-GB"/>
        </w:rPr>
        <w:t>1</w:t>
      </w:r>
      <w:r w:rsidRPr="00F20375">
        <w:rPr>
          <w:rFonts w:ascii="Arial" w:hAnsi="Arial" w:cs="Arial"/>
          <w:b/>
          <w:lang w:val="en-GB"/>
        </w:rPr>
        <w:t xml:space="preserve"> and (B) dyspnoea (TDI) with GLY compared with LABDs (non-inferiority analysis) at </w:t>
      </w:r>
      <w:r>
        <w:rPr>
          <w:rFonts w:ascii="Arial" w:hAnsi="Arial" w:cs="Arial"/>
          <w:b/>
          <w:lang w:val="en-GB"/>
        </w:rPr>
        <w:t>W</w:t>
      </w:r>
      <w:r w:rsidRPr="00F20375">
        <w:rPr>
          <w:rFonts w:ascii="Arial" w:hAnsi="Arial" w:cs="Arial"/>
          <w:b/>
          <w:lang w:val="en-GB"/>
        </w:rPr>
        <w:t>eek 12 (</w:t>
      </w:r>
      <w:r>
        <w:rPr>
          <w:rFonts w:ascii="Arial" w:hAnsi="Arial" w:cs="Arial"/>
          <w:b/>
          <w:lang w:val="en-GB"/>
        </w:rPr>
        <w:t>ITT population)</w:t>
      </w:r>
    </w:p>
    <w:tbl>
      <w:tblPr>
        <w:tblW w:w="0" w:type="auto"/>
        <w:tblBorders>
          <w:top w:val="single" w:sz="4" w:space="0" w:color="auto"/>
          <w:bottom w:val="single" w:sz="4" w:space="0" w:color="auto"/>
        </w:tblBorders>
        <w:tblLook w:val="00A0" w:firstRow="1" w:lastRow="0" w:firstColumn="1" w:lastColumn="0" w:noHBand="0" w:noVBand="0"/>
      </w:tblPr>
      <w:tblGrid>
        <w:gridCol w:w="9360"/>
      </w:tblGrid>
      <w:tr w:rsidR="00F34DD2" w:rsidRPr="00F20375" w14:paraId="78981F9E" w14:textId="77777777" w:rsidTr="002F3CF5">
        <w:tc>
          <w:tcPr>
            <w:tcW w:w="9360" w:type="dxa"/>
            <w:tcBorders>
              <w:top w:val="single" w:sz="4" w:space="0" w:color="auto"/>
            </w:tcBorders>
          </w:tcPr>
          <w:p w14:paraId="659D8E72" w14:textId="1369A87B" w:rsidR="00F34DD2" w:rsidRPr="00F20375" w:rsidRDefault="00AB28A5" w:rsidP="00AB28A5">
            <w:pPr>
              <w:widowControl w:val="0"/>
              <w:spacing w:after="0" w:line="240" w:lineRule="auto"/>
              <w:jc w:val="center"/>
              <w:rPr>
                <w:rFonts w:ascii="Arial" w:hAnsi="Arial" w:cs="Arial"/>
                <w:b/>
                <w:lang w:val="en-GB"/>
              </w:rPr>
            </w:pPr>
            <w:r>
              <w:rPr>
                <w:rFonts w:ascii="Arial" w:hAnsi="Arial" w:cs="Arial"/>
                <w:b/>
                <w:noProof/>
              </w:rPr>
              <w:drawing>
                <wp:inline distT="0" distB="0" distL="0" distR="0" wp14:anchorId="58B9F7A8" wp14:editId="7264548C">
                  <wp:extent cx="5790109" cy="2190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06150" cy="2196819"/>
                          </a:xfrm>
                          <a:prstGeom prst="rect">
                            <a:avLst/>
                          </a:prstGeom>
                          <a:noFill/>
                        </pic:spPr>
                      </pic:pic>
                    </a:graphicData>
                  </a:graphic>
                </wp:inline>
              </w:drawing>
            </w:r>
          </w:p>
          <w:p w14:paraId="686EAAB7" w14:textId="77777777" w:rsidR="00F34DD2" w:rsidRPr="00F20375" w:rsidRDefault="00F34DD2" w:rsidP="002F3CF5">
            <w:pPr>
              <w:widowControl w:val="0"/>
              <w:spacing w:after="0" w:line="240" w:lineRule="auto"/>
              <w:rPr>
                <w:rFonts w:ascii="Arial" w:hAnsi="Arial" w:cs="Arial"/>
                <w:b/>
                <w:lang w:val="en-GB"/>
              </w:rPr>
            </w:pPr>
          </w:p>
        </w:tc>
      </w:tr>
      <w:tr w:rsidR="00F34DD2" w:rsidRPr="00F20375" w14:paraId="0A104355" w14:textId="77777777" w:rsidTr="002F3CF5">
        <w:tc>
          <w:tcPr>
            <w:tcW w:w="9360" w:type="dxa"/>
            <w:tcBorders>
              <w:bottom w:val="single" w:sz="4" w:space="0" w:color="auto"/>
            </w:tcBorders>
          </w:tcPr>
          <w:p w14:paraId="7F01FB3D" w14:textId="14F8B5FB" w:rsidR="00F34DD2" w:rsidRPr="001A6367" w:rsidRDefault="00F34DD2" w:rsidP="001E3745">
            <w:pPr>
              <w:widowControl w:val="0"/>
              <w:pBdr>
                <w:top w:val="single" w:sz="4" w:space="1" w:color="auto"/>
              </w:pBdr>
              <w:spacing w:after="0" w:line="240" w:lineRule="auto"/>
              <w:rPr>
                <w:rFonts w:ascii="Arial" w:hAnsi="Arial" w:cs="Arial"/>
                <w:sz w:val="20"/>
                <w:szCs w:val="20"/>
                <w:lang w:val="en-GB"/>
              </w:rPr>
            </w:pPr>
            <w:r>
              <w:rPr>
                <w:rFonts w:ascii="Arial" w:hAnsi="Arial" w:cs="Arial"/>
                <w:sz w:val="20"/>
                <w:szCs w:val="20"/>
                <w:vertAlign w:val="superscript"/>
              </w:rPr>
              <w:t>*</w:t>
            </w:r>
            <w:r w:rsidRPr="00FD6711">
              <w:rPr>
                <w:rFonts w:ascii="Arial" w:hAnsi="Arial" w:cs="Arial"/>
                <w:sz w:val="20"/>
                <w:szCs w:val="20"/>
                <w:lang w:val="en-GB"/>
              </w:rPr>
              <w:t xml:space="preserve">Non-inferiority testing and patient had </w:t>
            </w:r>
            <w:r>
              <w:rPr>
                <w:rFonts w:ascii="Arial" w:hAnsi="Arial" w:cs="Arial"/>
                <w:sz w:val="20"/>
                <w:szCs w:val="20"/>
                <w:lang w:val="en-GB"/>
              </w:rPr>
              <w:t xml:space="preserve">an </w:t>
            </w:r>
            <w:r w:rsidRPr="00FD6711">
              <w:rPr>
                <w:rFonts w:ascii="Arial" w:hAnsi="Arial" w:cs="Arial"/>
                <w:sz w:val="20"/>
                <w:szCs w:val="20"/>
                <w:lang w:val="en-GB"/>
              </w:rPr>
              <w:t xml:space="preserve">mMRC </w:t>
            </w:r>
            <w:r>
              <w:rPr>
                <w:rFonts w:ascii="Arial" w:hAnsi="Arial" w:cs="Arial"/>
                <w:sz w:val="20"/>
                <w:szCs w:val="20"/>
                <w:lang w:val="en-GB"/>
              </w:rPr>
              <w:t xml:space="preserve">score </w:t>
            </w:r>
            <w:r w:rsidRPr="00FD6711">
              <w:rPr>
                <w:rFonts w:ascii="Arial" w:hAnsi="Arial" w:cs="Arial"/>
                <w:sz w:val="20"/>
                <w:szCs w:val="20"/>
                <w:lang w:val="en-GB"/>
              </w:rPr>
              <w:t>= 1; Data are least squares means (95% CI); Δ, treatment difference</w:t>
            </w:r>
            <w:r>
              <w:rPr>
                <w:rFonts w:ascii="Arial" w:hAnsi="Arial" w:cs="Arial"/>
                <w:sz w:val="20"/>
                <w:szCs w:val="20"/>
                <w:lang w:val="en-GB"/>
              </w:rPr>
              <w:t>;</w:t>
            </w:r>
            <w:r w:rsidRPr="00FD6711">
              <w:rPr>
                <w:rFonts w:ascii="Arial" w:hAnsi="Arial" w:cs="Arial"/>
                <w:sz w:val="20"/>
                <w:szCs w:val="20"/>
                <w:lang w:val="en-GB"/>
              </w:rPr>
              <w:t xml:space="preserve"> CI, confidence interval; FEV</w:t>
            </w:r>
            <w:r w:rsidRPr="00FD6711">
              <w:rPr>
                <w:rFonts w:ascii="Arial" w:hAnsi="Arial" w:cs="Arial"/>
                <w:sz w:val="20"/>
                <w:szCs w:val="20"/>
                <w:vertAlign w:val="subscript"/>
                <w:lang w:val="en-GB"/>
              </w:rPr>
              <w:t>1</w:t>
            </w:r>
            <w:r w:rsidRPr="00FD6711">
              <w:rPr>
                <w:rFonts w:ascii="Arial" w:hAnsi="Arial" w:cs="Arial"/>
                <w:sz w:val="20"/>
                <w:szCs w:val="20"/>
                <w:lang w:val="en-GB"/>
              </w:rPr>
              <w:t>, forced expiratory volume in 1 second; GLY, glycopyrronium; ITT, intention</w:t>
            </w:r>
            <w:r>
              <w:rPr>
                <w:rFonts w:ascii="Arial" w:hAnsi="Arial" w:cs="Arial"/>
                <w:sz w:val="20"/>
                <w:szCs w:val="20"/>
                <w:lang w:val="en-GB"/>
              </w:rPr>
              <w:t xml:space="preserve"> </w:t>
            </w:r>
            <w:r w:rsidRPr="00FD6711">
              <w:rPr>
                <w:rFonts w:ascii="Arial" w:hAnsi="Arial" w:cs="Arial"/>
                <w:sz w:val="20"/>
                <w:szCs w:val="20"/>
                <w:lang w:val="en-GB"/>
              </w:rPr>
              <w:t>to</w:t>
            </w:r>
            <w:r>
              <w:rPr>
                <w:rFonts w:ascii="Arial" w:hAnsi="Arial" w:cs="Arial"/>
                <w:sz w:val="20"/>
                <w:szCs w:val="20"/>
                <w:lang w:val="en-GB"/>
              </w:rPr>
              <w:t xml:space="preserve"> </w:t>
            </w:r>
            <w:r w:rsidRPr="00FD6711">
              <w:rPr>
                <w:rFonts w:ascii="Arial" w:hAnsi="Arial" w:cs="Arial"/>
                <w:sz w:val="20"/>
                <w:szCs w:val="20"/>
                <w:lang w:val="en-GB"/>
              </w:rPr>
              <w:t>treat; LABA, long-acting β</w:t>
            </w:r>
            <w:r w:rsidRPr="001A6367">
              <w:rPr>
                <w:rFonts w:ascii="Arial" w:hAnsi="Arial" w:cs="Arial"/>
                <w:sz w:val="20"/>
                <w:szCs w:val="20"/>
                <w:vertAlign w:val="subscript"/>
                <w:lang w:val="en-GB"/>
              </w:rPr>
              <w:t>2</w:t>
            </w:r>
            <w:r w:rsidRPr="001A6367">
              <w:rPr>
                <w:rFonts w:ascii="Arial" w:hAnsi="Arial" w:cs="Arial"/>
                <w:sz w:val="20"/>
                <w:szCs w:val="20"/>
                <w:lang w:val="en-GB"/>
              </w:rPr>
              <w:t xml:space="preserve">-agonist; </w:t>
            </w:r>
            <w:r>
              <w:rPr>
                <w:rFonts w:ascii="Arial" w:hAnsi="Arial" w:cs="Arial"/>
                <w:sz w:val="20"/>
                <w:szCs w:val="20"/>
                <w:lang w:val="en-GB"/>
              </w:rPr>
              <w:t xml:space="preserve">LABDs, </w:t>
            </w:r>
            <w:r w:rsidRPr="00E40D04">
              <w:rPr>
                <w:rFonts w:ascii="Arial" w:hAnsi="Arial" w:cs="Arial"/>
                <w:sz w:val="20"/>
                <w:szCs w:val="20"/>
              </w:rPr>
              <w:t>long-acting</w:t>
            </w:r>
            <w:r w:rsidRPr="00E40D04">
              <w:rPr>
                <w:rFonts w:ascii="Arial" w:hAnsi="Arial" w:cs="Arial"/>
                <w:sz w:val="20"/>
                <w:szCs w:val="20"/>
              </w:rPr>
              <w:br/>
              <w:t>bronchodilators</w:t>
            </w:r>
            <w:r w:rsidRPr="001E3745">
              <w:rPr>
                <w:rFonts w:ascii="Arial" w:hAnsi="Arial"/>
                <w:sz w:val="20"/>
              </w:rPr>
              <w:t>;</w:t>
            </w:r>
            <w:r w:rsidRPr="00E40D04">
              <w:rPr>
                <w:rFonts w:ascii="Arial" w:hAnsi="Arial" w:cs="Arial"/>
                <w:sz w:val="20"/>
                <w:szCs w:val="20"/>
                <w:lang w:val="en-GB"/>
              </w:rPr>
              <w:t xml:space="preserve"> </w:t>
            </w:r>
            <w:r w:rsidRPr="001A6367">
              <w:rPr>
                <w:rFonts w:ascii="Arial" w:hAnsi="Arial" w:cs="Arial"/>
                <w:sz w:val="20"/>
                <w:szCs w:val="20"/>
                <w:lang w:val="en-GB"/>
              </w:rPr>
              <w:t>LAMA, long-acting muscarinic antagonist; mMRC, modified Medical Research Council; SABA, short-acting β</w:t>
            </w:r>
            <w:r w:rsidRPr="001A6367">
              <w:rPr>
                <w:rFonts w:ascii="Arial" w:hAnsi="Arial" w:cs="Arial"/>
                <w:sz w:val="20"/>
                <w:szCs w:val="20"/>
                <w:vertAlign w:val="subscript"/>
                <w:lang w:val="en-GB"/>
              </w:rPr>
              <w:t>2</w:t>
            </w:r>
            <w:r w:rsidRPr="001A6367">
              <w:rPr>
                <w:rFonts w:ascii="Arial" w:hAnsi="Arial" w:cs="Arial"/>
                <w:sz w:val="20"/>
                <w:szCs w:val="20"/>
                <w:lang w:val="en-GB"/>
              </w:rPr>
              <w:t>-agonist; SAMA, short-acting muscarinic antagonist; TDI, transition dyspnoea index</w:t>
            </w:r>
          </w:p>
        </w:tc>
      </w:tr>
    </w:tbl>
    <w:p w14:paraId="07C1E2EB" w14:textId="49DDA9BD" w:rsidR="00F34DD2" w:rsidRPr="00F20375" w:rsidRDefault="00F34DD2" w:rsidP="001E3745">
      <w:pPr>
        <w:spacing w:after="0" w:line="240" w:lineRule="auto"/>
        <w:rPr>
          <w:rFonts w:ascii="Arial" w:hAnsi="Arial" w:cs="Arial"/>
          <w:b/>
          <w:lang w:val="en-GB"/>
        </w:rPr>
      </w:pPr>
      <w:r w:rsidRPr="00F20375">
        <w:rPr>
          <w:rFonts w:ascii="Arial" w:hAnsi="Arial" w:cs="Arial"/>
          <w:b/>
          <w:lang w:val="en-GB"/>
        </w:rPr>
        <w:lastRenderedPageBreak/>
        <w:t xml:space="preserve">Table S2. </w:t>
      </w:r>
      <w:r>
        <w:rPr>
          <w:rFonts w:ascii="Arial" w:hAnsi="Arial" w:cs="Arial"/>
          <w:b/>
          <w:lang w:val="en-GB"/>
        </w:rPr>
        <w:t xml:space="preserve">Effects of direct switch to </w:t>
      </w:r>
      <w:r w:rsidRPr="00FE143C">
        <w:rPr>
          <w:rFonts w:ascii="Arial" w:hAnsi="Arial" w:cs="Arial"/>
          <w:b/>
          <w:lang w:val="en-GB"/>
        </w:rPr>
        <w:t>GLY from baseline treatments on trough FEV</w:t>
      </w:r>
      <w:r w:rsidRPr="00FE143C">
        <w:rPr>
          <w:rFonts w:ascii="Arial" w:hAnsi="Arial" w:cs="Arial"/>
          <w:b/>
          <w:vertAlign w:val="subscript"/>
          <w:lang w:val="en-GB"/>
        </w:rPr>
        <w:t>1</w:t>
      </w:r>
      <w:r w:rsidRPr="00FE143C">
        <w:rPr>
          <w:rFonts w:ascii="Arial" w:hAnsi="Arial" w:cs="Arial"/>
          <w:b/>
          <w:lang w:val="en-GB"/>
        </w:rPr>
        <w:t xml:space="preserve"> and TDI total scores: proportion of patients achieving MCID </w:t>
      </w:r>
      <w:r w:rsidRPr="00F20375">
        <w:rPr>
          <w:rFonts w:ascii="Arial" w:hAnsi="Arial" w:cs="Arial"/>
          <w:b/>
          <w:lang w:val="en-GB"/>
        </w:rPr>
        <w:t>(</w:t>
      </w:r>
      <w:r>
        <w:rPr>
          <w:rFonts w:ascii="Arial" w:hAnsi="Arial" w:cs="Arial"/>
          <w:b/>
          <w:lang w:val="en-GB"/>
        </w:rPr>
        <w:t>ITT population)</w:t>
      </w:r>
    </w:p>
    <w:tbl>
      <w:tblPr>
        <w:tblW w:w="5000" w:type="pct"/>
        <w:tblInd w:w="90" w:type="dxa"/>
        <w:tblCellMar>
          <w:left w:w="0" w:type="dxa"/>
          <w:right w:w="0" w:type="dxa"/>
        </w:tblCellMar>
        <w:tblLook w:val="0600" w:firstRow="0" w:lastRow="0" w:firstColumn="0" w:lastColumn="0" w:noHBand="1" w:noVBand="1"/>
      </w:tblPr>
      <w:tblGrid>
        <w:gridCol w:w="2431"/>
        <w:gridCol w:w="1642"/>
        <w:gridCol w:w="1597"/>
        <w:gridCol w:w="1981"/>
        <w:gridCol w:w="1709"/>
      </w:tblGrid>
      <w:tr w:rsidR="001E3745" w:rsidRPr="00FD6711" w14:paraId="7249F484" w14:textId="77777777" w:rsidTr="001E3745">
        <w:trPr>
          <w:trHeight w:val="556"/>
        </w:trPr>
        <w:tc>
          <w:tcPr>
            <w:tcW w:w="1299" w:type="pct"/>
            <w:tcBorders>
              <w:top w:val="single" w:sz="8" w:space="0" w:color="000000"/>
              <w:left w:val="nil"/>
              <w:bottom w:val="single" w:sz="8" w:space="0" w:color="000000"/>
              <w:right w:val="nil"/>
            </w:tcBorders>
            <w:shd w:val="clear" w:color="auto" w:fill="auto"/>
            <w:tcMar>
              <w:top w:w="27" w:type="dxa"/>
              <w:left w:w="186" w:type="dxa"/>
              <w:bottom w:w="0" w:type="dxa"/>
              <w:right w:w="186" w:type="dxa"/>
            </w:tcMar>
            <w:hideMark/>
          </w:tcPr>
          <w:p w14:paraId="342B0FDD" w14:textId="77777777" w:rsidR="00F34DD2" w:rsidRPr="001E3745" w:rsidRDefault="00F34DD2" w:rsidP="00A601C5">
            <w:pPr>
              <w:spacing w:after="0" w:line="240" w:lineRule="auto"/>
              <w:jc w:val="center"/>
              <w:rPr>
                <w:rFonts w:ascii="Arial" w:hAnsi="Arial"/>
                <w:sz w:val="20"/>
                <w:lang w:val="en-GB"/>
              </w:rPr>
            </w:pPr>
            <w:r w:rsidRPr="001E3745">
              <w:rPr>
                <w:rFonts w:ascii="Arial" w:hAnsi="Arial"/>
                <w:color w:val="000000" w:themeColor="text1"/>
                <w:kern w:val="24"/>
                <w:sz w:val="20"/>
                <w:lang w:val="en-GB"/>
              </w:rPr>
              <w:t> </w:t>
            </w:r>
          </w:p>
        </w:tc>
        <w:tc>
          <w:tcPr>
            <w:tcW w:w="877" w:type="pct"/>
            <w:tcBorders>
              <w:top w:val="single" w:sz="8" w:space="0" w:color="000000"/>
              <w:left w:val="nil"/>
              <w:bottom w:val="single" w:sz="8" w:space="0" w:color="000000"/>
              <w:right w:val="nil"/>
            </w:tcBorders>
            <w:shd w:val="clear" w:color="auto" w:fill="auto"/>
            <w:tcMar>
              <w:top w:w="27" w:type="dxa"/>
              <w:left w:w="186" w:type="dxa"/>
              <w:bottom w:w="0" w:type="dxa"/>
              <w:right w:w="186" w:type="dxa"/>
            </w:tcMar>
            <w:hideMark/>
          </w:tcPr>
          <w:p w14:paraId="730C577D" w14:textId="77777777" w:rsidR="00F34DD2" w:rsidRPr="001E3745" w:rsidRDefault="00F34DD2" w:rsidP="00A601C5">
            <w:pPr>
              <w:spacing w:after="0" w:line="240" w:lineRule="auto"/>
              <w:jc w:val="center"/>
              <w:rPr>
                <w:rFonts w:ascii="Arial" w:hAnsi="Arial"/>
                <w:sz w:val="20"/>
                <w:lang w:val="en-GB"/>
              </w:rPr>
            </w:pPr>
            <w:r w:rsidRPr="001E3745">
              <w:rPr>
                <w:rFonts w:ascii="Arial" w:hAnsi="Arial"/>
                <w:b/>
                <w:color w:val="000000" w:themeColor="text1"/>
                <w:kern w:val="24"/>
                <w:sz w:val="20"/>
                <w:lang w:val="en-GB"/>
              </w:rPr>
              <w:t>SABA and/or SAMA</w:t>
            </w:r>
          </w:p>
          <w:p w14:paraId="3B855E2E" w14:textId="77777777" w:rsidR="00F34DD2" w:rsidRPr="001E3745" w:rsidRDefault="00F34DD2" w:rsidP="00A601C5">
            <w:pPr>
              <w:spacing w:after="0" w:line="240" w:lineRule="auto"/>
              <w:jc w:val="center"/>
              <w:rPr>
                <w:rFonts w:ascii="Arial" w:hAnsi="Arial"/>
                <w:sz w:val="20"/>
                <w:lang w:val="en-GB"/>
              </w:rPr>
            </w:pPr>
            <w:r w:rsidRPr="001E3745">
              <w:rPr>
                <w:rFonts w:ascii="Arial" w:hAnsi="Arial"/>
                <w:b/>
                <w:color w:val="000000" w:themeColor="text1"/>
                <w:kern w:val="24"/>
                <w:sz w:val="20"/>
                <w:lang w:val="en-GB"/>
              </w:rPr>
              <w:t>n = 122</w:t>
            </w:r>
          </w:p>
        </w:tc>
        <w:tc>
          <w:tcPr>
            <w:tcW w:w="853" w:type="pct"/>
            <w:tcBorders>
              <w:top w:val="single" w:sz="8" w:space="0" w:color="000000"/>
              <w:left w:val="nil"/>
              <w:bottom w:val="single" w:sz="8" w:space="0" w:color="000000"/>
              <w:right w:val="single" w:sz="8" w:space="0" w:color="000000"/>
            </w:tcBorders>
            <w:shd w:val="clear" w:color="auto" w:fill="auto"/>
            <w:tcMar>
              <w:top w:w="27" w:type="dxa"/>
              <w:left w:w="186" w:type="dxa"/>
              <w:bottom w:w="0" w:type="dxa"/>
              <w:right w:w="186" w:type="dxa"/>
            </w:tcMar>
            <w:hideMark/>
          </w:tcPr>
          <w:p w14:paraId="067AE9A6" w14:textId="77777777" w:rsidR="00F34DD2" w:rsidRPr="001E3745" w:rsidRDefault="00F34DD2" w:rsidP="00A601C5">
            <w:pPr>
              <w:spacing w:after="0" w:line="240" w:lineRule="auto"/>
              <w:jc w:val="center"/>
              <w:rPr>
                <w:rFonts w:ascii="Arial" w:hAnsi="Arial"/>
                <w:sz w:val="20"/>
                <w:lang w:val="en-GB"/>
              </w:rPr>
            </w:pPr>
            <w:r w:rsidRPr="001E3745">
              <w:rPr>
                <w:rFonts w:ascii="Arial" w:hAnsi="Arial"/>
                <w:b/>
                <w:color w:val="000000" w:themeColor="text1"/>
                <w:kern w:val="24"/>
                <w:sz w:val="20"/>
                <w:lang w:val="en-GB"/>
              </w:rPr>
              <w:t>GLY</w:t>
            </w:r>
          </w:p>
          <w:p w14:paraId="34623E1A" w14:textId="77777777" w:rsidR="00F34DD2" w:rsidRPr="001E3745" w:rsidRDefault="00F34DD2" w:rsidP="00A601C5">
            <w:pPr>
              <w:spacing w:after="0" w:line="240" w:lineRule="auto"/>
              <w:jc w:val="center"/>
              <w:rPr>
                <w:rFonts w:ascii="Arial" w:hAnsi="Arial"/>
                <w:sz w:val="20"/>
                <w:lang w:val="en-GB"/>
              </w:rPr>
            </w:pPr>
            <w:r w:rsidRPr="001E3745">
              <w:rPr>
                <w:rFonts w:ascii="Arial" w:hAnsi="Arial"/>
                <w:b/>
                <w:color w:val="000000" w:themeColor="text1"/>
                <w:kern w:val="24"/>
                <w:sz w:val="20"/>
                <w:lang w:val="en-GB"/>
              </w:rPr>
              <w:t>n = 369</w:t>
            </w:r>
          </w:p>
        </w:tc>
        <w:tc>
          <w:tcPr>
            <w:tcW w:w="1058" w:type="pct"/>
            <w:tcBorders>
              <w:top w:val="single" w:sz="8" w:space="0" w:color="000000"/>
              <w:left w:val="single" w:sz="8" w:space="0" w:color="000000"/>
              <w:bottom w:val="single" w:sz="8" w:space="0" w:color="000000"/>
              <w:right w:val="nil"/>
            </w:tcBorders>
            <w:shd w:val="clear" w:color="auto" w:fill="auto"/>
            <w:tcMar>
              <w:top w:w="27" w:type="dxa"/>
              <w:left w:w="186" w:type="dxa"/>
              <w:bottom w:w="0" w:type="dxa"/>
              <w:right w:w="186" w:type="dxa"/>
            </w:tcMar>
            <w:hideMark/>
          </w:tcPr>
          <w:p w14:paraId="37F53926" w14:textId="77777777" w:rsidR="00F34DD2" w:rsidRPr="001E3745" w:rsidRDefault="00F34DD2" w:rsidP="00A601C5">
            <w:pPr>
              <w:spacing w:after="0" w:line="240" w:lineRule="auto"/>
              <w:jc w:val="center"/>
              <w:rPr>
                <w:rFonts w:ascii="Arial" w:hAnsi="Arial"/>
                <w:sz w:val="20"/>
                <w:lang w:val="en-GB"/>
              </w:rPr>
            </w:pPr>
            <w:r w:rsidRPr="001E3745">
              <w:rPr>
                <w:rFonts w:ascii="Arial" w:hAnsi="Arial"/>
                <w:b/>
                <w:color w:val="000000" w:themeColor="text1"/>
                <w:kern w:val="24"/>
                <w:sz w:val="20"/>
                <w:lang w:val="en-GB"/>
              </w:rPr>
              <w:t>LABA or LAMA</w:t>
            </w:r>
            <w:r w:rsidRPr="001E3745">
              <w:rPr>
                <w:rFonts w:ascii="Arial" w:hAnsi="Arial"/>
                <w:b/>
                <w:color w:val="000000" w:themeColor="text1"/>
                <w:kern w:val="24"/>
                <w:sz w:val="20"/>
                <w:vertAlign w:val="superscript"/>
                <w:lang w:val="en-GB"/>
              </w:rPr>
              <w:t>#</w:t>
            </w:r>
          </w:p>
          <w:p w14:paraId="559E2824" w14:textId="77777777" w:rsidR="00F34DD2" w:rsidRPr="001E3745" w:rsidRDefault="00F34DD2" w:rsidP="00A601C5">
            <w:pPr>
              <w:spacing w:after="0" w:line="240" w:lineRule="auto"/>
              <w:jc w:val="center"/>
              <w:rPr>
                <w:rFonts w:ascii="Arial" w:hAnsi="Arial"/>
                <w:sz w:val="20"/>
                <w:lang w:val="en-GB"/>
              </w:rPr>
            </w:pPr>
            <w:r w:rsidRPr="001E3745">
              <w:rPr>
                <w:rFonts w:ascii="Arial" w:hAnsi="Arial"/>
                <w:b/>
                <w:color w:val="000000" w:themeColor="text1"/>
                <w:kern w:val="24"/>
                <w:sz w:val="20"/>
                <w:lang w:val="en-GB"/>
              </w:rPr>
              <w:t>n = 420</w:t>
            </w:r>
          </w:p>
        </w:tc>
        <w:tc>
          <w:tcPr>
            <w:tcW w:w="913" w:type="pct"/>
            <w:tcBorders>
              <w:top w:val="single" w:sz="8" w:space="0" w:color="000000"/>
              <w:left w:val="nil"/>
              <w:bottom w:val="single" w:sz="8" w:space="0" w:color="000000"/>
              <w:right w:val="nil"/>
            </w:tcBorders>
            <w:shd w:val="clear" w:color="auto" w:fill="auto"/>
            <w:tcMar>
              <w:top w:w="27" w:type="dxa"/>
              <w:left w:w="186" w:type="dxa"/>
              <w:bottom w:w="0" w:type="dxa"/>
              <w:right w:w="186" w:type="dxa"/>
            </w:tcMar>
            <w:hideMark/>
          </w:tcPr>
          <w:p w14:paraId="2F76D5E7" w14:textId="77777777" w:rsidR="00F34DD2" w:rsidRPr="001E3745" w:rsidRDefault="00F34DD2" w:rsidP="00A601C5">
            <w:pPr>
              <w:spacing w:after="0" w:line="240" w:lineRule="auto"/>
              <w:jc w:val="center"/>
              <w:rPr>
                <w:rFonts w:ascii="Arial" w:hAnsi="Arial"/>
                <w:sz w:val="20"/>
                <w:lang w:val="en-GB"/>
              </w:rPr>
            </w:pPr>
            <w:r w:rsidRPr="001E3745">
              <w:rPr>
                <w:rFonts w:ascii="Arial" w:hAnsi="Arial"/>
                <w:b/>
                <w:color w:val="000000" w:themeColor="text1"/>
                <w:kern w:val="24"/>
                <w:sz w:val="20"/>
                <w:lang w:val="en-GB"/>
              </w:rPr>
              <w:t>GLY</w:t>
            </w:r>
            <w:r w:rsidRPr="001E3745">
              <w:rPr>
                <w:rFonts w:ascii="Arial" w:hAnsi="Arial"/>
                <w:b/>
                <w:color w:val="000000" w:themeColor="text1"/>
                <w:kern w:val="24"/>
                <w:sz w:val="20"/>
                <w:vertAlign w:val="superscript"/>
                <w:lang w:val="en-GB"/>
              </w:rPr>
              <w:t>#</w:t>
            </w:r>
          </w:p>
          <w:p w14:paraId="7CF8DD2D" w14:textId="77777777" w:rsidR="00F34DD2" w:rsidRPr="001E3745" w:rsidRDefault="00F34DD2" w:rsidP="00A601C5">
            <w:pPr>
              <w:spacing w:after="0" w:line="240" w:lineRule="auto"/>
              <w:jc w:val="center"/>
              <w:rPr>
                <w:rFonts w:ascii="Arial" w:hAnsi="Arial"/>
                <w:sz w:val="20"/>
                <w:lang w:val="en-GB"/>
              </w:rPr>
            </w:pPr>
            <w:r w:rsidRPr="001E3745">
              <w:rPr>
                <w:rFonts w:ascii="Arial" w:hAnsi="Arial"/>
                <w:b/>
                <w:color w:val="000000" w:themeColor="text1"/>
                <w:kern w:val="24"/>
                <w:sz w:val="20"/>
                <w:lang w:val="en-GB"/>
              </w:rPr>
              <w:t>n = 1254</w:t>
            </w:r>
          </w:p>
        </w:tc>
      </w:tr>
      <w:tr w:rsidR="001E3745" w:rsidRPr="00FD6711" w14:paraId="73E1C80E" w14:textId="77777777" w:rsidTr="001E3745">
        <w:trPr>
          <w:trHeight w:val="1006"/>
        </w:trPr>
        <w:tc>
          <w:tcPr>
            <w:tcW w:w="1299" w:type="pct"/>
            <w:tcBorders>
              <w:top w:val="single" w:sz="8" w:space="0" w:color="000000"/>
              <w:left w:val="nil"/>
              <w:bottom w:val="nil"/>
              <w:right w:val="nil"/>
            </w:tcBorders>
            <w:shd w:val="clear" w:color="auto" w:fill="auto"/>
            <w:tcMar>
              <w:top w:w="27" w:type="dxa"/>
              <w:left w:w="186" w:type="dxa"/>
              <w:bottom w:w="0" w:type="dxa"/>
              <w:right w:w="186" w:type="dxa"/>
            </w:tcMar>
            <w:vAlign w:val="center"/>
            <w:hideMark/>
          </w:tcPr>
          <w:p w14:paraId="1A365ED2" w14:textId="77777777" w:rsidR="00F34DD2" w:rsidRPr="001E3745" w:rsidRDefault="00F34DD2" w:rsidP="00A601C5">
            <w:pPr>
              <w:spacing w:after="0" w:line="240" w:lineRule="auto"/>
              <w:rPr>
                <w:rFonts w:ascii="Arial" w:hAnsi="Arial"/>
                <w:sz w:val="20"/>
                <w:lang w:val="en-GB"/>
              </w:rPr>
            </w:pPr>
            <w:r w:rsidRPr="001E3745">
              <w:rPr>
                <w:rFonts w:ascii="Arial" w:hAnsi="Arial"/>
                <w:color w:val="000000" w:themeColor="text1"/>
                <w:kern w:val="24"/>
                <w:sz w:val="20"/>
                <w:lang w:val="en-GB"/>
              </w:rPr>
              <w:t>Patients achieved MCID in trough FEV</w:t>
            </w:r>
            <w:r w:rsidRPr="001E3745">
              <w:rPr>
                <w:rFonts w:ascii="Arial" w:hAnsi="Arial"/>
                <w:color w:val="000000" w:themeColor="text1"/>
                <w:kern w:val="24"/>
                <w:position w:val="-8"/>
                <w:sz w:val="20"/>
                <w:vertAlign w:val="subscript"/>
                <w:lang w:val="en-GB"/>
              </w:rPr>
              <w:t xml:space="preserve">1 </w:t>
            </w:r>
            <w:r w:rsidRPr="001E3745">
              <w:rPr>
                <w:rFonts w:ascii="Arial" w:hAnsi="Arial"/>
                <w:color w:val="000000" w:themeColor="text1"/>
                <w:kern w:val="24"/>
                <w:sz w:val="20"/>
                <w:lang w:val="en-GB"/>
              </w:rPr>
              <w:t xml:space="preserve">(a ≥100-mL difference from baseline) </w:t>
            </w:r>
          </w:p>
        </w:tc>
        <w:tc>
          <w:tcPr>
            <w:tcW w:w="877" w:type="pct"/>
            <w:tcBorders>
              <w:top w:val="single" w:sz="8" w:space="0" w:color="000000"/>
              <w:left w:val="nil"/>
              <w:bottom w:val="nil"/>
              <w:right w:val="nil"/>
            </w:tcBorders>
            <w:shd w:val="clear" w:color="auto" w:fill="auto"/>
            <w:tcMar>
              <w:top w:w="27" w:type="dxa"/>
              <w:left w:w="121" w:type="dxa"/>
              <w:bottom w:w="0" w:type="dxa"/>
              <w:right w:w="121" w:type="dxa"/>
            </w:tcMar>
            <w:vAlign w:val="center"/>
            <w:hideMark/>
          </w:tcPr>
          <w:p w14:paraId="32E0634D" w14:textId="77777777" w:rsidR="00F34DD2" w:rsidRPr="001E3745" w:rsidRDefault="00F34DD2" w:rsidP="00B52468">
            <w:pPr>
              <w:spacing w:after="0" w:line="240" w:lineRule="auto"/>
              <w:jc w:val="center"/>
              <w:rPr>
                <w:rFonts w:ascii="Arial" w:hAnsi="Arial"/>
                <w:sz w:val="20"/>
                <w:lang w:val="en-GB"/>
              </w:rPr>
            </w:pPr>
            <w:r w:rsidRPr="001E3745">
              <w:rPr>
                <w:rFonts w:ascii="Arial" w:hAnsi="Arial"/>
                <w:color w:val="000000" w:themeColor="text1"/>
                <w:kern w:val="24"/>
                <w:sz w:val="20"/>
                <w:lang w:val="en-GB"/>
              </w:rPr>
              <w:t>44 (36.1%)</w:t>
            </w:r>
          </w:p>
        </w:tc>
        <w:tc>
          <w:tcPr>
            <w:tcW w:w="853" w:type="pct"/>
            <w:tcBorders>
              <w:top w:val="single" w:sz="8" w:space="0" w:color="000000"/>
              <w:left w:val="nil"/>
              <w:bottom w:val="nil"/>
              <w:right w:val="single" w:sz="8" w:space="0" w:color="000000"/>
            </w:tcBorders>
            <w:shd w:val="clear" w:color="auto" w:fill="auto"/>
            <w:tcMar>
              <w:top w:w="27" w:type="dxa"/>
              <w:left w:w="121" w:type="dxa"/>
              <w:bottom w:w="0" w:type="dxa"/>
              <w:right w:w="121" w:type="dxa"/>
            </w:tcMar>
            <w:vAlign w:val="center"/>
            <w:hideMark/>
          </w:tcPr>
          <w:p w14:paraId="654E3F9C" w14:textId="77777777" w:rsidR="00F34DD2" w:rsidRPr="001E3745" w:rsidRDefault="00F34DD2" w:rsidP="00B52468">
            <w:pPr>
              <w:spacing w:after="0" w:line="240" w:lineRule="auto"/>
              <w:jc w:val="center"/>
              <w:rPr>
                <w:rFonts w:ascii="Arial" w:hAnsi="Arial"/>
                <w:sz w:val="20"/>
                <w:lang w:val="en-GB"/>
              </w:rPr>
            </w:pPr>
            <w:r w:rsidRPr="001E3745">
              <w:rPr>
                <w:rFonts w:ascii="Arial" w:hAnsi="Arial"/>
                <w:color w:val="000000" w:themeColor="text1"/>
                <w:kern w:val="24"/>
                <w:sz w:val="20"/>
                <w:lang w:val="en-GB"/>
              </w:rPr>
              <w:t>181 (49.1%)</w:t>
            </w:r>
          </w:p>
        </w:tc>
        <w:tc>
          <w:tcPr>
            <w:tcW w:w="1058" w:type="pct"/>
            <w:tcBorders>
              <w:top w:val="single" w:sz="8" w:space="0" w:color="000000"/>
              <w:left w:val="single" w:sz="8" w:space="0" w:color="000000"/>
              <w:bottom w:val="nil"/>
              <w:right w:val="nil"/>
            </w:tcBorders>
            <w:shd w:val="clear" w:color="auto" w:fill="auto"/>
            <w:tcMar>
              <w:top w:w="27" w:type="dxa"/>
              <w:left w:w="121" w:type="dxa"/>
              <w:bottom w:w="0" w:type="dxa"/>
              <w:right w:w="121" w:type="dxa"/>
            </w:tcMar>
            <w:vAlign w:val="center"/>
            <w:hideMark/>
          </w:tcPr>
          <w:p w14:paraId="05EB3E2F" w14:textId="77777777" w:rsidR="00F34DD2" w:rsidRPr="001E3745" w:rsidRDefault="00F34DD2" w:rsidP="00B52468">
            <w:pPr>
              <w:spacing w:after="0" w:line="240" w:lineRule="auto"/>
              <w:jc w:val="center"/>
              <w:rPr>
                <w:rFonts w:ascii="Arial" w:hAnsi="Arial"/>
                <w:sz w:val="20"/>
                <w:lang w:val="en-GB"/>
              </w:rPr>
            </w:pPr>
            <w:r w:rsidRPr="001E3745">
              <w:rPr>
                <w:rFonts w:ascii="Arial" w:hAnsi="Arial"/>
                <w:color w:val="000000" w:themeColor="text1"/>
                <w:kern w:val="24"/>
                <w:sz w:val="20"/>
                <w:lang w:val="en-GB"/>
              </w:rPr>
              <w:t>111 (26.4%)</w:t>
            </w:r>
          </w:p>
        </w:tc>
        <w:tc>
          <w:tcPr>
            <w:tcW w:w="913" w:type="pct"/>
            <w:tcBorders>
              <w:top w:val="single" w:sz="8" w:space="0" w:color="000000"/>
              <w:left w:val="nil"/>
              <w:bottom w:val="nil"/>
              <w:right w:val="nil"/>
            </w:tcBorders>
            <w:shd w:val="clear" w:color="auto" w:fill="auto"/>
            <w:tcMar>
              <w:top w:w="27" w:type="dxa"/>
              <w:left w:w="121" w:type="dxa"/>
              <w:bottom w:w="0" w:type="dxa"/>
              <w:right w:w="121" w:type="dxa"/>
            </w:tcMar>
            <w:vAlign w:val="center"/>
            <w:hideMark/>
          </w:tcPr>
          <w:p w14:paraId="2CBD43E1" w14:textId="77777777" w:rsidR="00F34DD2" w:rsidRPr="001E3745" w:rsidRDefault="00F34DD2" w:rsidP="00B52468">
            <w:pPr>
              <w:spacing w:after="0" w:line="240" w:lineRule="auto"/>
              <w:jc w:val="center"/>
              <w:rPr>
                <w:rFonts w:ascii="Arial" w:hAnsi="Arial"/>
                <w:sz w:val="20"/>
                <w:lang w:val="en-GB"/>
              </w:rPr>
            </w:pPr>
            <w:r w:rsidRPr="001E3745">
              <w:rPr>
                <w:rFonts w:ascii="Arial" w:hAnsi="Arial"/>
                <w:color w:val="000000" w:themeColor="text1"/>
                <w:kern w:val="24"/>
                <w:sz w:val="20"/>
                <w:lang w:val="en-GB"/>
              </w:rPr>
              <w:t>413 (32.9%)</w:t>
            </w:r>
          </w:p>
        </w:tc>
      </w:tr>
      <w:tr w:rsidR="001E3745" w:rsidRPr="00FD6711" w14:paraId="20299D62" w14:textId="77777777" w:rsidTr="001E3745">
        <w:trPr>
          <w:trHeight w:val="603"/>
        </w:trPr>
        <w:tc>
          <w:tcPr>
            <w:tcW w:w="1299" w:type="pct"/>
            <w:tcBorders>
              <w:top w:val="nil"/>
              <w:left w:val="nil"/>
              <w:bottom w:val="single" w:sz="8" w:space="0" w:color="000000"/>
              <w:right w:val="nil"/>
            </w:tcBorders>
            <w:shd w:val="clear" w:color="auto" w:fill="auto"/>
            <w:tcMar>
              <w:top w:w="27" w:type="dxa"/>
              <w:left w:w="186" w:type="dxa"/>
              <w:bottom w:w="0" w:type="dxa"/>
              <w:right w:w="186" w:type="dxa"/>
            </w:tcMar>
            <w:hideMark/>
          </w:tcPr>
          <w:p w14:paraId="37C4BF91" w14:textId="77777777" w:rsidR="00F34DD2" w:rsidRPr="001E3745" w:rsidRDefault="00F34DD2" w:rsidP="00A601C5">
            <w:pPr>
              <w:spacing w:after="0" w:line="240" w:lineRule="auto"/>
              <w:ind w:left="187"/>
              <w:rPr>
                <w:rFonts w:ascii="Arial" w:hAnsi="Arial"/>
                <w:sz w:val="20"/>
                <w:lang w:val="en-GB"/>
              </w:rPr>
            </w:pPr>
            <w:r w:rsidRPr="001E3745">
              <w:rPr>
                <w:rFonts w:ascii="Arial" w:hAnsi="Arial"/>
                <w:color w:val="000000" w:themeColor="text1"/>
                <w:kern w:val="24"/>
                <w:sz w:val="20"/>
                <w:lang w:val="en-GB"/>
              </w:rPr>
              <w:t>Trough FEV</w:t>
            </w:r>
            <w:r w:rsidRPr="001E3745">
              <w:rPr>
                <w:rFonts w:ascii="Arial" w:hAnsi="Arial"/>
                <w:color w:val="000000" w:themeColor="text1"/>
                <w:kern w:val="24"/>
                <w:position w:val="-8"/>
                <w:sz w:val="20"/>
                <w:vertAlign w:val="subscript"/>
                <w:lang w:val="en-GB"/>
              </w:rPr>
              <w:t>1</w:t>
            </w:r>
            <w:r w:rsidRPr="001E3745">
              <w:rPr>
                <w:rFonts w:ascii="Arial" w:hAnsi="Arial"/>
                <w:color w:val="000000" w:themeColor="text1"/>
                <w:kern w:val="24"/>
                <w:sz w:val="20"/>
                <w:lang w:val="en-GB"/>
              </w:rPr>
              <w:t xml:space="preserve"> responders (OR [95%</w:t>
            </w:r>
            <w:r>
              <w:rPr>
                <w:rFonts w:ascii="Arial" w:eastAsia="Times New Roman" w:hAnsi="Arial" w:cs="Arial"/>
                <w:color w:val="000000" w:themeColor="text1"/>
                <w:kern w:val="24"/>
                <w:sz w:val="20"/>
                <w:szCs w:val="20"/>
                <w:lang w:val="en-GB"/>
              </w:rPr>
              <w:t xml:space="preserve"> </w:t>
            </w:r>
            <w:r w:rsidRPr="001E3745">
              <w:rPr>
                <w:rFonts w:ascii="Arial" w:hAnsi="Arial"/>
                <w:color w:val="000000" w:themeColor="text1"/>
                <w:kern w:val="24"/>
                <w:sz w:val="20"/>
                <w:lang w:val="en-GB"/>
              </w:rPr>
              <w:t>CI])</w:t>
            </w:r>
          </w:p>
        </w:tc>
        <w:tc>
          <w:tcPr>
            <w:tcW w:w="1730" w:type="pct"/>
            <w:gridSpan w:val="2"/>
            <w:tcBorders>
              <w:top w:val="nil"/>
              <w:left w:val="nil"/>
              <w:bottom w:val="single" w:sz="8" w:space="0" w:color="000000"/>
              <w:right w:val="single" w:sz="8" w:space="0" w:color="000000"/>
            </w:tcBorders>
            <w:shd w:val="clear" w:color="auto" w:fill="auto"/>
            <w:tcMar>
              <w:top w:w="27" w:type="dxa"/>
              <w:left w:w="121" w:type="dxa"/>
              <w:bottom w:w="0" w:type="dxa"/>
              <w:right w:w="121" w:type="dxa"/>
            </w:tcMar>
            <w:vAlign w:val="center"/>
            <w:hideMark/>
          </w:tcPr>
          <w:p w14:paraId="11F5E888" w14:textId="77777777" w:rsidR="00F34DD2" w:rsidRPr="001E3745" w:rsidRDefault="00F34DD2" w:rsidP="00A601C5">
            <w:pPr>
              <w:spacing w:after="0" w:line="240" w:lineRule="auto"/>
              <w:jc w:val="center"/>
              <w:rPr>
                <w:rFonts w:ascii="Arial" w:hAnsi="Arial"/>
                <w:sz w:val="20"/>
                <w:lang w:val="en-GB"/>
              </w:rPr>
            </w:pPr>
            <w:r w:rsidRPr="001E3745">
              <w:rPr>
                <w:rFonts w:ascii="Arial" w:hAnsi="Arial"/>
                <w:color w:val="000000" w:themeColor="text1"/>
                <w:kern w:val="24"/>
                <w:sz w:val="20"/>
                <w:lang w:val="en-GB"/>
              </w:rPr>
              <w:t>1.77 (1.15 to 2.72)</w:t>
            </w:r>
          </w:p>
        </w:tc>
        <w:tc>
          <w:tcPr>
            <w:tcW w:w="1971" w:type="pct"/>
            <w:gridSpan w:val="2"/>
            <w:tcBorders>
              <w:top w:val="nil"/>
              <w:left w:val="single" w:sz="8" w:space="0" w:color="000000"/>
              <w:bottom w:val="single" w:sz="8" w:space="0" w:color="000000"/>
              <w:right w:val="nil"/>
            </w:tcBorders>
            <w:shd w:val="clear" w:color="auto" w:fill="auto"/>
            <w:tcMar>
              <w:top w:w="27" w:type="dxa"/>
              <w:left w:w="121" w:type="dxa"/>
              <w:bottom w:w="0" w:type="dxa"/>
              <w:right w:w="121" w:type="dxa"/>
            </w:tcMar>
            <w:vAlign w:val="center"/>
            <w:hideMark/>
          </w:tcPr>
          <w:p w14:paraId="21E66E7E" w14:textId="77777777" w:rsidR="00F34DD2" w:rsidRPr="001E3745" w:rsidRDefault="00F34DD2" w:rsidP="00A601C5">
            <w:pPr>
              <w:spacing w:after="0" w:line="240" w:lineRule="auto"/>
              <w:jc w:val="center"/>
              <w:rPr>
                <w:rFonts w:ascii="Arial" w:hAnsi="Arial"/>
                <w:sz w:val="20"/>
                <w:lang w:val="en-GB"/>
              </w:rPr>
            </w:pPr>
            <w:r w:rsidRPr="001E3745">
              <w:rPr>
                <w:rFonts w:ascii="Arial" w:hAnsi="Arial"/>
                <w:color w:val="000000" w:themeColor="text1"/>
                <w:kern w:val="24"/>
                <w:sz w:val="20"/>
                <w:lang w:val="en-GB"/>
              </w:rPr>
              <w:t>1.40 (1.09 to 1.80)</w:t>
            </w:r>
          </w:p>
        </w:tc>
      </w:tr>
      <w:tr w:rsidR="001E3745" w:rsidRPr="00FD6711" w14:paraId="462F9714" w14:textId="77777777" w:rsidTr="001E3745">
        <w:trPr>
          <w:trHeight w:val="1204"/>
        </w:trPr>
        <w:tc>
          <w:tcPr>
            <w:tcW w:w="1299" w:type="pct"/>
            <w:tcBorders>
              <w:top w:val="single" w:sz="8" w:space="0" w:color="000000"/>
              <w:left w:val="nil"/>
              <w:bottom w:val="nil"/>
              <w:right w:val="nil"/>
            </w:tcBorders>
            <w:shd w:val="clear" w:color="auto" w:fill="auto"/>
            <w:tcMar>
              <w:top w:w="27" w:type="dxa"/>
              <w:left w:w="186" w:type="dxa"/>
              <w:bottom w:w="0" w:type="dxa"/>
              <w:right w:w="186" w:type="dxa"/>
            </w:tcMar>
            <w:vAlign w:val="center"/>
            <w:hideMark/>
          </w:tcPr>
          <w:p w14:paraId="7787889F" w14:textId="77777777" w:rsidR="00F34DD2" w:rsidRPr="001E3745" w:rsidRDefault="00F34DD2" w:rsidP="00A601C5">
            <w:pPr>
              <w:spacing w:after="0" w:line="240" w:lineRule="auto"/>
              <w:rPr>
                <w:rFonts w:ascii="Arial" w:hAnsi="Arial"/>
                <w:sz w:val="20"/>
                <w:lang w:val="en-GB"/>
              </w:rPr>
            </w:pPr>
            <w:r w:rsidRPr="001E3745">
              <w:rPr>
                <w:rFonts w:ascii="Arial" w:hAnsi="Arial"/>
                <w:color w:val="000000" w:themeColor="text1"/>
                <w:kern w:val="24"/>
                <w:sz w:val="20"/>
                <w:lang w:val="en-GB"/>
              </w:rPr>
              <w:t xml:space="preserve">Patients achieved MCID in TDI total score (a ≥1-unit difference from baseline) </w:t>
            </w:r>
          </w:p>
        </w:tc>
        <w:tc>
          <w:tcPr>
            <w:tcW w:w="877" w:type="pct"/>
            <w:tcBorders>
              <w:top w:val="single" w:sz="8" w:space="0" w:color="000000"/>
              <w:left w:val="nil"/>
              <w:bottom w:val="nil"/>
              <w:right w:val="nil"/>
            </w:tcBorders>
            <w:shd w:val="clear" w:color="auto" w:fill="auto"/>
            <w:tcMar>
              <w:top w:w="27" w:type="dxa"/>
              <w:left w:w="121" w:type="dxa"/>
              <w:bottom w:w="0" w:type="dxa"/>
              <w:right w:w="121" w:type="dxa"/>
            </w:tcMar>
            <w:vAlign w:val="center"/>
            <w:hideMark/>
          </w:tcPr>
          <w:p w14:paraId="25913BAB" w14:textId="77777777" w:rsidR="00F34DD2" w:rsidRPr="001E3745" w:rsidRDefault="00F34DD2" w:rsidP="00B52468">
            <w:pPr>
              <w:spacing w:after="0" w:line="240" w:lineRule="auto"/>
              <w:jc w:val="center"/>
              <w:rPr>
                <w:rFonts w:ascii="Arial" w:hAnsi="Arial"/>
                <w:sz w:val="20"/>
                <w:lang w:val="en-GB"/>
              </w:rPr>
            </w:pPr>
            <w:r w:rsidRPr="001E3745">
              <w:rPr>
                <w:rFonts w:ascii="Arial" w:hAnsi="Arial"/>
                <w:color w:val="000000" w:themeColor="text1"/>
                <w:kern w:val="24"/>
                <w:sz w:val="20"/>
                <w:lang w:val="en-GB"/>
              </w:rPr>
              <w:t>30 (24.6%)</w:t>
            </w:r>
          </w:p>
        </w:tc>
        <w:tc>
          <w:tcPr>
            <w:tcW w:w="853" w:type="pct"/>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center"/>
            <w:hideMark/>
          </w:tcPr>
          <w:p w14:paraId="4FAAC4FE" w14:textId="77777777" w:rsidR="00F34DD2" w:rsidRPr="001E3745" w:rsidRDefault="00F34DD2" w:rsidP="00B52468">
            <w:pPr>
              <w:spacing w:after="0" w:line="240" w:lineRule="auto"/>
              <w:jc w:val="center"/>
              <w:rPr>
                <w:rFonts w:ascii="Arial" w:hAnsi="Arial"/>
                <w:sz w:val="20"/>
                <w:lang w:val="en-GB"/>
              </w:rPr>
            </w:pPr>
            <w:r w:rsidRPr="001E3745">
              <w:rPr>
                <w:rFonts w:ascii="Arial" w:hAnsi="Arial"/>
                <w:color w:val="000000" w:themeColor="text1"/>
                <w:kern w:val="24"/>
                <w:sz w:val="20"/>
                <w:lang w:val="en-GB"/>
              </w:rPr>
              <w:t>212 (57.5%)</w:t>
            </w:r>
          </w:p>
        </w:tc>
        <w:tc>
          <w:tcPr>
            <w:tcW w:w="1058" w:type="pct"/>
            <w:tcBorders>
              <w:top w:val="single" w:sz="8" w:space="0" w:color="000000"/>
              <w:left w:val="single" w:sz="8" w:space="0" w:color="000000"/>
              <w:bottom w:val="nil"/>
              <w:right w:val="nil"/>
            </w:tcBorders>
            <w:shd w:val="clear" w:color="auto" w:fill="auto"/>
            <w:tcMar>
              <w:top w:w="27" w:type="dxa"/>
              <w:left w:w="121" w:type="dxa"/>
              <w:bottom w:w="0" w:type="dxa"/>
              <w:right w:w="121" w:type="dxa"/>
            </w:tcMar>
            <w:vAlign w:val="center"/>
            <w:hideMark/>
          </w:tcPr>
          <w:p w14:paraId="6554351D" w14:textId="77777777" w:rsidR="00F34DD2" w:rsidRPr="001E3745" w:rsidRDefault="00F34DD2" w:rsidP="00B52468">
            <w:pPr>
              <w:spacing w:after="0" w:line="240" w:lineRule="auto"/>
              <w:jc w:val="center"/>
              <w:rPr>
                <w:rFonts w:ascii="Arial" w:hAnsi="Arial"/>
                <w:sz w:val="20"/>
                <w:lang w:val="en-GB"/>
              </w:rPr>
            </w:pPr>
            <w:r w:rsidRPr="001E3745">
              <w:rPr>
                <w:rFonts w:ascii="Arial" w:hAnsi="Arial"/>
                <w:color w:val="000000" w:themeColor="text1"/>
                <w:kern w:val="24"/>
                <w:sz w:val="20"/>
                <w:lang w:val="en-GB"/>
              </w:rPr>
              <w:t>110 (26.2%)</w:t>
            </w:r>
          </w:p>
        </w:tc>
        <w:tc>
          <w:tcPr>
            <w:tcW w:w="913" w:type="pct"/>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A868880" w14:textId="77777777" w:rsidR="00F34DD2" w:rsidRPr="001E3745" w:rsidRDefault="00F34DD2" w:rsidP="00B52468">
            <w:pPr>
              <w:spacing w:after="0" w:line="240" w:lineRule="auto"/>
              <w:jc w:val="center"/>
              <w:rPr>
                <w:rFonts w:ascii="Arial" w:hAnsi="Arial"/>
                <w:sz w:val="20"/>
                <w:lang w:val="en-GB"/>
              </w:rPr>
            </w:pPr>
            <w:r w:rsidRPr="001E3745">
              <w:rPr>
                <w:rFonts w:ascii="Arial" w:hAnsi="Arial"/>
                <w:color w:val="000000" w:themeColor="text1"/>
                <w:kern w:val="24"/>
                <w:sz w:val="20"/>
                <w:lang w:val="en-GB"/>
              </w:rPr>
              <w:t>577 (46.0%)</w:t>
            </w:r>
          </w:p>
        </w:tc>
      </w:tr>
      <w:tr w:rsidR="001E3745" w:rsidRPr="00FD6711" w14:paraId="4474F87F" w14:textId="77777777" w:rsidTr="001E3745">
        <w:trPr>
          <w:trHeight w:val="315"/>
        </w:trPr>
        <w:tc>
          <w:tcPr>
            <w:tcW w:w="1299" w:type="pct"/>
            <w:tcBorders>
              <w:top w:val="nil"/>
              <w:left w:val="nil"/>
              <w:bottom w:val="single" w:sz="8" w:space="0" w:color="000000"/>
              <w:right w:val="nil"/>
            </w:tcBorders>
            <w:shd w:val="clear" w:color="auto" w:fill="auto"/>
            <w:tcMar>
              <w:top w:w="27" w:type="dxa"/>
              <w:left w:w="186" w:type="dxa"/>
              <w:bottom w:w="0" w:type="dxa"/>
              <w:right w:w="186" w:type="dxa"/>
            </w:tcMar>
            <w:vAlign w:val="center"/>
            <w:hideMark/>
          </w:tcPr>
          <w:p w14:paraId="2AC3A86B" w14:textId="77777777" w:rsidR="00F34DD2" w:rsidRPr="001E3745" w:rsidRDefault="00F34DD2" w:rsidP="00A601C5">
            <w:pPr>
              <w:spacing w:after="0" w:line="240" w:lineRule="auto"/>
              <w:ind w:left="187"/>
              <w:rPr>
                <w:rFonts w:ascii="Arial" w:hAnsi="Arial"/>
                <w:sz w:val="20"/>
                <w:lang w:val="en-GB"/>
              </w:rPr>
            </w:pPr>
            <w:r w:rsidRPr="001E3745">
              <w:rPr>
                <w:rFonts w:ascii="Arial" w:hAnsi="Arial"/>
                <w:color w:val="000000" w:themeColor="text1"/>
                <w:kern w:val="24"/>
                <w:sz w:val="20"/>
                <w:lang w:val="en-GB"/>
              </w:rPr>
              <w:t>TDI responders (OR [95% CI])</w:t>
            </w:r>
          </w:p>
        </w:tc>
        <w:tc>
          <w:tcPr>
            <w:tcW w:w="1730" w:type="pct"/>
            <w:gridSpan w:val="2"/>
            <w:tcBorders>
              <w:top w:val="nil"/>
              <w:left w:val="nil"/>
              <w:bottom w:val="single" w:sz="8" w:space="0" w:color="000000"/>
              <w:right w:val="single" w:sz="8" w:space="0" w:color="000000"/>
            </w:tcBorders>
            <w:shd w:val="clear" w:color="auto" w:fill="auto"/>
            <w:tcMar>
              <w:top w:w="27" w:type="dxa"/>
              <w:left w:w="121" w:type="dxa"/>
              <w:bottom w:w="0" w:type="dxa"/>
              <w:right w:w="121" w:type="dxa"/>
            </w:tcMar>
            <w:vAlign w:val="center"/>
            <w:hideMark/>
          </w:tcPr>
          <w:p w14:paraId="2F20D5A8" w14:textId="77777777" w:rsidR="00F34DD2" w:rsidRPr="001E3745" w:rsidRDefault="00F34DD2" w:rsidP="005F015C">
            <w:pPr>
              <w:spacing w:after="0" w:line="240" w:lineRule="auto"/>
              <w:jc w:val="center"/>
              <w:rPr>
                <w:rFonts w:ascii="Arial" w:hAnsi="Arial"/>
                <w:sz w:val="20"/>
                <w:lang w:val="en-GB"/>
              </w:rPr>
            </w:pPr>
            <w:r w:rsidRPr="001E3745">
              <w:rPr>
                <w:rFonts w:ascii="Arial" w:hAnsi="Arial"/>
                <w:color w:val="000000" w:themeColor="text1"/>
                <w:kern w:val="24"/>
                <w:sz w:val="20"/>
                <w:lang w:val="en-GB"/>
              </w:rPr>
              <w:t>4.58 (2.86 to 7.34)</w:t>
            </w:r>
          </w:p>
        </w:tc>
        <w:tc>
          <w:tcPr>
            <w:tcW w:w="1971" w:type="pct"/>
            <w:gridSpan w:val="2"/>
            <w:tcBorders>
              <w:top w:val="nil"/>
              <w:left w:val="single" w:sz="8" w:space="0" w:color="000000"/>
              <w:bottom w:val="single" w:sz="8" w:space="0" w:color="000000"/>
              <w:right w:val="nil"/>
            </w:tcBorders>
            <w:shd w:val="clear" w:color="auto" w:fill="auto"/>
            <w:tcMar>
              <w:top w:w="27" w:type="dxa"/>
              <w:left w:w="121" w:type="dxa"/>
              <w:bottom w:w="0" w:type="dxa"/>
              <w:right w:w="121" w:type="dxa"/>
            </w:tcMar>
            <w:vAlign w:val="center"/>
            <w:hideMark/>
          </w:tcPr>
          <w:p w14:paraId="19B15E22" w14:textId="77777777" w:rsidR="00F34DD2" w:rsidRPr="001E3745" w:rsidRDefault="00F34DD2" w:rsidP="0020456B">
            <w:pPr>
              <w:spacing w:after="0" w:line="240" w:lineRule="auto"/>
              <w:jc w:val="center"/>
              <w:rPr>
                <w:rFonts w:ascii="Arial" w:hAnsi="Arial"/>
                <w:sz w:val="20"/>
                <w:lang w:val="en-GB"/>
              </w:rPr>
            </w:pPr>
            <w:r w:rsidRPr="001E3745">
              <w:rPr>
                <w:rFonts w:ascii="Arial" w:hAnsi="Arial"/>
                <w:color w:val="000000" w:themeColor="text1"/>
                <w:kern w:val="24"/>
                <w:sz w:val="20"/>
                <w:lang w:val="en-GB"/>
              </w:rPr>
              <w:t>2.57 (2.00 to 3.30)</w:t>
            </w:r>
          </w:p>
        </w:tc>
      </w:tr>
      <w:tr w:rsidR="00F34DD2" w:rsidRPr="001A6367" w14:paraId="70A776C9" w14:textId="77777777" w:rsidTr="001E3745">
        <w:trPr>
          <w:trHeight w:val="1061"/>
        </w:trPr>
        <w:tc>
          <w:tcPr>
            <w:tcW w:w="5000" w:type="pct"/>
            <w:gridSpan w:val="5"/>
            <w:tcBorders>
              <w:top w:val="single" w:sz="8" w:space="0" w:color="000000"/>
              <w:left w:val="nil"/>
              <w:bottom w:val="single" w:sz="8" w:space="0" w:color="000000"/>
              <w:right w:val="nil"/>
            </w:tcBorders>
            <w:shd w:val="clear" w:color="auto" w:fill="auto"/>
            <w:tcMar>
              <w:top w:w="27" w:type="dxa"/>
              <w:left w:w="186" w:type="dxa"/>
              <w:bottom w:w="0" w:type="dxa"/>
              <w:right w:w="186" w:type="dxa"/>
            </w:tcMar>
            <w:vAlign w:val="center"/>
            <w:hideMark/>
          </w:tcPr>
          <w:p w14:paraId="566DF82D" w14:textId="57C592FF" w:rsidR="00F34DD2" w:rsidRDefault="00F34DD2" w:rsidP="00FB4D8C">
            <w:pPr>
              <w:spacing w:after="0" w:line="240" w:lineRule="auto"/>
              <w:rPr>
                <w:rFonts w:ascii="Arial" w:eastAsia="Times New Roman" w:hAnsi="Arial" w:cs="Arial"/>
                <w:color w:val="000000" w:themeColor="text1"/>
                <w:kern w:val="24"/>
                <w:sz w:val="20"/>
                <w:szCs w:val="20"/>
                <w:lang w:val="en-GB"/>
              </w:rPr>
            </w:pPr>
            <w:r w:rsidRPr="00FD6711">
              <w:rPr>
                <w:rFonts w:ascii="Arial" w:eastAsia="Times New Roman" w:hAnsi="Arial" w:cs="Arial"/>
                <w:color w:val="000000"/>
                <w:kern w:val="24"/>
                <w:position w:val="7"/>
                <w:sz w:val="20"/>
                <w:szCs w:val="20"/>
                <w:vertAlign w:val="superscript"/>
                <w:lang w:val="en-GB"/>
              </w:rPr>
              <w:t>#</w:t>
            </w:r>
            <w:r w:rsidRPr="00FD6711">
              <w:rPr>
                <w:rFonts w:ascii="Arial" w:eastAsia="Times New Roman" w:hAnsi="Arial" w:cs="Arial"/>
                <w:color w:val="000000"/>
                <w:kern w:val="24"/>
                <w:sz w:val="20"/>
                <w:szCs w:val="20"/>
                <w:lang w:val="en-GB"/>
              </w:rPr>
              <w:t xml:space="preserve">Non-inferiority testing and patient had </w:t>
            </w:r>
            <w:r>
              <w:rPr>
                <w:rFonts w:ascii="Arial" w:eastAsia="Times New Roman" w:hAnsi="Arial" w:cs="Arial"/>
                <w:color w:val="000000"/>
                <w:kern w:val="24"/>
                <w:sz w:val="20"/>
                <w:szCs w:val="20"/>
                <w:lang w:val="en-GB"/>
              </w:rPr>
              <w:t xml:space="preserve">an </w:t>
            </w:r>
            <w:r w:rsidRPr="00FD6711">
              <w:rPr>
                <w:rFonts w:ascii="Arial" w:eastAsia="Times New Roman" w:hAnsi="Arial" w:cs="Arial"/>
                <w:color w:val="000000"/>
                <w:kern w:val="24"/>
                <w:sz w:val="20"/>
                <w:szCs w:val="20"/>
                <w:lang w:val="en-GB"/>
              </w:rPr>
              <w:t xml:space="preserve">mMRC </w:t>
            </w:r>
            <w:r>
              <w:rPr>
                <w:rFonts w:ascii="Arial" w:eastAsia="Times New Roman" w:hAnsi="Arial" w:cs="Arial"/>
                <w:color w:val="000000"/>
                <w:kern w:val="24"/>
                <w:sz w:val="20"/>
                <w:szCs w:val="20"/>
                <w:lang w:val="en-GB"/>
              </w:rPr>
              <w:t xml:space="preserve">score </w:t>
            </w:r>
            <w:r w:rsidRPr="00FD6711">
              <w:rPr>
                <w:rFonts w:ascii="Arial" w:eastAsia="Times New Roman" w:hAnsi="Arial" w:cs="Arial"/>
                <w:color w:val="000000"/>
                <w:kern w:val="24"/>
                <w:sz w:val="20"/>
                <w:szCs w:val="20"/>
                <w:lang w:val="en-GB"/>
              </w:rPr>
              <w:t xml:space="preserve">= 1. </w:t>
            </w:r>
            <w:r w:rsidRPr="00FD6711">
              <w:rPr>
                <w:rFonts w:ascii="Arial" w:eastAsia="Times New Roman" w:hAnsi="Arial" w:cs="Arial"/>
                <w:color w:val="000000" w:themeColor="text1"/>
                <w:kern w:val="24"/>
                <w:sz w:val="20"/>
                <w:szCs w:val="20"/>
                <w:lang w:val="en-GB"/>
              </w:rPr>
              <w:t xml:space="preserve">Data are presented as number of incidents (%), unless otherwise </w:t>
            </w:r>
            <w:r>
              <w:rPr>
                <w:rFonts w:ascii="Arial" w:eastAsia="Times New Roman" w:hAnsi="Arial" w:cs="Arial"/>
                <w:color w:val="000000" w:themeColor="text1"/>
                <w:kern w:val="24"/>
                <w:sz w:val="20"/>
                <w:szCs w:val="20"/>
                <w:lang w:val="en-GB"/>
              </w:rPr>
              <w:t>stated</w:t>
            </w:r>
            <w:r w:rsidRPr="00FD6711">
              <w:rPr>
                <w:rFonts w:ascii="Arial" w:eastAsia="Times New Roman" w:hAnsi="Arial" w:cs="Arial"/>
                <w:color w:val="000000" w:themeColor="text1"/>
                <w:kern w:val="24"/>
                <w:sz w:val="20"/>
                <w:szCs w:val="20"/>
                <w:lang w:val="en-GB"/>
              </w:rPr>
              <w:t xml:space="preserve">. </w:t>
            </w:r>
          </w:p>
          <w:p w14:paraId="53D6C098" w14:textId="77777777" w:rsidR="00F34DD2" w:rsidRPr="001A6367" w:rsidRDefault="00F34DD2" w:rsidP="00FB4D8C">
            <w:pPr>
              <w:spacing w:after="0" w:line="240" w:lineRule="auto"/>
              <w:rPr>
                <w:rFonts w:ascii="Arial" w:eastAsia="Times New Roman" w:hAnsi="Arial" w:cs="Arial"/>
                <w:sz w:val="20"/>
                <w:szCs w:val="20"/>
                <w:lang w:val="en-GB"/>
              </w:rPr>
            </w:pPr>
            <w:r w:rsidRPr="00FD6711">
              <w:rPr>
                <w:rFonts w:ascii="Arial" w:eastAsia="Times New Roman" w:hAnsi="Arial" w:cs="Arial"/>
                <w:color w:val="000000" w:themeColor="text1"/>
                <w:kern w:val="24"/>
                <w:sz w:val="20"/>
                <w:szCs w:val="20"/>
                <w:lang w:val="en-GB"/>
              </w:rPr>
              <w:t>CI, confidence interval; FEV</w:t>
            </w:r>
            <w:r w:rsidRPr="00FD6711">
              <w:rPr>
                <w:rFonts w:ascii="Arial" w:eastAsia="Times New Roman" w:hAnsi="Arial" w:cs="Arial"/>
                <w:color w:val="000000" w:themeColor="text1"/>
                <w:kern w:val="24"/>
                <w:position w:val="-6"/>
                <w:sz w:val="20"/>
                <w:szCs w:val="20"/>
                <w:vertAlign w:val="subscript"/>
                <w:lang w:val="en-GB"/>
              </w:rPr>
              <w:t>1</w:t>
            </w:r>
            <w:r w:rsidRPr="00FD6711">
              <w:rPr>
                <w:rFonts w:ascii="Arial" w:eastAsia="Times New Roman" w:hAnsi="Arial" w:cs="Arial"/>
                <w:color w:val="000000" w:themeColor="text1"/>
                <w:kern w:val="24"/>
                <w:sz w:val="20"/>
                <w:szCs w:val="20"/>
                <w:lang w:val="en-GB"/>
              </w:rPr>
              <w:t xml:space="preserve">, forced expiratory volume in 1 second; GLY, glycopyrronium; </w:t>
            </w:r>
            <w:r>
              <w:rPr>
                <w:rFonts w:ascii="Arial" w:eastAsia="Times New Roman" w:hAnsi="Arial" w:cs="Arial"/>
                <w:color w:val="000000" w:themeColor="text1"/>
                <w:kern w:val="24"/>
                <w:sz w:val="20"/>
                <w:szCs w:val="20"/>
                <w:lang w:val="en-GB"/>
              </w:rPr>
              <w:t xml:space="preserve">ITT, intention to treat; </w:t>
            </w:r>
            <w:r w:rsidRPr="00FD6711">
              <w:rPr>
                <w:rFonts w:ascii="Arial" w:eastAsia="Times New Roman" w:hAnsi="Arial" w:cs="Arial"/>
                <w:color w:val="000000" w:themeColor="text1"/>
                <w:kern w:val="24"/>
                <w:sz w:val="20"/>
                <w:szCs w:val="20"/>
                <w:lang w:val="en-GB"/>
              </w:rPr>
              <w:t>LABA, long-acting β</w:t>
            </w:r>
            <w:r w:rsidRPr="00FD6711">
              <w:rPr>
                <w:rFonts w:ascii="Arial" w:eastAsia="Times New Roman" w:hAnsi="Arial" w:cs="Arial"/>
                <w:color w:val="000000" w:themeColor="text1"/>
                <w:kern w:val="24"/>
                <w:position w:val="-6"/>
                <w:sz w:val="20"/>
                <w:szCs w:val="20"/>
                <w:vertAlign w:val="subscript"/>
                <w:lang w:val="en-GB"/>
              </w:rPr>
              <w:t>2</w:t>
            </w:r>
            <w:r w:rsidRPr="00FD6711">
              <w:rPr>
                <w:rFonts w:ascii="Arial" w:eastAsia="Times New Roman" w:hAnsi="Arial" w:cs="Arial"/>
                <w:color w:val="000000" w:themeColor="text1"/>
                <w:kern w:val="24"/>
                <w:sz w:val="20"/>
                <w:szCs w:val="20"/>
                <w:lang w:val="en-GB"/>
              </w:rPr>
              <w:t xml:space="preserve">-agonist; LAMA, long-acting muscarinic antagonist; MCID, minimum clinically important difference; mMRC, modified Medical Research Council; OR, odds ratio; </w:t>
            </w:r>
            <w:r w:rsidRPr="001A6367">
              <w:rPr>
                <w:rFonts w:ascii="Arial" w:eastAsia="Times New Roman" w:hAnsi="Arial" w:cs="Arial"/>
                <w:color w:val="000000" w:themeColor="text1"/>
                <w:kern w:val="24"/>
                <w:sz w:val="20"/>
                <w:szCs w:val="20"/>
                <w:lang w:val="en-GB"/>
              </w:rPr>
              <w:t>SABA, short-acting β</w:t>
            </w:r>
            <w:r w:rsidRPr="001A6367">
              <w:rPr>
                <w:rFonts w:ascii="Arial" w:eastAsia="Times New Roman" w:hAnsi="Arial" w:cs="Arial"/>
                <w:color w:val="000000" w:themeColor="text1"/>
                <w:kern w:val="24"/>
                <w:position w:val="-6"/>
                <w:sz w:val="20"/>
                <w:szCs w:val="20"/>
                <w:vertAlign w:val="subscript"/>
                <w:lang w:val="en-GB"/>
              </w:rPr>
              <w:t>2</w:t>
            </w:r>
            <w:r w:rsidRPr="001A6367">
              <w:rPr>
                <w:rFonts w:ascii="Arial" w:eastAsia="Times New Roman" w:hAnsi="Arial" w:cs="Arial"/>
                <w:color w:val="000000" w:themeColor="text1"/>
                <w:kern w:val="24"/>
                <w:sz w:val="20"/>
                <w:szCs w:val="20"/>
                <w:lang w:val="en-GB"/>
              </w:rPr>
              <w:t>-agonist; SAMA, short-acting muscarinic antagonist; TDI, transition dyspnoea index</w:t>
            </w:r>
          </w:p>
        </w:tc>
      </w:tr>
    </w:tbl>
    <w:p w14:paraId="6384E89D" w14:textId="431AE2A2" w:rsidR="00F34DD2" w:rsidRPr="00F20375" w:rsidRDefault="00F34DD2" w:rsidP="00A70E88">
      <w:pPr>
        <w:rPr>
          <w:rFonts w:ascii="Arial" w:hAnsi="Arial" w:cs="Arial"/>
          <w:b/>
          <w:lang w:val="en-GB"/>
        </w:rPr>
      </w:pPr>
      <w:r w:rsidRPr="00F20375">
        <w:rPr>
          <w:rFonts w:ascii="Arial" w:hAnsi="Arial" w:cs="Arial"/>
          <w:b/>
          <w:lang w:val="en-GB"/>
        </w:rPr>
        <w:br w:type="page"/>
      </w:r>
      <w:r w:rsidRPr="00F20375">
        <w:rPr>
          <w:rFonts w:ascii="Arial" w:hAnsi="Arial" w:cs="Arial"/>
          <w:b/>
          <w:lang w:val="en-GB"/>
        </w:rPr>
        <w:lastRenderedPageBreak/>
        <w:t xml:space="preserve">Table S3. </w:t>
      </w:r>
      <w:r w:rsidRPr="00470C74">
        <w:rPr>
          <w:rFonts w:ascii="Arial" w:hAnsi="Arial" w:cs="Arial"/>
          <w:b/>
          <w:lang w:val="en-GB"/>
        </w:rPr>
        <w:t xml:space="preserve">Effects of a </w:t>
      </w:r>
      <w:r>
        <w:rPr>
          <w:rFonts w:ascii="Arial" w:hAnsi="Arial" w:cs="Arial"/>
          <w:b/>
          <w:lang w:val="en-GB"/>
        </w:rPr>
        <w:t xml:space="preserve">direct switch to </w:t>
      </w:r>
      <w:r w:rsidRPr="00470C74">
        <w:rPr>
          <w:rFonts w:ascii="Arial" w:hAnsi="Arial" w:cs="Arial"/>
          <w:b/>
          <w:lang w:val="en-GB"/>
        </w:rPr>
        <w:t xml:space="preserve">GLY from baseline treatments on CAT, CCQ and rescue medication use </w:t>
      </w:r>
      <w:r w:rsidRPr="00F20375">
        <w:rPr>
          <w:rFonts w:ascii="Arial" w:hAnsi="Arial" w:cs="Arial"/>
          <w:b/>
          <w:lang w:val="en-GB"/>
        </w:rPr>
        <w:t>(</w:t>
      </w:r>
      <w:r>
        <w:rPr>
          <w:rFonts w:ascii="Arial" w:hAnsi="Arial" w:cs="Arial"/>
          <w:b/>
          <w:lang w:val="en-GB"/>
        </w:rPr>
        <w:t>ITT population)</w:t>
      </w:r>
    </w:p>
    <w:tbl>
      <w:tblPr>
        <w:tblW w:w="5199" w:type="pct"/>
        <w:tblCellMar>
          <w:left w:w="0" w:type="dxa"/>
          <w:right w:w="0" w:type="dxa"/>
        </w:tblCellMar>
        <w:tblLook w:val="0600" w:firstRow="0" w:lastRow="0" w:firstColumn="0" w:lastColumn="0" w:noHBand="1" w:noVBand="1"/>
      </w:tblPr>
      <w:tblGrid>
        <w:gridCol w:w="2880"/>
        <w:gridCol w:w="1217"/>
        <w:gridCol w:w="674"/>
        <w:gridCol w:w="1351"/>
        <w:gridCol w:w="1464"/>
        <w:gridCol w:w="426"/>
        <w:gridCol w:w="1721"/>
      </w:tblGrid>
      <w:tr w:rsidR="001E3745" w:rsidRPr="001A6367" w14:paraId="36E876F8" w14:textId="77777777" w:rsidTr="001E3745">
        <w:trPr>
          <w:trHeight w:val="380"/>
        </w:trPr>
        <w:tc>
          <w:tcPr>
            <w:tcW w:w="1480" w:type="pct"/>
            <w:tcBorders>
              <w:top w:val="single" w:sz="8" w:space="0" w:color="000000"/>
              <w:left w:val="nil"/>
              <w:bottom w:val="single" w:sz="8" w:space="0" w:color="000000"/>
              <w:right w:val="nil"/>
            </w:tcBorders>
            <w:shd w:val="clear" w:color="auto" w:fill="auto"/>
            <w:tcMar>
              <w:top w:w="23" w:type="dxa"/>
              <w:left w:w="155" w:type="dxa"/>
              <w:bottom w:w="0" w:type="dxa"/>
              <w:right w:w="155" w:type="dxa"/>
            </w:tcMar>
            <w:hideMark/>
          </w:tcPr>
          <w:p w14:paraId="7CDCC8F1" w14:textId="77777777" w:rsidR="00F34DD2" w:rsidRPr="001E3745" w:rsidRDefault="00F34DD2" w:rsidP="001A16EE">
            <w:pPr>
              <w:spacing w:after="0" w:line="240" w:lineRule="auto"/>
              <w:rPr>
                <w:rFonts w:ascii="Arial" w:hAnsi="Arial"/>
                <w:sz w:val="20"/>
                <w:lang w:val="en-GB"/>
              </w:rPr>
            </w:pPr>
          </w:p>
        </w:tc>
        <w:tc>
          <w:tcPr>
            <w:tcW w:w="971" w:type="pct"/>
            <w:gridSpan w:val="2"/>
            <w:tcBorders>
              <w:top w:val="single" w:sz="8" w:space="0" w:color="000000"/>
              <w:left w:val="nil"/>
              <w:bottom w:val="single" w:sz="8" w:space="0" w:color="000000"/>
              <w:right w:val="nil"/>
            </w:tcBorders>
            <w:shd w:val="clear" w:color="auto" w:fill="auto"/>
            <w:tcMar>
              <w:top w:w="23" w:type="dxa"/>
              <w:left w:w="155" w:type="dxa"/>
              <w:bottom w:w="0" w:type="dxa"/>
              <w:right w:w="155" w:type="dxa"/>
            </w:tcMar>
            <w:hideMark/>
          </w:tcPr>
          <w:p w14:paraId="3D15B3B2" w14:textId="77777777" w:rsidR="00F34DD2" w:rsidRPr="001E3745" w:rsidRDefault="00F34DD2" w:rsidP="001A16EE">
            <w:pPr>
              <w:spacing w:after="0" w:line="240" w:lineRule="auto"/>
              <w:jc w:val="center"/>
              <w:rPr>
                <w:rFonts w:ascii="Arial" w:hAnsi="Arial"/>
                <w:sz w:val="20"/>
                <w:lang w:val="en-GB"/>
              </w:rPr>
            </w:pPr>
            <w:r w:rsidRPr="001E3745">
              <w:rPr>
                <w:rFonts w:ascii="Arial" w:hAnsi="Arial"/>
                <w:b/>
                <w:color w:val="000000" w:themeColor="text1"/>
                <w:kern w:val="24"/>
                <w:sz w:val="20"/>
                <w:lang w:val="en-GB"/>
              </w:rPr>
              <w:t>SABA and/or SAMA</w:t>
            </w:r>
            <w:r w:rsidRPr="001E3745">
              <w:rPr>
                <w:rFonts w:ascii="Arial" w:hAnsi="Arial"/>
                <w:b/>
                <w:color w:val="000000" w:themeColor="text1"/>
                <w:kern w:val="24"/>
                <w:sz w:val="20"/>
                <w:lang w:val="en-GB"/>
              </w:rPr>
              <w:br/>
              <w:t>n = 122</w:t>
            </w:r>
          </w:p>
        </w:tc>
        <w:tc>
          <w:tcPr>
            <w:tcW w:w="693" w:type="pct"/>
            <w:tcBorders>
              <w:top w:val="single" w:sz="8" w:space="0" w:color="000000"/>
              <w:left w:val="nil"/>
              <w:bottom w:val="single" w:sz="8" w:space="0" w:color="000000"/>
              <w:right w:val="single" w:sz="8" w:space="0" w:color="000000"/>
            </w:tcBorders>
            <w:shd w:val="clear" w:color="auto" w:fill="auto"/>
            <w:tcMar>
              <w:top w:w="23" w:type="dxa"/>
              <w:left w:w="155" w:type="dxa"/>
              <w:bottom w:w="0" w:type="dxa"/>
              <w:right w:w="155" w:type="dxa"/>
            </w:tcMar>
            <w:hideMark/>
          </w:tcPr>
          <w:p w14:paraId="049B8E1B" w14:textId="77777777" w:rsidR="00F34DD2" w:rsidRPr="001E3745" w:rsidRDefault="00F34DD2" w:rsidP="001A16EE">
            <w:pPr>
              <w:spacing w:after="0" w:line="240" w:lineRule="auto"/>
              <w:jc w:val="center"/>
              <w:rPr>
                <w:rFonts w:ascii="Arial" w:hAnsi="Arial"/>
                <w:sz w:val="20"/>
                <w:lang w:val="en-GB"/>
              </w:rPr>
            </w:pPr>
            <w:r w:rsidRPr="001E3745">
              <w:rPr>
                <w:rFonts w:ascii="Arial" w:hAnsi="Arial"/>
                <w:b/>
                <w:color w:val="000000" w:themeColor="text1"/>
                <w:kern w:val="24"/>
                <w:sz w:val="20"/>
                <w:lang w:val="en-GB"/>
              </w:rPr>
              <w:t>GLY</w:t>
            </w:r>
            <w:r w:rsidRPr="001E3745">
              <w:rPr>
                <w:rFonts w:ascii="Arial" w:hAnsi="Arial"/>
                <w:b/>
                <w:color w:val="000000" w:themeColor="text1"/>
                <w:kern w:val="24"/>
                <w:sz w:val="20"/>
                <w:lang w:val="en-GB"/>
              </w:rPr>
              <w:br/>
              <w:t>n = 369</w:t>
            </w:r>
          </w:p>
        </w:tc>
        <w:tc>
          <w:tcPr>
            <w:tcW w:w="971" w:type="pct"/>
            <w:gridSpan w:val="2"/>
            <w:tcBorders>
              <w:top w:val="single" w:sz="8" w:space="0" w:color="000000"/>
              <w:left w:val="single" w:sz="8" w:space="0" w:color="000000"/>
              <w:bottom w:val="single" w:sz="8" w:space="0" w:color="000000"/>
              <w:right w:val="nil"/>
            </w:tcBorders>
            <w:shd w:val="clear" w:color="auto" w:fill="auto"/>
            <w:tcMar>
              <w:top w:w="23" w:type="dxa"/>
              <w:left w:w="155" w:type="dxa"/>
              <w:bottom w:w="0" w:type="dxa"/>
              <w:right w:w="155" w:type="dxa"/>
            </w:tcMar>
            <w:hideMark/>
          </w:tcPr>
          <w:p w14:paraId="5EA75E80" w14:textId="77777777" w:rsidR="00F34DD2" w:rsidRPr="001E3745" w:rsidRDefault="00F34DD2" w:rsidP="001A16EE">
            <w:pPr>
              <w:spacing w:after="0" w:line="240" w:lineRule="auto"/>
              <w:jc w:val="center"/>
              <w:rPr>
                <w:rFonts w:ascii="Arial" w:hAnsi="Arial"/>
                <w:sz w:val="20"/>
                <w:lang w:val="en-GB"/>
              </w:rPr>
            </w:pPr>
            <w:r w:rsidRPr="001E3745">
              <w:rPr>
                <w:rFonts w:ascii="Arial" w:hAnsi="Arial"/>
                <w:b/>
                <w:color w:val="000000" w:themeColor="text1"/>
                <w:kern w:val="24"/>
                <w:sz w:val="20"/>
                <w:lang w:val="en-GB"/>
              </w:rPr>
              <w:t>LABA or LAMA</w:t>
            </w:r>
            <w:r w:rsidRPr="001E3745">
              <w:rPr>
                <w:rFonts w:ascii="Arial" w:hAnsi="Arial"/>
                <w:b/>
                <w:color w:val="000000" w:themeColor="text1"/>
                <w:kern w:val="24"/>
                <w:sz w:val="20"/>
                <w:vertAlign w:val="superscript"/>
                <w:lang w:val="en-GB"/>
              </w:rPr>
              <w:t>#</w:t>
            </w:r>
            <w:r w:rsidRPr="001E3745">
              <w:rPr>
                <w:rFonts w:ascii="Arial" w:hAnsi="Arial"/>
                <w:b/>
                <w:color w:val="000000" w:themeColor="text1"/>
                <w:kern w:val="24"/>
                <w:sz w:val="20"/>
                <w:lang w:val="en-GB"/>
              </w:rPr>
              <w:br/>
              <w:t>n = 420</w:t>
            </w:r>
          </w:p>
        </w:tc>
        <w:tc>
          <w:tcPr>
            <w:tcW w:w="885" w:type="pct"/>
            <w:tcBorders>
              <w:top w:val="single" w:sz="8" w:space="0" w:color="000000"/>
              <w:left w:val="nil"/>
              <w:bottom w:val="single" w:sz="8" w:space="0" w:color="000000"/>
              <w:right w:val="nil"/>
            </w:tcBorders>
            <w:shd w:val="clear" w:color="auto" w:fill="auto"/>
            <w:tcMar>
              <w:top w:w="23" w:type="dxa"/>
              <w:left w:w="155" w:type="dxa"/>
              <w:bottom w:w="0" w:type="dxa"/>
              <w:right w:w="155" w:type="dxa"/>
            </w:tcMar>
            <w:hideMark/>
          </w:tcPr>
          <w:p w14:paraId="55E13349" w14:textId="77777777" w:rsidR="00F34DD2" w:rsidRPr="001E3745" w:rsidRDefault="00F34DD2" w:rsidP="001A16EE">
            <w:pPr>
              <w:spacing w:after="0" w:line="240" w:lineRule="auto"/>
              <w:jc w:val="center"/>
              <w:rPr>
                <w:rFonts w:ascii="Arial" w:hAnsi="Arial"/>
                <w:sz w:val="20"/>
                <w:lang w:val="en-GB"/>
              </w:rPr>
            </w:pPr>
            <w:r w:rsidRPr="001E3745">
              <w:rPr>
                <w:rFonts w:ascii="Arial" w:hAnsi="Arial"/>
                <w:b/>
                <w:color w:val="000000" w:themeColor="text1"/>
                <w:kern w:val="24"/>
                <w:sz w:val="20"/>
                <w:lang w:val="en-GB"/>
              </w:rPr>
              <w:t>GLY</w:t>
            </w:r>
            <w:r w:rsidRPr="001E3745">
              <w:rPr>
                <w:rFonts w:ascii="Arial" w:hAnsi="Arial"/>
                <w:b/>
                <w:color w:val="000000" w:themeColor="text1"/>
                <w:kern w:val="24"/>
                <w:sz w:val="20"/>
                <w:vertAlign w:val="superscript"/>
                <w:lang w:val="en-GB"/>
              </w:rPr>
              <w:t>#</w:t>
            </w:r>
          </w:p>
          <w:p w14:paraId="3B7948BE" w14:textId="77777777" w:rsidR="00F34DD2" w:rsidRPr="001E3745" w:rsidRDefault="00F34DD2" w:rsidP="001A16EE">
            <w:pPr>
              <w:spacing w:after="0" w:line="240" w:lineRule="auto"/>
              <w:jc w:val="center"/>
              <w:rPr>
                <w:rFonts w:ascii="Arial" w:hAnsi="Arial"/>
                <w:sz w:val="20"/>
                <w:lang w:val="en-GB"/>
              </w:rPr>
            </w:pPr>
            <w:r w:rsidRPr="001E3745">
              <w:rPr>
                <w:rFonts w:ascii="Arial" w:hAnsi="Arial"/>
                <w:b/>
                <w:color w:val="000000" w:themeColor="text1"/>
                <w:kern w:val="24"/>
                <w:sz w:val="20"/>
                <w:lang w:val="en-GB"/>
              </w:rPr>
              <w:t xml:space="preserve">n = 1254 </w:t>
            </w:r>
          </w:p>
        </w:tc>
      </w:tr>
      <w:tr w:rsidR="001E3745" w:rsidRPr="001A6367" w14:paraId="5CF76FAA" w14:textId="77777777" w:rsidTr="001E3745">
        <w:trPr>
          <w:trHeight w:val="745"/>
        </w:trPr>
        <w:tc>
          <w:tcPr>
            <w:tcW w:w="1480" w:type="pct"/>
            <w:tcBorders>
              <w:top w:val="single" w:sz="8" w:space="0" w:color="000000"/>
              <w:left w:val="nil"/>
              <w:bottom w:val="nil"/>
              <w:right w:val="nil"/>
            </w:tcBorders>
            <w:shd w:val="clear" w:color="auto" w:fill="auto"/>
            <w:tcMar>
              <w:top w:w="23" w:type="dxa"/>
              <w:left w:w="155" w:type="dxa"/>
              <w:bottom w:w="0" w:type="dxa"/>
              <w:right w:w="155" w:type="dxa"/>
            </w:tcMar>
            <w:vAlign w:val="center"/>
            <w:hideMark/>
          </w:tcPr>
          <w:p w14:paraId="0F28C8AF" w14:textId="4A2FEAC6" w:rsidR="00F34DD2" w:rsidRPr="001E3745" w:rsidRDefault="00F34DD2" w:rsidP="002E1F74">
            <w:pPr>
              <w:spacing w:after="0" w:line="240" w:lineRule="auto"/>
              <w:rPr>
                <w:rFonts w:ascii="Arial" w:hAnsi="Arial"/>
                <w:sz w:val="20"/>
                <w:lang w:val="en-GB"/>
              </w:rPr>
            </w:pPr>
            <w:r w:rsidRPr="001E3745">
              <w:rPr>
                <w:rFonts w:ascii="Arial" w:hAnsi="Arial"/>
                <w:color w:val="000000"/>
                <w:kern w:val="24"/>
                <w:sz w:val="20"/>
                <w:lang w:val="en-GB"/>
              </w:rPr>
              <w:t xml:space="preserve">Total CAT score, change from baseline at </w:t>
            </w:r>
            <w:r>
              <w:rPr>
                <w:rFonts w:ascii="Arial" w:eastAsia="Times New Roman" w:hAnsi="Arial" w:cs="Arial"/>
                <w:color w:val="000000"/>
                <w:kern w:val="24"/>
                <w:sz w:val="20"/>
                <w:szCs w:val="20"/>
                <w:lang w:val="en-GB"/>
              </w:rPr>
              <w:t>W</w:t>
            </w:r>
            <w:r w:rsidRPr="001A6367">
              <w:rPr>
                <w:rFonts w:ascii="Arial" w:eastAsia="Times New Roman" w:hAnsi="Arial" w:cs="Arial"/>
                <w:color w:val="000000"/>
                <w:kern w:val="24"/>
                <w:sz w:val="20"/>
                <w:szCs w:val="20"/>
                <w:lang w:val="en-GB"/>
              </w:rPr>
              <w:t>eek</w:t>
            </w:r>
            <w:r w:rsidRPr="001E3745">
              <w:rPr>
                <w:rFonts w:ascii="Arial" w:hAnsi="Arial"/>
                <w:color w:val="000000"/>
                <w:kern w:val="24"/>
                <w:sz w:val="20"/>
                <w:lang w:val="en-GB"/>
              </w:rPr>
              <w:t xml:space="preserve"> 12 </w:t>
            </w:r>
          </w:p>
        </w:tc>
        <w:tc>
          <w:tcPr>
            <w:tcW w:w="971" w:type="pct"/>
            <w:gridSpan w:val="2"/>
            <w:tcBorders>
              <w:top w:val="single" w:sz="8" w:space="0" w:color="000000"/>
              <w:left w:val="nil"/>
              <w:right w:val="nil"/>
            </w:tcBorders>
            <w:shd w:val="clear" w:color="auto" w:fill="auto"/>
            <w:tcMar>
              <w:top w:w="23" w:type="dxa"/>
              <w:left w:w="155" w:type="dxa"/>
              <w:bottom w:w="0" w:type="dxa"/>
              <w:right w:w="155" w:type="dxa"/>
            </w:tcMar>
            <w:vAlign w:val="center"/>
          </w:tcPr>
          <w:p w14:paraId="2AA7AB15" w14:textId="77777777" w:rsidR="00F34DD2" w:rsidRPr="001E3745" w:rsidRDefault="00F34DD2" w:rsidP="00A601C5">
            <w:pPr>
              <w:spacing w:after="0" w:line="240" w:lineRule="auto"/>
              <w:jc w:val="center"/>
              <w:rPr>
                <w:rFonts w:ascii="Arial" w:hAnsi="Arial"/>
                <w:sz w:val="20"/>
                <w:lang w:val="en-GB"/>
              </w:rPr>
            </w:pPr>
            <w:r w:rsidRPr="001E3745">
              <w:rPr>
                <w:rFonts w:ascii="Arial" w:hAnsi="Arial"/>
                <w:color w:val="000000"/>
                <w:kern w:val="24"/>
                <w:sz w:val="20"/>
                <w:lang w:val="en-GB"/>
              </w:rPr>
              <w:t xml:space="preserve">0.1 (4.6) </w:t>
            </w:r>
          </w:p>
        </w:tc>
        <w:tc>
          <w:tcPr>
            <w:tcW w:w="693" w:type="pct"/>
            <w:tcBorders>
              <w:top w:val="single" w:sz="8" w:space="0" w:color="000000"/>
              <w:left w:val="nil"/>
              <w:right w:val="single" w:sz="8" w:space="0" w:color="000000"/>
            </w:tcBorders>
            <w:shd w:val="clear" w:color="auto" w:fill="auto"/>
            <w:tcMar>
              <w:top w:w="23" w:type="dxa"/>
              <w:left w:w="155" w:type="dxa"/>
              <w:bottom w:w="0" w:type="dxa"/>
              <w:right w:w="155" w:type="dxa"/>
            </w:tcMar>
            <w:vAlign w:val="center"/>
          </w:tcPr>
          <w:p w14:paraId="7D5AFF5F" w14:textId="77777777" w:rsidR="00F34DD2" w:rsidRPr="001E3745" w:rsidRDefault="00F34DD2" w:rsidP="00CE29D9">
            <w:pPr>
              <w:spacing w:after="0" w:line="240" w:lineRule="auto"/>
              <w:jc w:val="center"/>
              <w:rPr>
                <w:rFonts w:ascii="Arial" w:hAnsi="Arial"/>
                <w:sz w:val="20"/>
                <w:lang w:val="en-GB"/>
              </w:rPr>
            </w:pPr>
            <w:r w:rsidRPr="001E3745">
              <w:rPr>
                <w:rFonts w:ascii="Arial" w:hAnsi="Arial"/>
                <w:sz w:val="20"/>
              </w:rPr>
              <w:t>−</w:t>
            </w:r>
            <w:r w:rsidRPr="001E3745">
              <w:rPr>
                <w:rFonts w:ascii="Arial" w:hAnsi="Arial"/>
                <w:color w:val="000000"/>
                <w:kern w:val="24"/>
                <w:sz w:val="20"/>
                <w:lang w:val="en-GB"/>
              </w:rPr>
              <w:t>1.8 (5.3)***</w:t>
            </w:r>
          </w:p>
        </w:tc>
        <w:tc>
          <w:tcPr>
            <w:tcW w:w="971" w:type="pct"/>
            <w:gridSpan w:val="2"/>
            <w:tcBorders>
              <w:top w:val="single" w:sz="8" w:space="0" w:color="000000"/>
              <w:left w:val="single" w:sz="8" w:space="0" w:color="000000"/>
              <w:right w:val="nil"/>
            </w:tcBorders>
            <w:shd w:val="clear" w:color="auto" w:fill="auto"/>
            <w:tcMar>
              <w:top w:w="23" w:type="dxa"/>
              <w:left w:w="155" w:type="dxa"/>
              <w:bottom w:w="0" w:type="dxa"/>
              <w:right w:w="155" w:type="dxa"/>
            </w:tcMar>
            <w:vAlign w:val="center"/>
          </w:tcPr>
          <w:p w14:paraId="2703C8F0" w14:textId="77777777" w:rsidR="00F34DD2" w:rsidRPr="001E3745" w:rsidRDefault="00F34DD2" w:rsidP="00A601C5">
            <w:pPr>
              <w:spacing w:after="0" w:line="240" w:lineRule="auto"/>
              <w:jc w:val="center"/>
              <w:rPr>
                <w:rFonts w:ascii="Arial" w:hAnsi="Arial"/>
                <w:sz w:val="20"/>
                <w:lang w:val="en-GB"/>
              </w:rPr>
            </w:pPr>
            <w:r w:rsidRPr="001E3745">
              <w:rPr>
                <w:rFonts w:ascii="Arial" w:hAnsi="Arial"/>
                <w:color w:val="000000"/>
                <w:kern w:val="24"/>
                <w:sz w:val="20"/>
                <w:lang w:val="en-GB"/>
              </w:rPr>
              <w:t>0.1 (4.9)</w:t>
            </w:r>
          </w:p>
        </w:tc>
        <w:tc>
          <w:tcPr>
            <w:tcW w:w="885" w:type="pct"/>
            <w:tcBorders>
              <w:top w:val="single" w:sz="8" w:space="0" w:color="000000"/>
              <w:left w:val="nil"/>
              <w:right w:val="nil"/>
            </w:tcBorders>
            <w:shd w:val="clear" w:color="auto" w:fill="auto"/>
            <w:tcMar>
              <w:top w:w="23" w:type="dxa"/>
              <w:left w:w="155" w:type="dxa"/>
              <w:bottom w:w="0" w:type="dxa"/>
              <w:right w:w="155" w:type="dxa"/>
            </w:tcMar>
            <w:vAlign w:val="center"/>
          </w:tcPr>
          <w:p w14:paraId="5740688B" w14:textId="77777777" w:rsidR="00F34DD2" w:rsidRPr="001E3745" w:rsidRDefault="00F34DD2" w:rsidP="00CE29D9">
            <w:pPr>
              <w:spacing w:after="0" w:line="240" w:lineRule="auto"/>
              <w:jc w:val="center"/>
              <w:rPr>
                <w:rFonts w:ascii="Arial" w:hAnsi="Arial"/>
                <w:sz w:val="20"/>
                <w:lang w:val="en-GB"/>
              </w:rPr>
            </w:pPr>
            <w:r w:rsidRPr="001E3745">
              <w:rPr>
                <w:rFonts w:ascii="Arial" w:hAnsi="Arial"/>
                <w:sz w:val="20"/>
              </w:rPr>
              <w:t>−</w:t>
            </w:r>
            <w:r w:rsidRPr="001E3745">
              <w:rPr>
                <w:rFonts w:ascii="Arial" w:hAnsi="Arial"/>
                <w:color w:val="000000"/>
                <w:kern w:val="24"/>
                <w:sz w:val="20"/>
                <w:lang w:val="en-GB"/>
              </w:rPr>
              <w:t>0.5 (4.6)</w:t>
            </w:r>
          </w:p>
        </w:tc>
      </w:tr>
      <w:tr w:rsidR="001E3745" w:rsidRPr="001A6367" w14:paraId="089AA8E7" w14:textId="77777777" w:rsidTr="001E3745">
        <w:trPr>
          <w:trHeight w:val="742"/>
        </w:trPr>
        <w:tc>
          <w:tcPr>
            <w:tcW w:w="1480" w:type="pct"/>
            <w:tcBorders>
              <w:top w:val="nil"/>
              <w:left w:val="nil"/>
              <w:bottom w:val="nil"/>
              <w:right w:val="nil"/>
            </w:tcBorders>
            <w:shd w:val="clear" w:color="auto" w:fill="auto"/>
            <w:tcMar>
              <w:top w:w="23" w:type="dxa"/>
              <w:left w:w="155" w:type="dxa"/>
              <w:bottom w:w="0" w:type="dxa"/>
              <w:right w:w="155" w:type="dxa"/>
            </w:tcMar>
            <w:hideMark/>
          </w:tcPr>
          <w:p w14:paraId="1B83BE6D" w14:textId="77777777" w:rsidR="00F34DD2" w:rsidRPr="001E3745" w:rsidRDefault="00F34DD2" w:rsidP="00F714E0">
            <w:pPr>
              <w:spacing w:after="0" w:line="240" w:lineRule="auto"/>
              <w:rPr>
                <w:rFonts w:ascii="Arial" w:hAnsi="Arial"/>
                <w:sz w:val="20"/>
                <w:lang w:val="en-GB"/>
              </w:rPr>
            </w:pPr>
            <w:r w:rsidRPr="001E3745">
              <w:rPr>
                <w:rFonts w:ascii="Arial" w:hAnsi="Arial"/>
                <w:color w:val="000000"/>
                <w:kern w:val="24"/>
                <w:sz w:val="20"/>
                <w:lang w:val="en-GB"/>
              </w:rPr>
              <w:t>Patients who achieved MCID in total CAT score</w:t>
            </w:r>
            <w:r w:rsidRPr="001E3745">
              <w:rPr>
                <w:rFonts w:ascii="Arial" w:hAnsi="Arial"/>
                <w:color w:val="000000"/>
                <w:kern w:val="24"/>
                <w:position w:val="-8"/>
                <w:sz w:val="20"/>
                <w:vertAlign w:val="subscript"/>
                <w:lang w:val="en-GB"/>
              </w:rPr>
              <w:t xml:space="preserve"> </w:t>
            </w:r>
            <w:r w:rsidRPr="001E3745">
              <w:rPr>
                <w:rFonts w:ascii="Arial" w:hAnsi="Arial"/>
                <w:color w:val="000000"/>
                <w:kern w:val="24"/>
                <w:sz w:val="20"/>
                <w:lang w:val="en-GB"/>
              </w:rPr>
              <w:t>(a ≥2-units difference from baseline), n (%)</w:t>
            </w:r>
          </w:p>
        </w:tc>
        <w:tc>
          <w:tcPr>
            <w:tcW w:w="971" w:type="pct"/>
            <w:gridSpan w:val="2"/>
            <w:tcBorders>
              <w:top w:val="nil"/>
              <w:left w:val="nil"/>
              <w:bottom w:val="nil"/>
              <w:right w:val="nil"/>
            </w:tcBorders>
            <w:shd w:val="clear" w:color="auto" w:fill="auto"/>
            <w:tcMar>
              <w:top w:w="23" w:type="dxa"/>
              <w:left w:w="101" w:type="dxa"/>
              <w:bottom w:w="0" w:type="dxa"/>
              <w:right w:w="101" w:type="dxa"/>
            </w:tcMar>
            <w:vAlign w:val="center"/>
            <w:hideMark/>
          </w:tcPr>
          <w:p w14:paraId="282D2421" w14:textId="77777777" w:rsidR="00F34DD2" w:rsidRPr="001E3745" w:rsidRDefault="00F34DD2" w:rsidP="00FF4F15">
            <w:pPr>
              <w:spacing w:after="0" w:line="240" w:lineRule="auto"/>
              <w:jc w:val="center"/>
              <w:rPr>
                <w:rFonts w:ascii="Arial" w:hAnsi="Arial"/>
                <w:sz w:val="20"/>
                <w:lang w:val="en-GB"/>
              </w:rPr>
            </w:pPr>
            <w:r w:rsidRPr="001E3745">
              <w:rPr>
                <w:rFonts w:ascii="Arial" w:hAnsi="Arial"/>
                <w:color w:val="000000"/>
                <w:kern w:val="24"/>
                <w:sz w:val="20"/>
                <w:lang w:val="en-GB"/>
              </w:rPr>
              <w:t>38 (31.2%)</w:t>
            </w:r>
          </w:p>
        </w:tc>
        <w:tc>
          <w:tcPr>
            <w:tcW w:w="693" w:type="pct"/>
            <w:tcBorders>
              <w:top w:val="nil"/>
              <w:left w:val="nil"/>
              <w:bottom w:val="nil"/>
              <w:right w:val="single" w:sz="8" w:space="0" w:color="000000"/>
            </w:tcBorders>
            <w:shd w:val="clear" w:color="auto" w:fill="auto"/>
            <w:tcMar>
              <w:top w:w="23" w:type="dxa"/>
              <w:left w:w="101" w:type="dxa"/>
              <w:bottom w:w="0" w:type="dxa"/>
              <w:right w:w="101" w:type="dxa"/>
            </w:tcMar>
            <w:vAlign w:val="center"/>
            <w:hideMark/>
          </w:tcPr>
          <w:p w14:paraId="66CFD93B" w14:textId="77777777" w:rsidR="00F34DD2" w:rsidRPr="001E3745" w:rsidRDefault="00F34DD2" w:rsidP="00FF4F15">
            <w:pPr>
              <w:spacing w:after="0" w:line="240" w:lineRule="auto"/>
              <w:rPr>
                <w:rFonts w:ascii="Arial" w:hAnsi="Arial"/>
                <w:sz w:val="20"/>
                <w:lang w:val="en-GB"/>
              </w:rPr>
            </w:pPr>
            <w:r w:rsidRPr="001E3745">
              <w:rPr>
                <w:rFonts w:ascii="Arial" w:hAnsi="Arial"/>
                <w:color w:val="000000"/>
                <w:kern w:val="24"/>
                <w:sz w:val="20"/>
                <w:lang w:val="en-GB"/>
              </w:rPr>
              <w:t>155 (42.0%)</w:t>
            </w:r>
          </w:p>
        </w:tc>
        <w:tc>
          <w:tcPr>
            <w:tcW w:w="971" w:type="pct"/>
            <w:gridSpan w:val="2"/>
            <w:tcBorders>
              <w:top w:val="nil"/>
              <w:left w:val="single" w:sz="8" w:space="0" w:color="000000"/>
              <w:bottom w:val="nil"/>
              <w:right w:val="nil"/>
            </w:tcBorders>
            <w:shd w:val="clear" w:color="auto" w:fill="auto"/>
            <w:tcMar>
              <w:top w:w="23" w:type="dxa"/>
              <w:left w:w="101" w:type="dxa"/>
              <w:bottom w:w="0" w:type="dxa"/>
              <w:right w:w="101" w:type="dxa"/>
            </w:tcMar>
            <w:vAlign w:val="center"/>
            <w:hideMark/>
          </w:tcPr>
          <w:p w14:paraId="4ECDA511" w14:textId="77777777" w:rsidR="00F34DD2" w:rsidRPr="001E3745" w:rsidRDefault="00F34DD2" w:rsidP="00FF4F15">
            <w:pPr>
              <w:spacing w:after="0" w:line="240" w:lineRule="auto"/>
              <w:jc w:val="center"/>
              <w:rPr>
                <w:rFonts w:ascii="Arial" w:hAnsi="Arial"/>
                <w:sz w:val="20"/>
                <w:lang w:val="en-GB"/>
              </w:rPr>
            </w:pPr>
            <w:r w:rsidRPr="001E3745">
              <w:rPr>
                <w:rFonts w:ascii="Arial" w:hAnsi="Arial"/>
                <w:color w:val="000000"/>
                <w:kern w:val="24"/>
                <w:sz w:val="20"/>
                <w:lang w:val="en-GB"/>
              </w:rPr>
              <w:t>129 (30.7%)</w:t>
            </w:r>
          </w:p>
        </w:tc>
        <w:tc>
          <w:tcPr>
            <w:tcW w:w="885" w:type="pct"/>
            <w:tcBorders>
              <w:top w:val="nil"/>
              <w:left w:val="nil"/>
              <w:bottom w:val="nil"/>
              <w:right w:val="nil"/>
            </w:tcBorders>
            <w:shd w:val="clear" w:color="auto" w:fill="auto"/>
            <w:tcMar>
              <w:top w:w="23" w:type="dxa"/>
              <w:left w:w="101" w:type="dxa"/>
              <w:bottom w:w="0" w:type="dxa"/>
              <w:right w:w="101" w:type="dxa"/>
            </w:tcMar>
            <w:vAlign w:val="center"/>
            <w:hideMark/>
          </w:tcPr>
          <w:p w14:paraId="424267F3" w14:textId="77777777" w:rsidR="00F34DD2" w:rsidRPr="001E3745" w:rsidRDefault="00F34DD2" w:rsidP="00FF4F15">
            <w:pPr>
              <w:spacing w:after="0" w:line="240" w:lineRule="auto"/>
              <w:rPr>
                <w:rFonts w:ascii="Arial" w:hAnsi="Arial"/>
                <w:sz w:val="20"/>
                <w:lang w:val="en-GB"/>
              </w:rPr>
            </w:pPr>
            <w:r w:rsidRPr="001E3745">
              <w:rPr>
                <w:rFonts w:ascii="Arial" w:hAnsi="Arial"/>
                <w:color w:val="000000"/>
                <w:kern w:val="24"/>
                <w:sz w:val="20"/>
                <w:lang w:val="en-GB"/>
              </w:rPr>
              <w:t>400 (31.90%)</w:t>
            </w:r>
          </w:p>
        </w:tc>
      </w:tr>
      <w:tr w:rsidR="001E3745" w:rsidRPr="001A6367" w14:paraId="7FAC848F" w14:textId="77777777" w:rsidTr="001E3745">
        <w:trPr>
          <w:trHeight w:val="517"/>
        </w:trPr>
        <w:tc>
          <w:tcPr>
            <w:tcW w:w="1480" w:type="pct"/>
            <w:tcBorders>
              <w:top w:val="nil"/>
              <w:left w:val="nil"/>
              <w:bottom w:val="single" w:sz="8" w:space="0" w:color="000000"/>
              <w:right w:val="nil"/>
            </w:tcBorders>
            <w:shd w:val="clear" w:color="auto" w:fill="auto"/>
            <w:tcMar>
              <w:top w:w="23" w:type="dxa"/>
              <w:left w:w="155" w:type="dxa"/>
              <w:bottom w:w="0" w:type="dxa"/>
              <w:right w:w="155" w:type="dxa"/>
            </w:tcMar>
            <w:vAlign w:val="center"/>
            <w:hideMark/>
          </w:tcPr>
          <w:p w14:paraId="304E4E4E" w14:textId="2B4E9D34" w:rsidR="00F34DD2" w:rsidRPr="001E3745" w:rsidRDefault="00F34DD2" w:rsidP="00F714E0">
            <w:pPr>
              <w:spacing w:after="0" w:line="240" w:lineRule="auto"/>
              <w:ind w:left="187"/>
              <w:rPr>
                <w:rFonts w:ascii="Arial" w:hAnsi="Arial"/>
                <w:sz w:val="20"/>
                <w:lang w:val="en-GB"/>
              </w:rPr>
            </w:pPr>
            <w:r w:rsidRPr="001E3745">
              <w:rPr>
                <w:rFonts w:ascii="Arial" w:hAnsi="Arial"/>
                <w:color w:val="000000"/>
                <w:kern w:val="24"/>
                <w:sz w:val="20"/>
                <w:lang w:val="en-GB"/>
              </w:rPr>
              <w:t>CAT responders (a ≥2</w:t>
            </w:r>
            <w:r>
              <w:rPr>
                <w:rFonts w:ascii="Arial" w:eastAsia="Times New Roman" w:hAnsi="Arial" w:cs="Arial"/>
                <w:color w:val="000000"/>
                <w:kern w:val="24"/>
                <w:sz w:val="20"/>
                <w:szCs w:val="20"/>
                <w:lang w:val="en-GB"/>
              </w:rPr>
              <w:t>-</w:t>
            </w:r>
            <w:r w:rsidRPr="001E3745">
              <w:rPr>
                <w:rFonts w:ascii="Arial" w:hAnsi="Arial"/>
                <w:color w:val="000000"/>
                <w:kern w:val="24"/>
                <w:sz w:val="20"/>
                <w:lang w:val="en-GB"/>
              </w:rPr>
              <w:t>unit decrease)</w:t>
            </w:r>
            <w:r w:rsidRPr="001E3745">
              <w:rPr>
                <w:rFonts w:ascii="Arial" w:hAnsi="Arial"/>
                <w:color w:val="000000"/>
                <w:kern w:val="24"/>
                <w:position w:val="10"/>
                <w:sz w:val="20"/>
                <w:vertAlign w:val="superscript"/>
                <w:lang w:val="en-GB"/>
              </w:rPr>
              <w:t>†</w:t>
            </w:r>
          </w:p>
        </w:tc>
        <w:tc>
          <w:tcPr>
            <w:tcW w:w="1664" w:type="pct"/>
            <w:gridSpan w:val="3"/>
            <w:tcBorders>
              <w:top w:val="nil"/>
              <w:left w:val="nil"/>
              <w:bottom w:val="single" w:sz="8" w:space="0" w:color="000000"/>
              <w:right w:val="single" w:sz="8" w:space="0" w:color="000000"/>
            </w:tcBorders>
            <w:shd w:val="clear" w:color="auto" w:fill="auto"/>
            <w:tcMar>
              <w:top w:w="23" w:type="dxa"/>
              <w:left w:w="101" w:type="dxa"/>
              <w:bottom w:w="0" w:type="dxa"/>
              <w:right w:w="101" w:type="dxa"/>
            </w:tcMar>
            <w:vAlign w:val="center"/>
            <w:hideMark/>
          </w:tcPr>
          <w:p w14:paraId="471EDC81" w14:textId="77777777" w:rsidR="00F34DD2" w:rsidRPr="001E3745" w:rsidRDefault="00F34DD2" w:rsidP="00A601C5">
            <w:pPr>
              <w:spacing w:after="0" w:line="240" w:lineRule="auto"/>
              <w:jc w:val="center"/>
              <w:rPr>
                <w:rFonts w:ascii="Arial" w:hAnsi="Arial"/>
                <w:sz w:val="20"/>
                <w:lang w:val="en-GB"/>
              </w:rPr>
            </w:pPr>
            <w:r w:rsidRPr="001E3745">
              <w:rPr>
                <w:rFonts w:ascii="Arial" w:hAnsi="Arial"/>
                <w:color w:val="000000"/>
                <w:kern w:val="24"/>
                <w:sz w:val="20"/>
                <w:lang w:val="en-GB"/>
              </w:rPr>
              <w:t>1.93 (1.22 to 3.04)</w:t>
            </w:r>
          </w:p>
        </w:tc>
        <w:tc>
          <w:tcPr>
            <w:tcW w:w="1856" w:type="pct"/>
            <w:gridSpan w:val="3"/>
            <w:tcBorders>
              <w:top w:val="nil"/>
              <w:left w:val="single" w:sz="8" w:space="0" w:color="000000"/>
              <w:bottom w:val="single" w:sz="8" w:space="0" w:color="000000"/>
              <w:right w:val="nil"/>
            </w:tcBorders>
            <w:shd w:val="clear" w:color="auto" w:fill="auto"/>
            <w:tcMar>
              <w:top w:w="23" w:type="dxa"/>
              <w:left w:w="101" w:type="dxa"/>
              <w:bottom w:w="0" w:type="dxa"/>
              <w:right w:w="101" w:type="dxa"/>
            </w:tcMar>
            <w:vAlign w:val="center"/>
            <w:hideMark/>
          </w:tcPr>
          <w:p w14:paraId="05FE165C" w14:textId="77777777" w:rsidR="00F34DD2" w:rsidRPr="001E3745" w:rsidRDefault="00F34DD2" w:rsidP="00A601C5">
            <w:pPr>
              <w:spacing w:after="0" w:line="240" w:lineRule="auto"/>
              <w:jc w:val="center"/>
              <w:rPr>
                <w:rFonts w:ascii="Arial" w:hAnsi="Arial"/>
                <w:sz w:val="20"/>
                <w:lang w:val="en-GB"/>
              </w:rPr>
            </w:pPr>
            <w:r w:rsidRPr="001E3745">
              <w:rPr>
                <w:rFonts w:ascii="Arial" w:hAnsi="Arial"/>
                <w:color w:val="000000"/>
                <w:kern w:val="24"/>
                <w:sz w:val="20"/>
                <w:lang w:val="en-GB"/>
              </w:rPr>
              <w:t>1.18 (0.92 to 1.51)</w:t>
            </w:r>
          </w:p>
        </w:tc>
      </w:tr>
      <w:tr w:rsidR="001E3745" w:rsidRPr="001A6367" w14:paraId="751993FF" w14:textId="77777777" w:rsidTr="001E3745">
        <w:trPr>
          <w:trHeight w:val="912"/>
        </w:trPr>
        <w:tc>
          <w:tcPr>
            <w:tcW w:w="1480" w:type="pct"/>
            <w:tcBorders>
              <w:top w:val="single" w:sz="8" w:space="0" w:color="000000"/>
              <w:left w:val="nil"/>
              <w:bottom w:val="nil"/>
              <w:right w:val="nil"/>
            </w:tcBorders>
            <w:shd w:val="clear" w:color="auto" w:fill="auto"/>
            <w:tcMar>
              <w:top w:w="23" w:type="dxa"/>
              <w:left w:w="155" w:type="dxa"/>
              <w:bottom w:w="0" w:type="dxa"/>
              <w:right w:w="155" w:type="dxa"/>
            </w:tcMar>
            <w:vAlign w:val="center"/>
            <w:hideMark/>
          </w:tcPr>
          <w:p w14:paraId="18666A8C" w14:textId="2BD15C94" w:rsidR="00F34DD2" w:rsidRPr="001E3745" w:rsidRDefault="00F34DD2" w:rsidP="002E1F74">
            <w:pPr>
              <w:spacing w:after="0" w:line="240" w:lineRule="auto"/>
              <w:rPr>
                <w:rFonts w:ascii="Arial" w:hAnsi="Arial"/>
                <w:sz w:val="20"/>
                <w:lang w:val="en-GB"/>
              </w:rPr>
            </w:pPr>
            <w:r w:rsidRPr="001E3745">
              <w:rPr>
                <w:rFonts w:ascii="Arial" w:hAnsi="Arial"/>
                <w:color w:val="000000"/>
                <w:kern w:val="24"/>
                <w:sz w:val="20"/>
                <w:lang w:val="en-GB"/>
              </w:rPr>
              <w:t xml:space="preserve">Total CCQ score, change from baseline at </w:t>
            </w:r>
            <w:r>
              <w:rPr>
                <w:rFonts w:ascii="Arial" w:eastAsia="Times New Roman" w:hAnsi="Arial" w:cs="Arial"/>
                <w:color w:val="000000"/>
                <w:kern w:val="24"/>
                <w:sz w:val="20"/>
                <w:szCs w:val="20"/>
                <w:lang w:val="en-GB"/>
              </w:rPr>
              <w:t>W</w:t>
            </w:r>
            <w:r w:rsidRPr="001A6367">
              <w:rPr>
                <w:rFonts w:ascii="Arial" w:eastAsia="Times New Roman" w:hAnsi="Arial" w:cs="Arial"/>
                <w:color w:val="000000"/>
                <w:kern w:val="24"/>
                <w:sz w:val="20"/>
                <w:szCs w:val="20"/>
                <w:lang w:val="en-GB"/>
              </w:rPr>
              <w:t>eek</w:t>
            </w:r>
            <w:r w:rsidRPr="001E3745">
              <w:rPr>
                <w:rFonts w:ascii="Arial" w:hAnsi="Arial"/>
                <w:color w:val="000000"/>
                <w:kern w:val="24"/>
                <w:sz w:val="20"/>
                <w:lang w:val="en-GB"/>
              </w:rPr>
              <w:t xml:space="preserve"> 12</w:t>
            </w:r>
          </w:p>
        </w:tc>
        <w:tc>
          <w:tcPr>
            <w:tcW w:w="625" w:type="pct"/>
            <w:tcBorders>
              <w:top w:val="single" w:sz="8" w:space="0" w:color="000000"/>
              <w:left w:val="nil"/>
              <w:right w:val="nil"/>
            </w:tcBorders>
            <w:shd w:val="clear" w:color="auto" w:fill="auto"/>
            <w:tcMar>
              <w:top w:w="23" w:type="dxa"/>
              <w:left w:w="101" w:type="dxa"/>
              <w:bottom w:w="0" w:type="dxa"/>
              <w:right w:w="101" w:type="dxa"/>
            </w:tcMar>
            <w:vAlign w:val="center"/>
          </w:tcPr>
          <w:p w14:paraId="2C12356F" w14:textId="77777777" w:rsidR="00F34DD2" w:rsidRPr="001E3745" w:rsidRDefault="00F34DD2" w:rsidP="00A601C5">
            <w:pPr>
              <w:spacing w:after="0" w:line="240" w:lineRule="auto"/>
              <w:jc w:val="center"/>
              <w:rPr>
                <w:rFonts w:ascii="Arial" w:hAnsi="Arial"/>
                <w:sz w:val="20"/>
                <w:lang w:val="en-GB"/>
              </w:rPr>
            </w:pPr>
            <w:r w:rsidRPr="001E3745">
              <w:rPr>
                <w:rFonts w:ascii="Arial" w:hAnsi="Arial"/>
                <w:sz w:val="20"/>
              </w:rPr>
              <w:t>−</w:t>
            </w:r>
            <w:r w:rsidRPr="001E3745">
              <w:rPr>
                <w:rFonts w:ascii="Arial" w:hAnsi="Arial"/>
                <w:color w:val="000000"/>
                <w:kern w:val="24"/>
                <w:sz w:val="20"/>
                <w:lang w:val="en-GB"/>
              </w:rPr>
              <w:t>0.0 (0.6)</w:t>
            </w:r>
          </w:p>
        </w:tc>
        <w:tc>
          <w:tcPr>
            <w:tcW w:w="1040" w:type="pct"/>
            <w:gridSpan w:val="2"/>
            <w:tcBorders>
              <w:top w:val="single" w:sz="8" w:space="0" w:color="000000"/>
              <w:left w:val="nil"/>
              <w:right w:val="single" w:sz="8" w:space="0" w:color="000000"/>
            </w:tcBorders>
            <w:shd w:val="clear" w:color="auto" w:fill="auto"/>
            <w:tcMar>
              <w:top w:w="23" w:type="dxa"/>
              <w:left w:w="101" w:type="dxa"/>
              <w:bottom w:w="0" w:type="dxa"/>
              <w:right w:w="101" w:type="dxa"/>
            </w:tcMar>
            <w:vAlign w:val="center"/>
          </w:tcPr>
          <w:p w14:paraId="51989C1E" w14:textId="77777777" w:rsidR="00F34DD2" w:rsidRPr="001E3745" w:rsidRDefault="00F34DD2" w:rsidP="00A601C5">
            <w:pPr>
              <w:spacing w:after="0" w:line="240" w:lineRule="auto"/>
              <w:jc w:val="center"/>
              <w:rPr>
                <w:rFonts w:ascii="Arial" w:hAnsi="Arial"/>
                <w:sz w:val="20"/>
                <w:lang w:val="en-GB"/>
              </w:rPr>
            </w:pPr>
            <w:r w:rsidRPr="001E3745">
              <w:rPr>
                <w:rFonts w:ascii="Arial" w:hAnsi="Arial"/>
                <w:sz w:val="20"/>
              </w:rPr>
              <w:t>−</w:t>
            </w:r>
            <w:r w:rsidRPr="001E3745">
              <w:rPr>
                <w:rFonts w:ascii="Arial" w:hAnsi="Arial"/>
                <w:color w:val="000000"/>
                <w:kern w:val="24"/>
                <w:sz w:val="20"/>
                <w:lang w:val="en-GB"/>
              </w:rPr>
              <w:t>0.3 (0.7)***</w:t>
            </w:r>
          </w:p>
        </w:tc>
        <w:tc>
          <w:tcPr>
            <w:tcW w:w="752" w:type="pct"/>
            <w:tcBorders>
              <w:top w:val="single" w:sz="8" w:space="0" w:color="000000"/>
              <w:left w:val="single" w:sz="8" w:space="0" w:color="000000"/>
              <w:right w:val="nil"/>
            </w:tcBorders>
            <w:shd w:val="clear" w:color="auto" w:fill="auto"/>
            <w:tcMar>
              <w:top w:w="23" w:type="dxa"/>
              <w:left w:w="101" w:type="dxa"/>
              <w:bottom w:w="0" w:type="dxa"/>
              <w:right w:w="101" w:type="dxa"/>
            </w:tcMar>
            <w:vAlign w:val="center"/>
          </w:tcPr>
          <w:p w14:paraId="66AA1EF6" w14:textId="77777777" w:rsidR="00F34DD2" w:rsidRPr="001E3745" w:rsidRDefault="00F34DD2" w:rsidP="00A601C5">
            <w:pPr>
              <w:spacing w:after="0" w:line="240" w:lineRule="auto"/>
              <w:jc w:val="center"/>
              <w:rPr>
                <w:rFonts w:ascii="Arial" w:hAnsi="Arial"/>
                <w:sz w:val="20"/>
                <w:lang w:val="en-GB"/>
              </w:rPr>
            </w:pPr>
            <w:r w:rsidRPr="001E3745">
              <w:rPr>
                <w:rFonts w:ascii="Arial" w:hAnsi="Arial"/>
                <w:color w:val="000000"/>
                <w:kern w:val="24"/>
                <w:sz w:val="20"/>
                <w:lang w:val="en-GB"/>
              </w:rPr>
              <w:t>0.0 (0.7)</w:t>
            </w:r>
          </w:p>
        </w:tc>
        <w:tc>
          <w:tcPr>
            <w:tcW w:w="1103" w:type="pct"/>
            <w:gridSpan w:val="2"/>
            <w:tcBorders>
              <w:top w:val="single" w:sz="8" w:space="0" w:color="000000"/>
              <w:left w:val="nil"/>
              <w:right w:val="nil"/>
            </w:tcBorders>
            <w:shd w:val="clear" w:color="auto" w:fill="auto"/>
            <w:tcMar>
              <w:top w:w="23" w:type="dxa"/>
              <w:left w:w="101" w:type="dxa"/>
              <w:bottom w:w="0" w:type="dxa"/>
              <w:right w:w="101" w:type="dxa"/>
            </w:tcMar>
            <w:vAlign w:val="center"/>
          </w:tcPr>
          <w:p w14:paraId="2772AB12" w14:textId="77777777" w:rsidR="00F34DD2" w:rsidRPr="001E3745" w:rsidRDefault="00F34DD2" w:rsidP="00CE29D9">
            <w:pPr>
              <w:spacing w:after="0" w:line="240" w:lineRule="auto"/>
              <w:jc w:val="center"/>
              <w:rPr>
                <w:rFonts w:ascii="Arial" w:hAnsi="Arial"/>
                <w:sz w:val="20"/>
                <w:lang w:val="en-GB"/>
              </w:rPr>
            </w:pPr>
            <w:r w:rsidRPr="001E3745">
              <w:rPr>
                <w:rFonts w:ascii="Arial" w:hAnsi="Arial"/>
                <w:sz w:val="20"/>
              </w:rPr>
              <w:t>−</w:t>
            </w:r>
            <w:r w:rsidRPr="001E3745">
              <w:rPr>
                <w:rFonts w:ascii="Arial" w:hAnsi="Arial"/>
                <w:color w:val="000000"/>
                <w:kern w:val="24"/>
                <w:sz w:val="20"/>
                <w:lang w:val="en-GB"/>
              </w:rPr>
              <w:t>0.1 (0.7)**</w:t>
            </w:r>
          </w:p>
        </w:tc>
      </w:tr>
      <w:tr w:rsidR="001E3745" w:rsidRPr="001A6367" w14:paraId="5B422335" w14:textId="77777777" w:rsidTr="001E3745">
        <w:trPr>
          <w:trHeight w:val="499"/>
        </w:trPr>
        <w:tc>
          <w:tcPr>
            <w:tcW w:w="1480" w:type="pct"/>
            <w:tcBorders>
              <w:top w:val="nil"/>
              <w:left w:val="nil"/>
              <w:bottom w:val="nil"/>
              <w:right w:val="nil"/>
            </w:tcBorders>
            <w:shd w:val="clear" w:color="auto" w:fill="auto"/>
            <w:tcMar>
              <w:top w:w="23" w:type="dxa"/>
              <w:left w:w="155" w:type="dxa"/>
              <w:bottom w:w="0" w:type="dxa"/>
              <w:right w:w="155" w:type="dxa"/>
            </w:tcMar>
            <w:vAlign w:val="center"/>
            <w:hideMark/>
          </w:tcPr>
          <w:p w14:paraId="714FA242" w14:textId="77777777" w:rsidR="00F34DD2" w:rsidRPr="001E3745" w:rsidRDefault="00F34DD2" w:rsidP="00F714E0">
            <w:pPr>
              <w:spacing w:after="0" w:line="240" w:lineRule="auto"/>
              <w:rPr>
                <w:rFonts w:ascii="Arial" w:hAnsi="Arial"/>
                <w:sz w:val="20"/>
                <w:lang w:val="en-GB"/>
              </w:rPr>
            </w:pPr>
            <w:r w:rsidRPr="001E3745">
              <w:rPr>
                <w:rFonts w:ascii="Arial" w:hAnsi="Arial"/>
                <w:color w:val="000000"/>
                <w:kern w:val="24"/>
                <w:sz w:val="20"/>
                <w:lang w:val="en-GB"/>
              </w:rPr>
              <w:t>Patients who achieved MCID in total CCQ score</w:t>
            </w:r>
            <w:r w:rsidRPr="001E3745">
              <w:rPr>
                <w:rFonts w:ascii="Arial" w:hAnsi="Arial"/>
                <w:color w:val="000000"/>
                <w:kern w:val="24"/>
                <w:position w:val="-8"/>
                <w:sz w:val="20"/>
                <w:vertAlign w:val="subscript"/>
                <w:lang w:val="en-GB"/>
              </w:rPr>
              <w:t xml:space="preserve"> </w:t>
            </w:r>
            <w:r w:rsidRPr="001E3745">
              <w:rPr>
                <w:rFonts w:ascii="Arial" w:hAnsi="Arial"/>
                <w:color w:val="000000"/>
                <w:kern w:val="24"/>
                <w:sz w:val="20"/>
                <w:lang w:val="en-GB"/>
              </w:rPr>
              <w:t>(a ≥0.4-unit difference from baseline), n (%)</w:t>
            </w:r>
          </w:p>
        </w:tc>
        <w:tc>
          <w:tcPr>
            <w:tcW w:w="625" w:type="pct"/>
            <w:tcBorders>
              <w:top w:val="nil"/>
              <w:left w:val="nil"/>
              <w:bottom w:val="nil"/>
              <w:right w:val="nil"/>
            </w:tcBorders>
            <w:shd w:val="clear" w:color="auto" w:fill="auto"/>
            <w:tcMar>
              <w:top w:w="23" w:type="dxa"/>
              <w:left w:w="101" w:type="dxa"/>
              <w:bottom w:w="0" w:type="dxa"/>
              <w:right w:w="101" w:type="dxa"/>
            </w:tcMar>
            <w:vAlign w:val="center"/>
            <w:hideMark/>
          </w:tcPr>
          <w:p w14:paraId="1710AB4D" w14:textId="77777777" w:rsidR="00F34DD2" w:rsidRPr="001E3745" w:rsidRDefault="00F34DD2" w:rsidP="00FF4F15">
            <w:pPr>
              <w:spacing w:after="0" w:line="240" w:lineRule="auto"/>
              <w:jc w:val="center"/>
              <w:rPr>
                <w:rFonts w:ascii="Arial" w:hAnsi="Arial"/>
                <w:sz w:val="20"/>
                <w:lang w:val="en-GB"/>
              </w:rPr>
            </w:pPr>
            <w:r w:rsidRPr="001E3745">
              <w:rPr>
                <w:rFonts w:ascii="Arial" w:hAnsi="Arial"/>
                <w:color w:val="000000"/>
                <w:kern w:val="24"/>
                <w:sz w:val="20"/>
                <w:lang w:val="en-GB"/>
              </w:rPr>
              <w:t>22 (18.0%)</w:t>
            </w:r>
          </w:p>
        </w:tc>
        <w:tc>
          <w:tcPr>
            <w:tcW w:w="1040" w:type="pct"/>
            <w:gridSpan w:val="2"/>
            <w:tcBorders>
              <w:top w:val="nil"/>
              <w:left w:val="nil"/>
              <w:bottom w:val="nil"/>
              <w:right w:val="single" w:sz="8" w:space="0" w:color="000000"/>
            </w:tcBorders>
            <w:shd w:val="clear" w:color="auto" w:fill="auto"/>
            <w:tcMar>
              <w:top w:w="23" w:type="dxa"/>
              <w:left w:w="101" w:type="dxa"/>
              <w:bottom w:w="0" w:type="dxa"/>
              <w:right w:w="101" w:type="dxa"/>
            </w:tcMar>
            <w:vAlign w:val="center"/>
            <w:hideMark/>
          </w:tcPr>
          <w:p w14:paraId="75885D0B" w14:textId="77777777" w:rsidR="00F34DD2" w:rsidRPr="001E3745" w:rsidRDefault="00F34DD2" w:rsidP="00FF4F15">
            <w:pPr>
              <w:spacing w:after="0" w:line="240" w:lineRule="auto"/>
              <w:jc w:val="center"/>
              <w:rPr>
                <w:rFonts w:ascii="Arial" w:hAnsi="Arial"/>
                <w:sz w:val="20"/>
                <w:lang w:val="en-GB"/>
              </w:rPr>
            </w:pPr>
            <w:r w:rsidRPr="001E3745">
              <w:rPr>
                <w:rFonts w:ascii="Arial" w:hAnsi="Arial"/>
                <w:color w:val="000000"/>
                <w:kern w:val="24"/>
                <w:sz w:val="20"/>
                <w:lang w:val="en-GB"/>
              </w:rPr>
              <w:t>105 (28.5%)</w:t>
            </w:r>
          </w:p>
        </w:tc>
        <w:tc>
          <w:tcPr>
            <w:tcW w:w="752" w:type="pct"/>
            <w:tcBorders>
              <w:top w:val="nil"/>
              <w:left w:val="single" w:sz="8" w:space="0" w:color="000000"/>
              <w:bottom w:val="nil"/>
              <w:right w:val="nil"/>
            </w:tcBorders>
            <w:shd w:val="clear" w:color="auto" w:fill="auto"/>
            <w:tcMar>
              <w:top w:w="23" w:type="dxa"/>
              <w:left w:w="101" w:type="dxa"/>
              <w:bottom w:w="0" w:type="dxa"/>
              <w:right w:w="101" w:type="dxa"/>
            </w:tcMar>
            <w:vAlign w:val="center"/>
            <w:hideMark/>
          </w:tcPr>
          <w:p w14:paraId="0B66786B" w14:textId="77777777" w:rsidR="00F34DD2" w:rsidRPr="001E3745" w:rsidRDefault="00F34DD2" w:rsidP="00FF4F15">
            <w:pPr>
              <w:spacing w:after="0" w:line="240" w:lineRule="auto"/>
              <w:jc w:val="center"/>
              <w:rPr>
                <w:rFonts w:ascii="Arial" w:hAnsi="Arial"/>
                <w:sz w:val="20"/>
                <w:lang w:val="en-GB"/>
              </w:rPr>
            </w:pPr>
            <w:r w:rsidRPr="001E3745">
              <w:rPr>
                <w:rFonts w:ascii="Arial" w:hAnsi="Arial"/>
                <w:color w:val="000000"/>
                <w:kern w:val="24"/>
                <w:sz w:val="20"/>
                <w:lang w:val="en-GB"/>
              </w:rPr>
              <w:t>81 (19.3%)</w:t>
            </w:r>
          </w:p>
        </w:tc>
        <w:tc>
          <w:tcPr>
            <w:tcW w:w="1103" w:type="pct"/>
            <w:gridSpan w:val="2"/>
            <w:tcBorders>
              <w:top w:val="nil"/>
              <w:left w:val="nil"/>
              <w:bottom w:val="nil"/>
              <w:right w:val="nil"/>
            </w:tcBorders>
            <w:shd w:val="clear" w:color="auto" w:fill="auto"/>
            <w:tcMar>
              <w:top w:w="23" w:type="dxa"/>
              <w:left w:w="101" w:type="dxa"/>
              <w:bottom w:w="0" w:type="dxa"/>
              <w:right w:w="101" w:type="dxa"/>
            </w:tcMar>
            <w:vAlign w:val="center"/>
            <w:hideMark/>
          </w:tcPr>
          <w:p w14:paraId="75265970" w14:textId="77777777" w:rsidR="00F34DD2" w:rsidRPr="001E3745" w:rsidRDefault="00F34DD2" w:rsidP="00FF4F15">
            <w:pPr>
              <w:spacing w:after="0" w:line="240" w:lineRule="auto"/>
              <w:jc w:val="center"/>
              <w:rPr>
                <w:rFonts w:ascii="Arial" w:hAnsi="Arial"/>
                <w:sz w:val="20"/>
                <w:lang w:val="en-GB"/>
              </w:rPr>
            </w:pPr>
            <w:r w:rsidRPr="001E3745">
              <w:rPr>
                <w:rFonts w:ascii="Arial" w:hAnsi="Arial"/>
                <w:color w:val="000000"/>
                <w:kern w:val="24"/>
                <w:sz w:val="20"/>
                <w:lang w:val="en-GB"/>
              </w:rPr>
              <w:t>291 (23.2%)</w:t>
            </w:r>
          </w:p>
        </w:tc>
      </w:tr>
      <w:tr w:rsidR="001E3745" w:rsidRPr="001A6367" w14:paraId="2709CD72" w14:textId="77777777" w:rsidTr="001E3745">
        <w:trPr>
          <w:trHeight w:val="463"/>
        </w:trPr>
        <w:tc>
          <w:tcPr>
            <w:tcW w:w="1480" w:type="pct"/>
            <w:tcBorders>
              <w:top w:val="nil"/>
              <w:left w:val="nil"/>
              <w:bottom w:val="single" w:sz="8" w:space="0" w:color="000000"/>
              <w:right w:val="nil"/>
            </w:tcBorders>
            <w:shd w:val="clear" w:color="auto" w:fill="auto"/>
            <w:tcMar>
              <w:top w:w="23" w:type="dxa"/>
              <w:left w:w="155" w:type="dxa"/>
              <w:bottom w:w="0" w:type="dxa"/>
              <w:right w:w="155" w:type="dxa"/>
            </w:tcMar>
            <w:vAlign w:val="center"/>
            <w:hideMark/>
          </w:tcPr>
          <w:p w14:paraId="134D9C79" w14:textId="77777777" w:rsidR="00F34DD2" w:rsidRPr="001E3745" w:rsidRDefault="00F34DD2" w:rsidP="00F714E0">
            <w:pPr>
              <w:spacing w:after="0" w:line="240" w:lineRule="auto"/>
              <w:ind w:left="187"/>
              <w:rPr>
                <w:rFonts w:ascii="Arial" w:hAnsi="Arial"/>
                <w:sz w:val="20"/>
                <w:lang w:val="en-GB"/>
              </w:rPr>
            </w:pPr>
            <w:r w:rsidRPr="001E3745">
              <w:rPr>
                <w:rFonts w:ascii="Arial" w:hAnsi="Arial"/>
                <w:color w:val="000000"/>
                <w:kern w:val="24"/>
                <w:sz w:val="20"/>
                <w:lang w:val="en-GB"/>
              </w:rPr>
              <w:t>CCQ responders (a ≥0.4-unit decrease)</w:t>
            </w:r>
            <w:r w:rsidRPr="001E3745">
              <w:rPr>
                <w:rFonts w:ascii="Arial" w:hAnsi="Arial"/>
                <w:color w:val="000000"/>
                <w:kern w:val="24"/>
                <w:position w:val="10"/>
                <w:sz w:val="20"/>
                <w:vertAlign w:val="superscript"/>
                <w:lang w:val="en-GB"/>
              </w:rPr>
              <w:t>†</w:t>
            </w:r>
          </w:p>
        </w:tc>
        <w:tc>
          <w:tcPr>
            <w:tcW w:w="1664" w:type="pct"/>
            <w:gridSpan w:val="3"/>
            <w:tcBorders>
              <w:top w:val="nil"/>
              <w:left w:val="nil"/>
              <w:bottom w:val="single" w:sz="8" w:space="0" w:color="000000"/>
              <w:right w:val="single" w:sz="8" w:space="0" w:color="000000"/>
            </w:tcBorders>
            <w:shd w:val="clear" w:color="auto" w:fill="auto"/>
            <w:tcMar>
              <w:top w:w="23" w:type="dxa"/>
              <w:left w:w="101" w:type="dxa"/>
              <w:bottom w:w="0" w:type="dxa"/>
              <w:right w:w="101" w:type="dxa"/>
            </w:tcMar>
            <w:vAlign w:val="center"/>
            <w:hideMark/>
          </w:tcPr>
          <w:p w14:paraId="237876DF" w14:textId="77777777" w:rsidR="00F34DD2" w:rsidRPr="001E3745" w:rsidRDefault="00F34DD2" w:rsidP="00A601C5">
            <w:pPr>
              <w:spacing w:after="0" w:line="240" w:lineRule="auto"/>
              <w:jc w:val="center"/>
              <w:rPr>
                <w:rFonts w:ascii="Arial" w:hAnsi="Arial"/>
                <w:sz w:val="20"/>
                <w:lang w:val="en-GB"/>
              </w:rPr>
            </w:pPr>
            <w:r w:rsidRPr="001E3745">
              <w:rPr>
                <w:rFonts w:ascii="Arial" w:hAnsi="Arial"/>
                <w:color w:val="000000"/>
                <w:kern w:val="24"/>
                <w:sz w:val="20"/>
                <w:lang w:val="en-GB"/>
              </w:rPr>
              <w:t>2.04 (1.20 to 3.45)</w:t>
            </w:r>
          </w:p>
        </w:tc>
        <w:tc>
          <w:tcPr>
            <w:tcW w:w="1856" w:type="pct"/>
            <w:gridSpan w:val="3"/>
            <w:tcBorders>
              <w:top w:val="nil"/>
              <w:left w:val="single" w:sz="8" w:space="0" w:color="000000"/>
              <w:bottom w:val="single" w:sz="8" w:space="0" w:color="000000"/>
              <w:right w:val="nil"/>
            </w:tcBorders>
            <w:shd w:val="clear" w:color="auto" w:fill="auto"/>
            <w:tcMar>
              <w:top w:w="23" w:type="dxa"/>
              <w:left w:w="101" w:type="dxa"/>
              <w:bottom w:w="0" w:type="dxa"/>
              <w:right w:w="101" w:type="dxa"/>
            </w:tcMar>
            <w:vAlign w:val="center"/>
            <w:hideMark/>
          </w:tcPr>
          <w:p w14:paraId="5F75033B" w14:textId="77777777" w:rsidR="00F34DD2" w:rsidRPr="001E3745" w:rsidRDefault="00F34DD2" w:rsidP="00A601C5">
            <w:pPr>
              <w:spacing w:after="0" w:line="240" w:lineRule="auto"/>
              <w:jc w:val="center"/>
              <w:rPr>
                <w:rFonts w:ascii="Arial" w:hAnsi="Arial"/>
                <w:sz w:val="20"/>
                <w:lang w:val="en-GB"/>
              </w:rPr>
            </w:pPr>
            <w:r w:rsidRPr="001E3745">
              <w:rPr>
                <w:rFonts w:ascii="Arial" w:hAnsi="Arial"/>
                <w:color w:val="000000"/>
                <w:kern w:val="24"/>
                <w:sz w:val="20"/>
                <w:lang w:val="en-GB"/>
              </w:rPr>
              <w:t>1.40 (1.06 to 1.86)</w:t>
            </w:r>
          </w:p>
        </w:tc>
      </w:tr>
      <w:tr w:rsidR="001E3745" w:rsidRPr="001A6367" w14:paraId="6F7641D0" w14:textId="77777777" w:rsidTr="001E3745">
        <w:trPr>
          <w:trHeight w:val="896"/>
        </w:trPr>
        <w:tc>
          <w:tcPr>
            <w:tcW w:w="1480" w:type="pct"/>
            <w:tcBorders>
              <w:top w:val="single" w:sz="8" w:space="0" w:color="000000"/>
              <w:left w:val="nil"/>
              <w:bottom w:val="nil"/>
              <w:right w:val="nil"/>
            </w:tcBorders>
            <w:shd w:val="clear" w:color="auto" w:fill="auto"/>
            <w:tcMar>
              <w:top w:w="23" w:type="dxa"/>
              <w:left w:w="155" w:type="dxa"/>
              <w:bottom w:w="0" w:type="dxa"/>
              <w:right w:w="155" w:type="dxa"/>
            </w:tcMar>
            <w:vAlign w:val="center"/>
            <w:hideMark/>
          </w:tcPr>
          <w:p w14:paraId="3E1B4E2E" w14:textId="77777777" w:rsidR="00F34DD2" w:rsidRPr="001E3745" w:rsidRDefault="00F34DD2" w:rsidP="00A601C5">
            <w:pPr>
              <w:spacing w:after="0" w:line="240" w:lineRule="auto"/>
              <w:rPr>
                <w:rFonts w:ascii="Arial" w:hAnsi="Arial"/>
                <w:sz w:val="20"/>
                <w:lang w:val="en-GB"/>
              </w:rPr>
            </w:pPr>
            <w:r w:rsidRPr="001E3745">
              <w:rPr>
                <w:rFonts w:ascii="Arial" w:hAnsi="Arial"/>
                <w:color w:val="000000"/>
                <w:kern w:val="24"/>
                <w:sz w:val="20"/>
                <w:lang w:val="en-GB"/>
              </w:rPr>
              <w:t>Number of puffs of rescue medication over 12 weeks</w:t>
            </w:r>
          </w:p>
        </w:tc>
        <w:tc>
          <w:tcPr>
            <w:tcW w:w="625" w:type="pct"/>
            <w:tcBorders>
              <w:top w:val="single" w:sz="8" w:space="0" w:color="000000"/>
              <w:left w:val="nil"/>
              <w:right w:val="nil"/>
            </w:tcBorders>
            <w:shd w:val="clear" w:color="auto" w:fill="auto"/>
            <w:tcMar>
              <w:top w:w="23" w:type="dxa"/>
              <w:left w:w="101" w:type="dxa"/>
              <w:bottom w:w="0" w:type="dxa"/>
              <w:right w:w="101" w:type="dxa"/>
            </w:tcMar>
            <w:vAlign w:val="center"/>
          </w:tcPr>
          <w:p w14:paraId="3893044B" w14:textId="77777777" w:rsidR="00F34DD2" w:rsidRPr="001E3745" w:rsidRDefault="00F34DD2" w:rsidP="00A601C5">
            <w:pPr>
              <w:spacing w:after="0" w:line="240" w:lineRule="auto"/>
              <w:jc w:val="center"/>
              <w:rPr>
                <w:rFonts w:ascii="Arial" w:hAnsi="Arial"/>
                <w:sz w:val="20"/>
                <w:lang w:val="en-GB"/>
              </w:rPr>
            </w:pPr>
            <w:r w:rsidRPr="001E3745">
              <w:rPr>
                <w:rFonts w:ascii="Arial" w:hAnsi="Arial"/>
                <w:color w:val="000000"/>
                <w:kern w:val="24"/>
                <w:sz w:val="20"/>
                <w:lang w:val="en-GB"/>
              </w:rPr>
              <w:t xml:space="preserve">1.8 (1.7) </w:t>
            </w:r>
          </w:p>
        </w:tc>
        <w:tc>
          <w:tcPr>
            <w:tcW w:w="1040" w:type="pct"/>
            <w:gridSpan w:val="2"/>
            <w:tcBorders>
              <w:top w:val="single" w:sz="8" w:space="0" w:color="000000"/>
              <w:left w:val="nil"/>
              <w:right w:val="single" w:sz="8" w:space="0" w:color="000000"/>
            </w:tcBorders>
            <w:shd w:val="clear" w:color="auto" w:fill="auto"/>
            <w:tcMar>
              <w:top w:w="23" w:type="dxa"/>
              <w:left w:w="101" w:type="dxa"/>
              <w:bottom w:w="0" w:type="dxa"/>
              <w:right w:w="101" w:type="dxa"/>
            </w:tcMar>
            <w:vAlign w:val="center"/>
          </w:tcPr>
          <w:p w14:paraId="7B1872F4" w14:textId="77777777" w:rsidR="00F34DD2" w:rsidRPr="001E3745" w:rsidRDefault="00F34DD2" w:rsidP="00A601C5">
            <w:pPr>
              <w:spacing w:after="0" w:line="240" w:lineRule="auto"/>
              <w:jc w:val="center"/>
              <w:rPr>
                <w:rFonts w:ascii="Arial" w:hAnsi="Arial"/>
                <w:sz w:val="20"/>
                <w:lang w:val="en-GB"/>
              </w:rPr>
            </w:pPr>
            <w:r w:rsidRPr="001E3745">
              <w:rPr>
                <w:rFonts w:ascii="Arial" w:hAnsi="Arial"/>
                <w:color w:val="000000"/>
                <w:kern w:val="24"/>
                <w:sz w:val="20"/>
                <w:lang w:val="en-GB"/>
              </w:rPr>
              <w:t>1.0 (1.3)****</w:t>
            </w:r>
          </w:p>
        </w:tc>
        <w:tc>
          <w:tcPr>
            <w:tcW w:w="752" w:type="pct"/>
            <w:tcBorders>
              <w:top w:val="single" w:sz="8" w:space="0" w:color="000000"/>
              <w:left w:val="single" w:sz="8" w:space="0" w:color="000000"/>
              <w:right w:val="nil"/>
            </w:tcBorders>
            <w:shd w:val="clear" w:color="auto" w:fill="auto"/>
            <w:tcMar>
              <w:top w:w="23" w:type="dxa"/>
              <w:left w:w="101" w:type="dxa"/>
              <w:bottom w:w="0" w:type="dxa"/>
              <w:right w:w="101" w:type="dxa"/>
            </w:tcMar>
            <w:vAlign w:val="center"/>
          </w:tcPr>
          <w:p w14:paraId="73FF064E" w14:textId="77777777" w:rsidR="00F34DD2" w:rsidRPr="001E3745" w:rsidRDefault="00F34DD2" w:rsidP="00A601C5">
            <w:pPr>
              <w:spacing w:after="0" w:line="240" w:lineRule="auto"/>
              <w:jc w:val="center"/>
              <w:rPr>
                <w:rFonts w:ascii="Arial" w:hAnsi="Arial"/>
                <w:sz w:val="20"/>
                <w:lang w:val="en-GB"/>
              </w:rPr>
            </w:pPr>
            <w:r w:rsidRPr="001E3745">
              <w:rPr>
                <w:rFonts w:ascii="Arial" w:hAnsi="Arial"/>
                <w:color w:val="000000"/>
                <w:kern w:val="24"/>
                <w:sz w:val="20"/>
                <w:lang w:val="en-GB"/>
              </w:rPr>
              <w:t>0.8 (1.2)</w:t>
            </w:r>
          </w:p>
        </w:tc>
        <w:tc>
          <w:tcPr>
            <w:tcW w:w="1103" w:type="pct"/>
            <w:gridSpan w:val="2"/>
            <w:tcBorders>
              <w:top w:val="single" w:sz="8" w:space="0" w:color="000000"/>
              <w:left w:val="nil"/>
              <w:right w:val="nil"/>
            </w:tcBorders>
            <w:shd w:val="clear" w:color="auto" w:fill="auto"/>
            <w:tcMar>
              <w:top w:w="23" w:type="dxa"/>
              <w:left w:w="101" w:type="dxa"/>
              <w:bottom w:w="0" w:type="dxa"/>
              <w:right w:w="101" w:type="dxa"/>
            </w:tcMar>
            <w:vAlign w:val="center"/>
          </w:tcPr>
          <w:p w14:paraId="19A1CE5B" w14:textId="77777777" w:rsidR="00F34DD2" w:rsidRPr="001E3745" w:rsidRDefault="00F34DD2" w:rsidP="00A601C5">
            <w:pPr>
              <w:spacing w:after="0" w:line="240" w:lineRule="auto"/>
              <w:jc w:val="center"/>
              <w:rPr>
                <w:rFonts w:ascii="Arial" w:hAnsi="Arial"/>
                <w:sz w:val="20"/>
                <w:lang w:val="en-GB"/>
              </w:rPr>
            </w:pPr>
            <w:r w:rsidRPr="001E3745">
              <w:rPr>
                <w:rFonts w:ascii="Arial" w:hAnsi="Arial"/>
                <w:color w:val="000000"/>
                <w:kern w:val="24"/>
                <w:sz w:val="20"/>
                <w:lang w:val="en-GB"/>
              </w:rPr>
              <w:t>0.7 (1.1)</w:t>
            </w:r>
          </w:p>
        </w:tc>
      </w:tr>
      <w:tr w:rsidR="001E3745" w:rsidRPr="001A6367" w14:paraId="7A008C3A" w14:textId="77777777" w:rsidTr="001E3745">
        <w:trPr>
          <w:trHeight w:val="800"/>
        </w:trPr>
        <w:tc>
          <w:tcPr>
            <w:tcW w:w="1480" w:type="pct"/>
            <w:tcBorders>
              <w:top w:val="nil"/>
              <w:left w:val="nil"/>
              <w:bottom w:val="single" w:sz="8" w:space="0" w:color="000000"/>
              <w:right w:val="nil"/>
            </w:tcBorders>
            <w:shd w:val="clear" w:color="auto" w:fill="auto"/>
            <w:tcMar>
              <w:top w:w="23" w:type="dxa"/>
              <w:left w:w="155" w:type="dxa"/>
              <w:bottom w:w="0" w:type="dxa"/>
              <w:right w:w="155" w:type="dxa"/>
            </w:tcMar>
            <w:vAlign w:val="center"/>
            <w:hideMark/>
          </w:tcPr>
          <w:p w14:paraId="26C7B0B7" w14:textId="77777777" w:rsidR="00F34DD2" w:rsidRPr="001E3745" w:rsidRDefault="00F34DD2" w:rsidP="00A601C5">
            <w:pPr>
              <w:spacing w:after="0" w:line="240" w:lineRule="auto"/>
              <w:rPr>
                <w:rFonts w:ascii="Arial" w:hAnsi="Arial"/>
                <w:sz w:val="20"/>
                <w:lang w:val="en-GB"/>
              </w:rPr>
            </w:pPr>
            <w:r w:rsidRPr="001E3745">
              <w:rPr>
                <w:rFonts w:ascii="Arial" w:hAnsi="Arial"/>
                <w:color w:val="000000"/>
                <w:kern w:val="24"/>
                <w:sz w:val="20"/>
                <w:lang w:val="en-GB"/>
              </w:rPr>
              <w:t>Percentage of days without rescue medication use over 12 weeks</w:t>
            </w:r>
          </w:p>
        </w:tc>
        <w:tc>
          <w:tcPr>
            <w:tcW w:w="625" w:type="pct"/>
            <w:tcBorders>
              <w:top w:val="nil"/>
              <w:left w:val="nil"/>
              <w:right w:val="nil"/>
            </w:tcBorders>
            <w:shd w:val="clear" w:color="auto" w:fill="auto"/>
            <w:tcMar>
              <w:top w:w="23" w:type="dxa"/>
              <w:left w:w="101" w:type="dxa"/>
              <w:bottom w:w="0" w:type="dxa"/>
              <w:right w:w="101" w:type="dxa"/>
            </w:tcMar>
            <w:vAlign w:val="center"/>
          </w:tcPr>
          <w:p w14:paraId="55D3228A" w14:textId="77777777" w:rsidR="00F34DD2" w:rsidRPr="001E3745" w:rsidRDefault="00F34DD2" w:rsidP="00A601C5">
            <w:pPr>
              <w:spacing w:after="0" w:line="240" w:lineRule="auto"/>
              <w:jc w:val="center"/>
              <w:rPr>
                <w:rFonts w:ascii="Arial" w:hAnsi="Arial"/>
                <w:sz w:val="20"/>
                <w:lang w:val="en-GB"/>
              </w:rPr>
            </w:pPr>
            <w:r w:rsidRPr="001E3745">
              <w:rPr>
                <w:rFonts w:ascii="Arial" w:hAnsi="Arial"/>
                <w:color w:val="000000"/>
                <w:kern w:val="24"/>
                <w:sz w:val="20"/>
                <w:lang w:val="en-GB"/>
              </w:rPr>
              <w:t xml:space="preserve">32.8 (41.9) </w:t>
            </w:r>
          </w:p>
        </w:tc>
        <w:tc>
          <w:tcPr>
            <w:tcW w:w="1040" w:type="pct"/>
            <w:gridSpan w:val="2"/>
            <w:tcBorders>
              <w:top w:val="nil"/>
              <w:left w:val="nil"/>
              <w:right w:val="single" w:sz="8" w:space="0" w:color="000000"/>
            </w:tcBorders>
            <w:shd w:val="clear" w:color="auto" w:fill="auto"/>
            <w:tcMar>
              <w:top w:w="23" w:type="dxa"/>
              <w:left w:w="101" w:type="dxa"/>
              <w:bottom w:w="0" w:type="dxa"/>
              <w:right w:w="101" w:type="dxa"/>
            </w:tcMar>
            <w:vAlign w:val="center"/>
          </w:tcPr>
          <w:p w14:paraId="1FE0DB9B" w14:textId="77777777" w:rsidR="00F34DD2" w:rsidRPr="001E3745" w:rsidRDefault="00F34DD2" w:rsidP="00A601C5">
            <w:pPr>
              <w:spacing w:after="0" w:line="240" w:lineRule="auto"/>
              <w:jc w:val="center"/>
              <w:rPr>
                <w:rFonts w:ascii="Arial" w:hAnsi="Arial"/>
                <w:sz w:val="20"/>
                <w:lang w:val="en-GB"/>
              </w:rPr>
            </w:pPr>
            <w:r w:rsidRPr="001E3745">
              <w:rPr>
                <w:rFonts w:ascii="Arial" w:hAnsi="Arial"/>
                <w:color w:val="000000"/>
                <w:kern w:val="24"/>
                <w:sz w:val="20"/>
                <w:lang w:val="en-GB"/>
              </w:rPr>
              <w:t>55.1 (42.6)****</w:t>
            </w:r>
          </w:p>
        </w:tc>
        <w:tc>
          <w:tcPr>
            <w:tcW w:w="752" w:type="pct"/>
            <w:tcBorders>
              <w:top w:val="nil"/>
              <w:left w:val="single" w:sz="8" w:space="0" w:color="000000"/>
              <w:right w:val="nil"/>
            </w:tcBorders>
            <w:shd w:val="clear" w:color="auto" w:fill="auto"/>
            <w:tcMar>
              <w:top w:w="23" w:type="dxa"/>
              <w:left w:w="101" w:type="dxa"/>
              <w:bottom w:w="0" w:type="dxa"/>
              <w:right w:w="101" w:type="dxa"/>
            </w:tcMar>
            <w:vAlign w:val="center"/>
          </w:tcPr>
          <w:p w14:paraId="10558A20" w14:textId="77777777" w:rsidR="00F34DD2" w:rsidRPr="001E3745" w:rsidRDefault="00F34DD2" w:rsidP="00A601C5">
            <w:pPr>
              <w:spacing w:after="0" w:line="240" w:lineRule="auto"/>
              <w:jc w:val="center"/>
              <w:rPr>
                <w:rFonts w:ascii="Arial" w:hAnsi="Arial"/>
                <w:sz w:val="20"/>
                <w:lang w:val="en-GB"/>
              </w:rPr>
            </w:pPr>
            <w:r w:rsidRPr="001E3745">
              <w:rPr>
                <w:rFonts w:ascii="Arial" w:hAnsi="Arial"/>
                <w:color w:val="000000"/>
                <w:kern w:val="24"/>
                <w:sz w:val="20"/>
                <w:lang w:val="en-GB"/>
              </w:rPr>
              <w:t>60.4 (42.3)</w:t>
            </w:r>
          </w:p>
        </w:tc>
        <w:tc>
          <w:tcPr>
            <w:tcW w:w="1103" w:type="pct"/>
            <w:gridSpan w:val="2"/>
            <w:tcBorders>
              <w:top w:val="nil"/>
              <w:left w:val="nil"/>
              <w:right w:val="nil"/>
            </w:tcBorders>
            <w:shd w:val="clear" w:color="auto" w:fill="auto"/>
            <w:tcMar>
              <w:top w:w="23" w:type="dxa"/>
              <w:left w:w="101" w:type="dxa"/>
              <w:bottom w:w="0" w:type="dxa"/>
              <w:right w:w="101" w:type="dxa"/>
            </w:tcMar>
            <w:vAlign w:val="center"/>
          </w:tcPr>
          <w:p w14:paraId="3CA0A5AC" w14:textId="77777777" w:rsidR="00F34DD2" w:rsidRPr="001E3745" w:rsidRDefault="00F34DD2" w:rsidP="00A601C5">
            <w:pPr>
              <w:spacing w:after="0" w:line="240" w:lineRule="auto"/>
              <w:jc w:val="center"/>
              <w:rPr>
                <w:rFonts w:ascii="Arial" w:hAnsi="Arial"/>
                <w:sz w:val="20"/>
                <w:lang w:val="en-GB"/>
              </w:rPr>
            </w:pPr>
            <w:r w:rsidRPr="001E3745">
              <w:rPr>
                <w:rFonts w:ascii="Arial" w:hAnsi="Arial"/>
                <w:color w:val="000000"/>
                <w:kern w:val="24"/>
                <w:sz w:val="20"/>
                <w:lang w:val="en-GB"/>
              </w:rPr>
              <w:t>58.3 (42.7)</w:t>
            </w:r>
          </w:p>
        </w:tc>
      </w:tr>
      <w:tr w:rsidR="00F34DD2" w:rsidRPr="001A6367" w14:paraId="74E25C2D" w14:textId="77777777" w:rsidTr="00D94365">
        <w:trPr>
          <w:trHeight w:val="1196"/>
        </w:trPr>
        <w:tc>
          <w:tcPr>
            <w:tcW w:w="5000" w:type="pct"/>
            <w:gridSpan w:val="7"/>
            <w:tcBorders>
              <w:top w:val="single" w:sz="8" w:space="0" w:color="000000"/>
              <w:left w:val="nil"/>
              <w:bottom w:val="single" w:sz="8" w:space="0" w:color="000000"/>
              <w:right w:val="nil"/>
            </w:tcBorders>
            <w:shd w:val="clear" w:color="auto" w:fill="auto"/>
            <w:tcMar>
              <w:top w:w="23" w:type="dxa"/>
              <w:left w:w="155" w:type="dxa"/>
              <w:bottom w:w="0" w:type="dxa"/>
              <w:right w:w="155" w:type="dxa"/>
            </w:tcMar>
            <w:vAlign w:val="center"/>
            <w:hideMark/>
          </w:tcPr>
          <w:p w14:paraId="0210779F" w14:textId="77777777" w:rsidR="00F34DD2" w:rsidRDefault="00F34DD2" w:rsidP="00FB4D8C">
            <w:pPr>
              <w:spacing w:after="0" w:line="240" w:lineRule="auto"/>
              <w:rPr>
                <w:rFonts w:ascii="Arial" w:eastAsia="Times New Roman" w:hAnsi="Arial" w:cs="Arial"/>
                <w:color w:val="000000"/>
                <w:kern w:val="24"/>
                <w:sz w:val="20"/>
                <w:szCs w:val="20"/>
                <w:lang w:val="en-GB"/>
              </w:rPr>
            </w:pPr>
            <w:r w:rsidRPr="00FD6711">
              <w:rPr>
                <w:rFonts w:ascii="Arial" w:eastAsia="Times New Roman" w:hAnsi="Arial" w:cs="Arial"/>
                <w:color w:val="000000"/>
                <w:kern w:val="24"/>
                <w:sz w:val="20"/>
                <w:szCs w:val="20"/>
                <w:lang w:val="en-GB"/>
              </w:rPr>
              <w:t xml:space="preserve">*P &lt; 0.05; **P &lt; 0.01; ***P &lt; 0.001; ****P &lt; 0.0001. </w:t>
            </w:r>
            <w:r w:rsidRPr="00FD6711">
              <w:rPr>
                <w:rFonts w:ascii="Arial" w:eastAsia="Times New Roman" w:hAnsi="Arial" w:cs="Arial"/>
                <w:color w:val="000000"/>
                <w:kern w:val="24"/>
                <w:position w:val="7"/>
                <w:sz w:val="20"/>
                <w:szCs w:val="20"/>
                <w:vertAlign w:val="superscript"/>
                <w:lang w:val="en-GB"/>
              </w:rPr>
              <w:t>#</w:t>
            </w:r>
            <w:r w:rsidRPr="00FD6711">
              <w:rPr>
                <w:rFonts w:ascii="Arial" w:eastAsia="Times New Roman" w:hAnsi="Arial" w:cs="Arial"/>
                <w:color w:val="000000"/>
                <w:kern w:val="24"/>
                <w:sz w:val="20"/>
                <w:szCs w:val="20"/>
                <w:lang w:val="en-GB"/>
              </w:rPr>
              <w:t xml:space="preserve">Non-inferiority testing and patient had </w:t>
            </w:r>
            <w:r>
              <w:rPr>
                <w:rFonts w:ascii="Arial" w:eastAsia="Times New Roman" w:hAnsi="Arial" w:cs="Arial"/>
                <w:color w:val="000000"/>
                <w:kern w:val="24"/>
                <w:sz w:val="20"/>
                <w:szCs w:val="20"/>
                <w:lang w:val="en-GB"/>
              </w:rPr>
              <w:t xml:space="preserve">an </w:t>
            </w:r>
            <w:r w:rsidRPr="00FD6711">
              <w:rPr>
                <w:rFonts w:ascii="Arial" w:eastAsia="Times New Roman" w:hAnsi="Arial" w:cs="Arial"/>
                <w:color w:val="000000"/>
                <w:kern w:val="24"/>
                <w:sz w:val="20"/>
                <w:szCs w:val="20"/>
                <w:lang w:val="en-GB"/>
              </w:rPr>
              <w:t>mMRC</w:t>
            </w:r>
            <w:r>
              <w:rPr>
                <w:rFonts w:ascii="Arial" w:eastAsia="Times New Roman" w:hAnsi="Arial" w:cs="Arial"/>
                <w:color w:val="000000"/>
                <w:kern w:val="24"/>
                <w:sz w:val="20"/>
                <w:szCs w:val="20"/>
                <w:lang w:val="en-GB"/>
              </w:rPr>
              <w:t xml:space="preserve"> score</w:t>
            </w:r>
            <w:r w:rsidRPr="00FD6711">
              <w:rPr>
                <w:rFonts w:ascii="Arial" w:eastAsia="Times New Roman" w:hAnsi="Arial" w:cs="Arial"/>
                <w:color w:val="000000"/>
                <w:kern w:val="24"/>
                <w:sz w:val="20"/>
                <w:szCs w:val="20"/>
                <w:lang w:val="en-GB"/>
              </w:rPr>
              <w:t xml:space="preserve"> = 1. </w:t>
            </w:r>
            <w:r w:rsidRPr="00FD6711">
              <w:rPr>
                <w:rFonts w:ascii="Arial" w:eastAsia="Times New Roman" w:hAnsi="Arial" w:cs="Arial"/>
                <w:color w:val="000000"/>
                <w:kern w:val="24"/>
                <w:position w:val="7"/>
                <w:sz w:val="20"/>
                <w:szCs w:val="20"/>
                <w:vertAlign w:val="superscript"/>
                <w:lang w:val="en-GB"/>
              </w:rPr>
              <w:t>†</w:t>
            </w:r>
            <w:r w:rsidRPr="00FD6711">
              <w:rPr>
                <w:rFonts w:ascii="Arial" w:eastAsia="Times New Roman" w:hAnsi="Arial" w:cs="Arial"/>
                <w:color w:val="000000"/>
                <w:kern w:val="24"/>
                <w:sz w:val="20"/>
                <w:szCs w:val="20"/>
                <w:lang w:val="en-GB"/>
              </w:rPr>
              <w:t xml:space="preserve">Odds ratios are displayed (95% CI) and analysed in the ITT population. Data are presented as mean (standard deviation), unless otherwise specified. </w:t>
            </w:r>
          </w:p>
          <w:p w14:paraId="4CC9CDA0" w14:textId="05A659B0" w:rsidR="00F34DD2" w:rsidRPr="001A6367" w:rsidRDefault="00F34DD2" w:rsidP="00FB4D8C">
            <w:pPr>
              <w:spacing w:after="0" w:line="240" w:lineRule="auto"/>
              <w:rPr>
                <w:rFonts w:ascii="Arial" w:eastAsia="Times New Roman" w:hAnsi="Arial" w:cs="Arial"/>
                <w:sz w:val="20"/>
                <w:szCs w:val="20"/>
                <w:lang w:val="en-GB"/>
              </w:rPr>
            </w:pPr>
            <w:r w:rsidRPr="00FD6711">
              <w:rPr>
                <w:rFonts w:ascii="Arial" w:eastAsia="Times New Roman" w:hAnsi="Arial" w:cs="Arial"/>
                <w:color w:val="000000"/>
                <w:kern w:val="24"/>
                <w:sz w:val="20"/>
                <w:szCs w:val="20"/>
                <w:lang w:val="en-GB"/>
              </w:rPr>
              <w:t xml:space="preserve">CI, confidence interval; CAT, COPD </w:t>
            </w:r>
            <w:r>
              <w:rPr>
                <w:rFonts w:ascii="Arial" w:eastAsia="Times New Roman" w:hAnsi="Arial" w:cs="Arial"/>
                <w:color w:val="000000"/>
                <w:kern w:val="24"/>
                <w:sz w:val="20"/>
                <w:szCs w:val="20"/>
                <w:lang w:val="en-GB"/>
              </w:rPr>
              <w:t>A</w:t>
            </w:r>
            <w:r w:rsidRPr="00FD6711">
              <w:rPr>
                <w:rFonts w:ascii="Arial" w:eastAsia="Times New Roman" w:hAnsi="Arial" w:cs="Arial"/>
                <w:color w:val="000000"/>
                <w:kern w:val="24"/>
                <w:sz w:val="20"/>
                <w:szCs w:val="20"/>
                <w:lang w:val="en-GB"/>
              </w:rPr>
              <w:t xml:space="preserve">ssessment </w:t>
            </w:r>
            <w:r>
              <w:rPr>
                <w:rFonts w:ascii="Arial" w:eastAsia="Times New Roman" w:hAnsi="Arial" w:cs="Arial"/>
                <w:color w:val="000000"/>
                <w:kern w:val="24"/>
                <w:sz w:val="20"/>
                <w:szCs w:val="20"/>
                <w:lang w:val="en-GB"/>
              </w:rPr>
              <w:t>T</w:t>
            </w:r>
            <w:r w:rsidRPr="00FD6711">
              <w:rPr>
                <w:rFonts w:ascii="Arial" w:eastAsia="Times New Roman" w:hAnsi="Arial" w:cs="Arial"/>
                <w:color w:val="000000"/>
                <w:kern w:val="24"/>
                <w:sz w:val="20"/>
                <w:szCs w:val="20"/>
                <w:lang w:val="en-GB"/>
              </w:rPr>
              <w:t xml:space="preserve">est; CCQ, COPD </w:t>
            </w:r>
            <w:r>
              <w:rPr>
                <w:rFonts w:ascii="Arial" w:eastAsia="Times New Roman" w:hAnsi="Arial" w:cs="Arial"/>
                <w:color w:val="000000"/>
                <w:kern w:val="24"/>
                <w:sz w:val="20"/>
                <w:szCs w:val="20"/>
                <w:lang w:val="en-GB"/>
              </w:rPr>
              <w:t>C</w:t>
            </w:r>
            <w:r w:rsidRPr="00FD6711">
              <w:rPr>
                <w:rFonts w:ascii="Arial" w:eastAsia="Times New Roman" w:hAnsi="Arial" w:cs="Arial"/>
                <w:color w:val="000000"/>
                <w:kern w:val="24"/>
                <w:sz w:val="20"/>
                <w:szCs w:val="20"/>
                <w:lang w:val="en-GB"/>
              </w:rPr>
              <w:t xml:space="preserve">linical </w:t>
            </w:r>
            <w:r>
              <w:rPr>
                <w:rFonts w:ascii="Arial" w:eastAsia="Times New Roman" w:hAnsi="Arial" w:cs="Arial"/>
                <w:color w:val="000000"/>
                <w:kern w:val="24"/>
                <w:sz w:val="20"/>
                <w:szCs w:val="20"/>
                <w:lang w:val="en-GB"/>
              </w:rPr>
              <w:t>Q</w:t>
            </w:r>
            <w:r w:rsidRPr="00FD6711">
              <w:rPr>
                <w:rFonts w:ascii="Arial" w:eastAsia="Times New Roman" w:hAnsi="Arial" w:cs="Arial"/>
                <w:color w:val="000000"/>
                <w:kern w:val="24"/>
                <w:sz w:val="20"/>
                <w:szCs w:val="20"/>
                <w:lang w:val="en-GB"/>
              </w:rPr>
              <w:t>uestionnaire; GLY, glycopyrronium; ITT, intention</w:t>
            </w:r>
            <w:r>
              <w:rPr>
                <w:rFonts w:ascii="Arial" w:eastAsia="Times New Roman" w:hAnsi="Arial" w:cs="Arial"/>
                <w:color w:val="000000"/>
                <w:kern w:val="24"/>
                <w:sz w:val="20"/>
                <w:szCs w:val="20"/>
                <w:lang w:val="en-GB"/>
              </w:rPr>
              <w:t xml:space="preserve"> </w:t>
            </w:r>
            <w:r w:rsidRPr="00FD6711">
              <w:rPr>
                <w:rFonts w:ascii="Arial" w:eastAsia="Times New Roman" w:hAnsi="Arial" w:cs="Arial"/>
                <w:color w:val="000000"/>
                <w:kern w:val="24"/>
                <w:sz w:val="20"/>
                <w:szCs w:val="20"/>
                <w:lang w:val="en-GB"/>
              </w:rPr>
              <w:t>to</w:t>
            </w:r>
            <w:r>
              <w:rPr>
                <w:rFonts w:ascii="Arial" w:eastAsia="Times New Roman" w:hAnsi="Arial" w:cs="Arial"/>
                <w:color w:val="000000"/>
                <w:kern w:val="24"/>
                <w:sz w:val="20"/>
                <w:szCs w:val="20"/>
                <w:lang w:val="en-GB"/>
              </w:rPr>
              <w:t xml:space="preserve"> </w:t>
            </w:r>
            <w:r w:rsidRPr="00FD6711">
              <w:rPr>
                <w:rFonts w:ascii="Arial" w:eastAsia="Times New Roman" w:hAnsi="Arial" w:cs="Arial"/>
                <w:color w:val="000000"/>
                <w:kern w:val="24"/>
                <w:sz w:val="20"/>
                <w:szCs w:val="20"/>
                <w:lang w:val="en-GB"/>
              </w:rPr>
              <w:t>treat; LABA, long-acting β</w:t>
            </w:r>
            <w:r w:rsidRPr="00FD6711">
              <w:rPr>
                <w:rFonts w:ascii="Arial" w:eastAsia="Times New Roman" w:hAnsi="Arial" w:cs="Arial"/>
                <w:color w:val="000000"/>
                <w:kern w:val="24"/>
                <w:position w:val="-6"/>
                <w:sz w:val="20"/>
                <w:szCs w:val="20"/>
                <w:vertAlign w:val="subscript"/>
                <w:lang w:val="en-GB"/>
              </w:rPr>
              <w:t>2</w:t>
            </w:r>
            <w:r w:rsidRPr="00FD6711">
              <w:rPr>
                <w:rFonts w:ascii="Arial" w:eastAsia="Times New Roman" w:hAnsi="Arial" w:cs="Arial"/>
                <w:color w:val="000000"/>
                <w:kern w:val="24"/>
                <w:sz w:val="20"/>
                <w:szCs w:val="20"/>
                <w:lang w:val="en-GB"/>
              </w:rPr>
              <w:t>-agonist; LAMA, long-acting muscarinic antagonist; MCID, minimal clinically important diffe</w:t>
            </w:r>
            <w:r w:rsidRPr="001A6367">
              <w:rPr>
                <w:rFonts w:ascii="Arial" w:eastAsia="Times New Roman" w:hAnsi="Arial" w:cs="Arial"/>
                <w:color w:val="000000"/>
                <w:kern w:val="24"/>
                <w:sz w:val="20"/>
                <w:szCs w:val="20"/>
                <w:lang w:val="en-GB"/>
              </w:rPr>
              <w:t>rence; mMRC, modified Medical Research Council; SABA, short-acting β</w:t>
            </w:r>
            <w:r w:rsidRPr="001A6367">
              <w:rPr>
                <w:rFonts w:ascii="Arial" w:eastAsia="Times New Roman" w:hAnsi="Arial" w:cs="Arial"/>
                <w:color w:val="000000"/>
                <w:kern w:val="24"/>
                <w:position w:val="-6"/>
                <w:sz w:val="20"/>
                <w:szCs w:val="20"/>
                <w:vertAlign w:val="subscript"/>
                <w:lang w:val="en-GB"/>
              </w:rPr>
              <w:t>2</w:t>
            </w:r>
            <w:r w:rsidRPr="001A6367">
              <w:rPr>
                <w:rFonts w:ascii="Arial" w:eastAsia="Times New Roman" w:hAnsi="Arial" w:cs="Arial"/>
                <w:color w:val="000000"/>
                <w:kern w:val="24"/>
                <w:sz w:val="20"/>
                <w:szCs w:val="20"/>
                <w:lang w:val="en-GB"/>
              </w:rPr>
              <w:t>-agonist; SAMA, short-acting muscarinic antagonist</w:t>
            </w:r>
          </w:p>
        </w:tc>
      </w:tr>
    </w:tbl>
    <w:p w14:paraId="2AF70E27" w14:textId="77777777" w:rsidR="00F34DD2" w:rsidRPr="00F20375" w:rsidRDefault="00F34DD2" w:rsidP="009445CA">
      <w:pPr>
        <w:rPr>
          <w:rFonts w:ascii="Arial" w:hAnsi="Arial" w:cs="Arial"/>
          <w:b/>
          <w:lang w:val="en-GB"/>
        </w:rPr>
      </w:pPr>
      <w:r w:rsidRPr="00F20375">
        <w:rPr>
          <w:rFonts w:ascii="Arial" w:hAnsi="Arial" w:cs="Arial"/>
          <w:b/>
          <w:lang w:val="en-GB"/>
        </w:rPr>
        <w:br w:type="page"/>
      </w:r>
    </w:p>
    <w:p w14:paraId="62E6C5E8" w14:textId="77777777" w:rsidR="00F34DD2" w:rsidRPr="00F20375" w:rsidRDefault="00F34DD2" w:rsidP="009445CA">
      <w:pPr>
        <w:widowControl w:val="0"/>
        <w:spacing w:after="120" w:line="360" w:lineRule="auto"/>
        <w:rPr>
          <w:rFonts w:ascii="Arial" w:hAnsi="Arial" w:cs="Arial"/>
          <w:b/>
          <w:lang w:val="en-GB"/>
        </w:rPr>
      </w:pPr>
      <w:r w:rsidRPr="00F26B0D">
        <w:rPr>
          <w:rFonts w:ascii="Arial" w:hAnsi="Arial" w:cs="Arial"/>
          <w:b/>
          <w:lang w:val="en-GB"/>
        </w:rPr>
        <w:lastRenderedPageBreak/>
        <w:t>T</w:t>
      </w:r>
      <w:r w:rsidRPr="00F20375">
        <w:rPr>
          <w:rFonts w:ascii="Arial" w:hAnsi="Arial" w:cs="Arial"/>
          <w:b/>
          <w:lang w:val="en-GB"/>
        </w:rPr>
        <w:t xml:space="preserve">able S4. Treatment-emergent adverse events and </w:t>
      </w:r>
      <w:r>
        <w:rPr>
          <w:rFonts w:ascii="Arial" w:hAnsi="Arial" w:cs="Arial"/>
          <w:b/>
          <w:lang w:val="en-GB"/>
        </w:rPr>
        <w:t>serious</w:t>
      </w:r>
      <w:r w:rsidRPr="00F20375">
        <w:rPr>
          <w:rFonts w:ascii="Arial" w:hAnsi="Arial" w:cs="Arial"/>
          <w:b/>
          <w:lang w:val="en-GB"/>
        </w:rPr>
        <w:t xml:space="preserve"> adverse events during the study period</w:t>
      </w:r>
      <w:r>
        <w:rPr>
          <w:rFonts w:ascii="Arial" w:hAnsi="Arial" w:cs="Arial"/>
          <w:b/>
          <w:lang w:val="en-GB"/>
        </w:rPr>
        <w:t xml:space="preserve"> (safety set)</w:t>
      </w:r>
    </w:p>
    <w:tbl>
      <w:tblPr>
        <w:tblW w:w="5009" w:type="pct"/>
        <w:tblCellMar>
          <w:left w:w="0" w:type="dxa"/>
          <w:right w:w="0" w:type="dxa"/>
        </w:tblCellMar>
        <w:tblLook w:val="0600" w:firstRow="0" w:lastRow="0" w:firstColumn="0" w:lastColumn="0" w:noHBand="1" w:noVBand="1"/>
      </w:tblPr>
      <w:tblGrid>
        <w:gridCol w:w="3245"/>
        <w:gridCol w:w="1618"/>
        <w:gridCol w:w="1437"/>
        <w:gridCol w:w="1620"/>
        <w:gridCol w:w="1457"/>
      </w:tblGrid>
      <w:tr w:rsidR="001E3745" w:rsidRPr="001A6367" w14:paraId="61A32C1D" w14:textId="77777777" w:rsidTr="00025300">
        <w:trPr>
          <w:trHeight w:val="402"/>
        </w:trPr>
        <w:tc>
          <w:tcPr>
            <w:tcW w:w="1730" w:type="pct"/>
            <w:tcBorders>
              <w:top w:val="single" w:sz="8" w:space="0" w:color="000000"/>
              <w:left w:val="nil"/>
              <w:bottom w:val="single" w:sz="8" w:space="0" w:color="000000"/>
              <w:right w:val="nil"/>
            </w:tcBorders>
            <w:shd w:val="clear" w:color="auto" w:fill="auto"/>
            <w:tcMar>
              <w:top w:w="28" w:type="dxa"/>
              <w:left w:w="112" w:type="dxa"/>
              <w:bottom w:w="0" w:type="dxa"/>
              <w:right w:w="112" w:type="dxa"/>
            </w:tcMar>
            <w:vAlign w:val="bottom"/>
            <w:hideMark/>
          </w:tcPr>
          <w:p w14:paraId="4A434A05" w14:textId="77777777" w:rsidR="00F34DD2" w:rsidRPr="001E3745" w:rsidRDefault="00F34DD2" w:rsidP="003F1B28">
            <w:pPr>
              <w:spacing w:after="0" w:line="240" w:lineRule="auto"/>
              <w:rPr>
                <w:rFonts w:ascii="Arial" w:hAnsi="Arial"/>
                <w:sz w:val="20"/>
                <w:lang w:val="en-GB"/>
              </w:rPr>
            </w:pPr>
          </w:p>
        </w:tc>
        <w:tc>
          <w:tcPr>
            <w:tcW w:w="863" w:type="pct"/>
            <w:tcBorders>
              <w:top w:val="single" w:sz="8" w:space="0" w:color="000000"/>
              <w:left w:val="nil"/>
              <w:bottom w:val="single" w:sz="8" w:space="0" w:color="000000"/>
              <w:right w:val="nil"/>
            </w:tcBorders>
            <w:shd w:val="clear" w:color="auto" w:fill="auto"/>
            <w:tcMar>
              <w:top w:w="28" w:type="dxa"/>
              <w:left w:w="112" w:type="dxa"/>
              <w:bottom w:w="0" w:type="dxa"/>
              <w:right w:w="112" w:type="dxa"/>
            </w:tcMar>
            <w:vAlign w:val="bottom"/>
            <w:hideMark/>
          </w:tcPr>
          <w:p w14:paraId="127B7B82" w14:textId="77777777" w:rsidR="00F34DD2" w:rsidRPr="001E3745" w:rsidRDefault="00F34DD2" w:rsidP="003F1B28">
            <w:pPr>
              <w:spacing w:after="0" w:line="240" w:lineRule="auto"/>
              <w:ind w:left="29"/>
              <w:jc w:val="center"/>
              <w:rPr>
                <w:rFonts w:ascii="Arial" w:hAnsi="Arial"/>
                <w:sz w:val="20"/>
                <w:lang w:val="en-GB"/>
              </w:rPr>
            </w:pPr>
            <w:r w:rsidRPr="001E3745">
              <w:rPr>
                <w:rFonts w:ascii="Arial" w:hAnsi="Arial"/>
                <w:b/>
                <w:color w:val="000000"/>
                <w:kern w:val="24"/>
                <w:sz w:val="20"/>
                <w:lang w:val="en-GB"/>
              </w:rPr>
              <w:t>SABA and/or SAMA</w:t>
            </w:r>
            <w:r w:rsidRPr="001E3745">
              <w:rPr>
                <w:rFonts w:ascii="Arial" w:hAnsi="Arial"/>
                <w:b/>
                <w:color w:val="000000"/>
                <w:kern w:val="24"/>
                <w:sz w:val="20"/>
                <w:lang w:val="en-GB"/>
              </w:rPr>
              <w:br/>
              <w:t>n = 125</w:t>
            </w:r>
          </w:p>
        </w:tc>
        <w:tc>
          <w:tcPr>
            <w:tcW w:w="766" w:type="pct"/>
            <w:tcBorders>
              <w:top w:val="single" w:sz="8" w:space="0" w:color="000000"/>
              <w:left w:val="nil"/>
              <w:bottom w:val="single" w:sz="8" w:space="0" w:color="000000"/>
              <w:right w:val="single" w:sz="8" w:space="0" w:color="000000"/>
            </w:tcBorders>
            <w:shd w:val="clear" w:color="auto" w:fill="auto"/>
            <w:tcMar>
              <w:top w:w="28" w:type="dxa"/>
              <w:left w:w="112" w:type="dxa"/>
              <w:bottom w:w="0" w:type="dxa"/>
              <w:right w:w="112" w:type="dxa"/>
            </w:tcMar>
            <w:vAlign w:val="bottom"/>
            <w:hideMark/>
          </w:tcPr>
          <w:p w14:paraId="263DEDF7" w14:textId="77777777" w:rsidR="00F34DD2" w:rsidRPr="001E3745" w:rsidRDefault="00F34DD2" w:rsidP="003F1B28">
            <w:pPr>
              <w:spacing w:after="0" w:line="240" w:lineRule="auto"/>
              <w:ind w:left="29"/>
              <w:jc w:val="center"/>
              <w:rPr>
                <w:rFonts w:ascii="Arial" w:hAnsi="Arial"/>
                <w:sz w:val="20"/>
                <w:lang w:val="en-GB"/>
              </w:rPr>
            </w:pPr>
            <w:r w:rsidRPr="001E3745">
              <w:rPr>
                <w:rFonts w:ascii="Arial" w:hAnsi="Arial"/>
                <w:b/>
                <w:color w:val="000000"/>
                <w:kern w:val="24"/>
                <w:sz w:val="20"/>
                <w:lang w:val="en-GB"/>
              </w:rPr>
              <w:t>GLY</w:t>
            </w:r>
            <w:r w:rsidRPr="001E3745">
              <w:rPr>
                <w:rFonts w:ascii="Arial" w:hAnsi="Arial"/>
                <w:b/>
                <w:color w:val="000000"/>
                <w:kern w:val="24"/>
                <w:sz w:val="20"/>
                <w:lang w:val="en-GB"/>
              </w:rPr>
              <w:br/>
              <w:t>n = 385</w:t>
            </w:r>
          </w:p>
        </w:tc>
        <w:tc>
          <w:tcPr>
            <w:tcW w:w="864" w:type="pct"/>
            <w:tcBorders>
              <w:top w:val="single" w:sz="8" w:space="0" w:color="000000"/>
              <w:left w:val="single" w:sz="8" w:space="0" w:color="000000"/>
              <w:bottom w:val="single" w:sz="8" w:space="0" w:color="000000"/>
              <w:right w:val="nil"/>
            </w:tcBorders>
            <w:shd w:val="clear" w:color="auto" w:fill="auto"/>
            <w:tcMar>
              <w:top w:w="28" w:type="dxa"/>
              <w:left w:w="112" w:type="dxa"/>
              <w:bottom w:w="0" w:type="dxa"/>
              <w:right w:w="112" w:type="dxa"/>
            </w:tcMar>
            <w:vAlign w:val="bottom"/>
            <w:hideMark/>
          </w:tcPr>
          <w:p w14:paraId="30DED800" w14:textId="77777777" w:rsidR="00F34DD2" w:rsidRPr="001E3745" w:rsidRDefault="00F34DD2" w:rsidP="003F1B28">
            <w:pPr>
              <w:spacing w:after="0" w:line="240" w:lineRule="auto"/>
              <w:ind w:left="29"/>
              <w:jc w:val="center"/>
              <w:rPr>
                <w:rFonts w:ascii="Arial" w:hAnsi="Arial"/>
                <w:sz w:val="20"/>
                <w:lang w:val="en-GB"/>
              </w:rPr>
            </w:pPr>
            <w:r w:rsidRPr="001E3745">
              <w:rPr>
                <w:rFonts w:ascii="Arial" w:hAnsi="Arial"/>
                <w:b/>
                <w:color w:val="000000"/>
                <w:kern w:val="24"/>
                <w:sz w:val="20"/>
                <w:lang w:val="en-GB"/>
              </w:rPr>
              <w:t>LABA or LAMA</w:t>
            </w:r>
            <w:r w:rsidRPr="001E3745">
              <w:rPr>
                <w:rFonts w:ascii="Arial" w:hAnsi="Arial"/>
                <w:b/>
                <w:color w:val="000000"/>
                <w:kern w:val="24"/>
                <w:position w:val="11"/>
                <w:sz w:val="20"/>
                <w:vertAlign w:val="superscript"/>
                <w:lang w:val="en-GB"/>
              </w:rPr>
              <w:t>#</w:t>
            </w:r>
            <w:r w:rsidRPr="001E3745">
              <w:rPr>
                <w:rFonts w:ascii="Arial" w:hAnsi="Arial"/>
                <w:b/>
                <w:color w:val="000000"/>
                <w:kern w:val="24"/>
                <w:sz w:val="20"/>
                <w:lang w:val="en-GB"/>
              </w:rPr>
              <w:br/>
              <w:t>n = 417</w:t>
            </w:r>
          </w:p>
        </w:tc>
        <w:tc>
          <w:tcPr>
            <w:tcW w:w="777" w:type="pct"/>
            <w:tcBorders>
              <w:top w:val="single" w:sz="8" w:space="0" w:color="000000"/>
              <w:left w:val="nil"/>
              <w:bottom w:val="single" w:sz="8" w:space="0" w:color="000000"/>
              <w:right w:val="nil"/>
            </w:tcBorders>
            <w:shd w:val="clear" w:color="auto" w:fill="auto"/>
            <w:tcMar>
              <w:top w:w="28" w:type="dxa"/>
              <w:left w:w="112" w:type="dxa"/>
              <w:bottom w:w="0" w:type="dxa"/>
              <w:right w:w="112" w:type="dxa"/>
            </w:tcMar>
            <w:vAlign w:val="bottom"/>
            <w:hideMark/>
          </w:tcPr>
          <w:p w14:paraId="70114579" w14:textId="77777777" w:rsidR="00F34DD2" w:rsidRPr="001E3745" w:rsidRDefault="00F34DD2" w:rsidP="004233FD">
            <w:pPr>
              <w:spacing w:after="0" w:line="240" w:lineRule="auto"/>
              <w:ind w:left="29"/>
              <w:jc w:val="center"/>
              <w:rPr>
                <w:rFonts w:ascii="Arial" w:hAnsi="Arial"/>
                <w:sz w:val="20"/>
                <w:lang w:val="en-GB"/>
              </w:rPr>
            </w:pPr>
            <w:r w:rsidRPr="001E3745">
              <w:rPr>
                <w:rFonts w:ascii="Arial" w:hAnsi="Arial"/>
                <w:b/>
                <w:color w:val="000000"/>
                <w:kern w:val="24"/>
                <w:sz w:val="20"/>
                <w:lang w:val="en-GB"/>
              </w:rPr>
              <w:t>GLY</w:t>
            </w:r>
            <w:r w:rsidRPr="001E3745">
              <w:rPr>
                <w:rFonts w:ascii="Arial" w:hAnsi="Arial"/>
                <w:b/>
                <w:color w:val="000000"/>
                <w:kern w:val="24"/>
                <w:position w:val="11"/>
                <w:sz w:val="20"/>
                <w:lang w:val="en-GB"/>
              </w:rPr>
              <w:t>*</w:t>
            </w:r>
            <w:r w:rsidRPr="001E3745">
              <w:rPr>
                <w:rFonts w:ascii="Arial" w:hAnsi="Arial"/>
                <w:b/>
                <w:color w:val="000000"/>
                <w:kern w:val="24"/>
                <w:sz w:val="20"/>
                <w:lang w:val="en-GB"/>
              </w:rPr>
              <w:br/>
              <w:t>n = 1248</w:t>
            </w:r>
          </w:p>
        </w:tc>
      </w:tr>
      <w:tr w:rsidR="001E3745" w:rsidRPr="001A6367" w14:paraId="13AF7588" w14:textId="77777777" w:rsidTr="00025300">
        <w:trPr>
          <w:trHeight w:val="276"/>
        </w:trPr>
        <w:tc>
          <w:tcPr>
            <w:tcW w:w="1730" w:type="pct"/>
            <w:tcBorders>
              <w:top w:val="single" w:sz="8" w:space="0" w:color="000000"/>
              <w:left w:val="nil"/>
              <w:bottom w:val="nil"/>
              <w:right w:val="nil"/>
            </w:tcBorders>
            <w:shd w:val="clear" w:color="auto" w:fill="auto"/>
            <w:tcMar>
              <w:top w:w="28" w:type="dxa"/>
              <w:left w:w="112" w:type="dxa"/>
              <w:bottom w:w="0" w:type="dxa"/>
              <w:right w:w="112" w:type="dxa"/>
            </w:tcMar>
            <w:vAlign w:val="center"/>
            <w:hideMark/>
          </w:tcPr>
          <w:p w14:paraId="4BE049CC" w14:textId="77777777" w:rsidR="00F34DD2" w:rsidRPr="001E3745" w:rsidRDefault="00F34DD2" w:rsidP="00747C3C">
            <w:pPr>
              <w:spacing w:after="0" w:line="240" w:lineRule="auto"/>
              <w:rPr>
                <w:rFonts w:ascii="Arial" w:hAnsi="Arial"/>
                <w:sz w:val="20"/>
                <w:lang w:val="en-GB"/>
              </w:rPr>
            </w:pPr>
            <w:r w:rsidRPr="001E3745">
              <w:rPr>
                <w:rFonts w:ascii="Arial" w:hAnsi="Arial"/>
                <w:color w:val="000000"/>
                <w:kern w:val="24"/>
                <w:sz w:val="20"/>
                <w:lang w:val="en-GB"/>
              </w:rPr>
              <w:t>Any adverse event </w:t>
            </w:r>
          </w:p>
        </w:tc>
        <w:tc>
          <w:tcPr>
            <w:tcW w:w="863" w:type="pct"/>
            <w:tcBorders>
              <w:top w:val="single" w:sz="8" w:space="0" w:color="000000"/>
              <w:left w:val="nil"/>
              <w:bottom w:val="nil"/>
              <w:right w:val="nil"/>
            </w:tcBorders>
            <w:shd w:val="clear" w:color="auto" w:fill="auto"/>
            <w:tcMar>
              <w:top w:w="28" w:type="dxa"/>
              <w:left w:w="112" w:type="dxa"/>
              <w:bottom w:w="0" w:type="dxa"/>
              <w:right w:w="112" w:type="dxa"/>
            </w:tcMar>
            <w:hideMark/>
          </w:tcPr>
          <w:p w14:paraId="767BFB36" w14:textId="77777777" w:rsidR="00F34DD2" w:rsidRPr="001E3745" w:rsidRDefault="00F34DD2" w:rsidP="004A269C">
            <w:pPr>
              <w:spacing w:after="0" w:line="240" w:lineRule="auto"/>
              <w:ind w:left="29"/>
              <w:jc w:val="center"/>
              <w:rPr>
                <w:rFonts w:ascii="Arial" w:hAnsi="Arial"/>
                <w:sz w:val="20"/>
                <w:lang w:val="en-GB"/>
              </w:rPr>
            </w:pPr>
            <w:r w:rsidRPr="001E3745">
              <w:rPr>
                <w:rFonts w:ascii="Arial" w:hAnsi="Arial"/>
                <w:color w:val="000000"/>
                <w:kern w:val="24"/>
                <w:sz w:val="20"/>
                <w:lang w:val="en-GB"/>
              </w:rPr>
              <w:t>38 (30.4%)</w:t>
            </w:r>
          </w:p>
        </w:tc>
        <w:tc>
          <w:tcPr>
            <w:tcW w:w="766" w:type="pct"/>
            <w:tcBorders>
              <w:top w:val="single" w:sz="8" w:space="0" w:color="000000"/>
              <w:left w:val="nil"/>
              <w:bottom w:val="nil"/>
              <w:right w:val="single" w:sz="8" w:space="0" w:color="000000"/>
            </w:tcBorders>
            <w:shd w:val="clear" w:color="auto" w:fill="auto"/>
            <w:tcMar>
              <w:top w:w="28" w:type="dxa"/>
              <w:left w:w="112" w:type="dxa"/>
              <w:bottom w:w="0" w:type="dxa"/>
              <w:right w:w="112" w:type="dxa"/>
            </w:tcMar>
            <w:hideMark/>
          </w:tcPr>
          <w:p w14:paraId="0D613A3C" w14:textId="77777777" w:rsidR="00F34DD2" w:rsidRPr="001E3745" w:rsidRDefault="00F34DD2" w:rsidP="006E3D72">
            <w:pPr>
              <w:spacing w:after="0" w:line="240" w:lineRule="auto"/>
              <w:ind w:left="29"/>
              <w:jc w:val="center"/>
              <w:rPr>
                <w:rFonts w:ascii="Arial" w:hAnsi="Arial"/>
                <w:sz w:val="20"/>
                <w:lang w:val="en-GB"/>
              </w:rPr>
            </w:pPr>
            <w:r w:rsidRPr="001E3745">
              <w:rPr>
                <w:rFonts w:ascii="Arial" w:hAnsi="Arial"/>
                <w:color w:val="000000"/>
                <w:kern w:val="24"/>
                <w:sz w:val="20"/>
                <w:lang w:val="en-GB"/>
              </w:rPr>
              <w:t>122 (31.7%)</w:t>
            </w:r>
          </w:p>
        </w:tc>
        <w:tc>
          <w:tcPr>
            <w:tcW w:w="864" w:type="pct"/>
            <w:tcBorders>
              <w:top w:val="single" w:sz="8" w:space="0" w:color="000000"/>
              <w:left w:val="single" w:sz="8" w:space="0" w:color="000000"/>
              <w:bottom w:val="nil"/>
              <w:right w:val="nil"/>
            </w:tcBorders>
            <w:shd w:val="clear" w:color="auto" w:fill="auto"/>
            <w:tcMar>
              <w:top w:w="28" w:type="dxa"/>
              <w:left w:w="112" w:type="dxa"/>
              <w:bottom w:w="0" w:type="dxa"/>
              <w:right w:w="112" w:type="dxa"/>
            </w:tcMar>
            <w:hideMark/>
          </w:tcPr>
          <w:p w14:paraId="6603CDC3" w14:textId="77777777" w:rsidR="00F34DD2" w:rsidRPr="001E3745" w:rsidRDefault="00F34DD2" w:rsidP="003F1B28">
            <w:pPr>
              <w:spacing w:after="0" w:line="240" w:lineRule="auto"/>
              <w:ind w:left="29"/>
              <w:jc w:val="center"/>
              <w:rPr>
                <w:rFonts w:ascii="Arial" w:hAnsi="Arial"/>
                <w:sz w:val="20"/>
                <w:lang w:val="en-GB"/>
              </w:rPr>
            </w:pPr>
            <w:r w:rsidRPr="001E3745">
              <w:rPr>
                <w:rFonts w:ascii="Arial" w:hAnsi="Arial"/>
                <w:color w:val="000000"/>
                <w:kern w:val="24"/>
                <w:sz w:val="20"/>
                <w:lang w:val="en-GB"/>
              </w:rPr>
              <w:t>104 (24.9%)</w:t>
            </w:r>
          </w:p>
        </w:tc>
        <w:tc>
          <w:tcPr>
            <w:tcW w:w="777" w:type="pct"/>
            <w:tcBorders>
              <w:top w:val="single" w:sz="8" w:space="0" w:color="000000"/>
              <w:left w:val="nil"/>
              <w:bottom w:val="nil"/>
              <w:right w:val="nil"/>
            </w:tcBorders>
            <w:shd w:val="clear" w:color="auto" w:fill="auto"/>
            <w:tcMar>
              <w:top w:w="28" w:type="dxa"/>
              <w:left w:w="112" w:type="dxa"/>
              <w:bottom w:w="0" w:type="dxa"/>
              <w:right w:w="112" w:type="dxa"/>
            </w:tcMar>
            <w:hideMark/>
          </w:tcPr>
          <w:p w14:paraId="3AF993FF" w14:textId="77777777" w:rsidR="00F34DD2" w:rsidRPr="001E3745" w:rsidRDefault="00F34DD2" w:rsidP="006E3D72">
            <w:pPr>
              <w:spacing w:after="0" w:line="240" w:lineRule="auto"/>
              <w:ind w:left="29"/>
              <w:jc w:val="center"/>
              <w:rPr>
                <w:rFonts w:ascii="Arial" w:hAnsi="Arial"/>
                <w:sz w:val="20"/>
                <w:lang w:val="en-GB"/>
              </w:rPr>
            </w:pPr>
            <w:r w:rsidRPr="001E3745">
              <w:rPr>
                <w:rFonts w:ascii="Arial" w:hAnsi="Arial"/>
                <w:color w:val="000000"/>
                <w:kern w:val="24"/>
                <w:sz w:val="20"/>
                <w:lang w:val="en-GB"/>
              </w:rPr>
              <w:t>316 (25.3%)</w:t>
            </w:r>
          </w:p>
        </w:tc>
      </w:tr>
      <w:tr w:rsidR="001E3745" w:rsidRPr="001A6367" w14:paraId="734F4F24" w14:textId="77777777" w:rsidTr="00025300">
        <w:trPr>
          <w:trHeight w:val="35"/>
        </w:trPr>
        <w:tc>
          <w:tcPr>
            <w:tcW w:w="1730" w:type="pct"/>
            <w:tcBorders>
              <w:top w:val="nil"/>
              <w:left w:val="nil"/>
              <w:bottom w:val="nil"/>
              <w:right w:val="nil"/>
            </w:tcBorders>
            <w:shd w:val="clear" w:color="auto" w:fill="auto"/>
            <w:tcMar>
              <w:top w:w="28" w:type="dxa"/>
              <w:left w:w="112" w:type="dxa"/>
              <w:bottom w:w="0" w:type="dxa"/>
              <w:right w:w="112" w:type="dxa"/>
            </w:tcMar>
            <w:vAlign w:val="center"/>
            <w:hideMark/>
          </w:tcPr>
          <w:p w14:paraId="4D3C985B" w14:textId="77777777" w:rsidR="00F34DD2" w:rsidRPr="001E3745" w:rsidRDefault="00F34DD2" w:rsidP="00E26948">
            <w:pPr>
              <w:spacing w:after="0" w:line="240" w:lineRule="auto"/>
              <w:ind w:left="29"/>
              <w:rPr>
                <w:rFonts w:ascii="Arial" w:hAnsi="Arial"/>
                <w:sz w:val="20"/>
                <w:lang w:val="en-GB"/>
              </w:rPr>
            </w:pPr>
            <w:r w:rsidRPr="001E3745">
              <w:rPr>
                <w:rFonts w:ascii="Arial" w:hAnsi="Arial"/>
                <w:color w:val="000000"/>
                <w:kern w:val="24"/>
                <w:sz w:val="20"/>
                <w:lang w:val="en-GB"/>
              </w:rPr>
              <w:t>Any serious adverse event</w:t>
            </w:r>
          </w:p>
        </w:tc>
        <w:tc>
          <w:tcPr>
            <w:tcW w:w="863" w:type="pct"/>
            <w:tcBorders>
              <w:top w:val="nil"/>
              <w:left w:val="nil"/>
              <w:bottom w:val="nil"/>
              <w:right w:val="nil"/>
            </w:tcBorders>
            <w:shd w:val="clear" w:color="auto" w:fill="auto"/>
            <w:tcMar>
              <w:top w:w="28" w:type="dxa"/>
              <w:left w:w="112" w:type="dxa"/>
              <w:bottom w:w="0" w:type="dxa"/>
              <w:right w:w="112" w:type="dxa"/>
            </w:tcMar>
            <w:hideMark/>
          </w:tcPr>
          <w:p w14:paraId="28ADAC82" w14:textId="77777777" w:rsidR="00F34DD2" w:rsidRPr="001E3745" w:rsidRDefault="00F34DD2" w:rsidP="003F1B28">
            <w:pPr>
              <w:spacing w:after="0" w:line="240" w:lineRule="auto"/>
              <w:ind w:left="29"/>
              <w:jc w:val="center"/>
              <w:rPr>
                <w:rFonts w:ascii="Arial" w:hAnsi="Arial"/>
                <w:sz w:val="20"/>
                <w:lang w:val="en-GB"/>
              </w:rPr>
            </w:pPr>
            <w:r w:rsidRPr="001E3745">
              <w:rPr>
                <w:rFonts w:ascii="Arial" w:hAnsi="Arial"/>
                <w:color w:val="000000"/>
                <w:kern w:val="24"/>
                <w:sz w:val="20"/>
                <w:lang w:val="en-GB"/>
              </w:rPr>
              <w:t>4 (3.2%)</w:t>
            </w:r>
          </w:p>
        </w:tc>
        <w:tc>
          <w:tcPr>
            <w:tcW w:w="766" w:type="pct"/>
            <w:tcBorders>
              <w:top w:val="nil"/>
              <w:left w:val="nil"/>
              <w:bottom w:val="nil"/>
              <w:right w:val="single" w:sz="8" w:space="0" w:color="000000"/>
            </w:tcBorders>
            <w:shd w:val="clear" w:color="auto" w:fill="auto"/>
            <w:tcMar>
              <w:top w:w="28" w:type="dxa"/>
              <w:left w:w="112" w:type="dxa"/>
              <w:bottom w:w="0" w:type="dxa"/>
              <w:right w:w="112" w:type="dxa"/>
            </w:tcMar>
            <w:hideMark/>
          </w:tcPr>
          <w:p w14:paraId="29BFBBB6" w14:textId="77777777" w:rsidR="00F34DD2" w:rsidRPr="001E3745" w:rsidRDefault="00F34DD2" w:rsidP="006E3D72">
            <w:pPr>
              <w:spacing w:after="0" w:line="240" w:lineRule="auto"/>
              <w:ind w:left="29"/>
              <w:jc w:val="center"/>
              <w:rPr>
                <w:rFonts w:ascii="Arial" w:hAnsi="Arial"/>
                <w:sz w:val="20"/>
                <w:lang w:val="en-GB"/>
              </w:rPr>
            </w:pPr>
            <w:r w:rsidRPr="001E3745">
              <w:rPr>
                <w:rFonts w:ascii="Arial" w:hAnsi="Arial"/>
                <w:color w:val="000000"/>
                <w:kern w:val="24"/>
                <w:sz w:val="20"/>
                <w:lang w:val="en-GB"/>
              </w:rPr>
              <w:t>9 (2.3%)</w:t>
            </w:r>
          </w:p>
        </w:tc>
        <w:tc>
          <w:tcPr>
            <w:tcW w:w="864" w:type="pct"/>
            <w:tcBorders>
              <w:top w:val="nil"/>
              <w:left w:val="single" w:sz="8" w:space="0" w:color="000000"/>
              <w:bottom w:val="nil"/>
              <w:right w:val="nil"/>
            </w:tcBorders>
            <w:shd w:val="clear" w:color="auto" w:fill="auto"/>
            <w:tcMar>
              <w:top w:w="28" w:type="dxa"/>
              <w:left w:w="112" w:type="dxa"/>
              <w:bottom w:w="0" w:type="dxa"/>
              <w:right w:w="112" w:type="dxa"/>
            </w:tcMar>
            <w:hideMark/>
          </w:tcPr>
          <w:p w14:paraId="3B910FB5" w14:textId="77777777" w:rsidR="00F34DD2" w:rsidRPr="001E3745" w:rsidRDefault="00F34DD2" w:rsidP="004233FD">
            <w:pPr>
              <w:spacing w:after="0" w:line="240" w:lineRule="auto"/>
              <w:ind w:left="29"/>
              <w:jc w:val="center"/>
              <w:rPr>
                <w:rFonts w:ascii="Arial" w:hAnsi="Arial"/>
                <w:sz w:val="20"/>
                <w:lang w:val="en-GB"/>
              </w:rPr>
            </w:pPr>
            <w:r w:rsidRPr="001E3745">
              <w:rPr>
                <w:rFonts w:ascii="Arial" w:hAnsi="Arial"/>
                <w:color w:val="000000"/>
                <w:kern w:val="24"/>
                <w:sz w:val="20"/>
                <w:lang w:val="en-GB"/>
              </w:rPr>
              <w:t>11 (2.6%)</w:t>
            </w:r>
          </w:p>
        </w:tc>
        <w:tc>
          <w:tcPr>
            <w:tcW w:w="777" w:type="pct"/>
            <w:tcBorders>
              <w:top w:val="nil"/>
              <w:left w:val="nil"/>
              <w:bottom w:val="nil"/>
              <w:right w:val="nil"/>
            </w:tcBorders>
            <w:shd w:val="clear" w:color="auto" w:fill="auto"/>
            <w:tcMar>
              <w:top w:w="28" w:type="dxa"/>
              <w:left w:w="112" w:type="dxa"/>
              <w:bottom w:w="0" w:type="dxa"/>
              <w:right w:w="112" w:type="dxa"/>
            </w:tcMar>
            <w:hideMark/>
          </w:tcPr>
          <w:p w14:paraId="47145D62" w14:textId="77777777" w:rsidR="00F34DD2" w:rsidRPr="001E3745" w:rsidRDefault="00F34DD2" w:rsidP="006E3D72">
            <w:pPr>
              <w:spacing w:after="0" w:line="240" w:lineRule="auto"/>
              <w:ind w:left="29"/>
              <w:jc w:val="center"/>
              <w:rPr>
                <w:rFonts w:ascii="Arial" w:hAnsi="Arial"/>
                <w:sz w:val="20"/>
                <w:lang w:val="en-GB"/>
              </w:rPr>
            </w:pPr>
            <w:r w:rsidRPr="001E3745">
              <w:rPr>
                <w:rFonts w:ascii="Arial" w:hAnsi="Arial"/>
                <w:color w:val="000000"/>
                <w:kern w:val="24"/>
                <w:sz w:val="20"/>
                <w:lang w:val="en-GB"/>
              </w:rPr>
              <w:t>30 (2.4%)</w:t>
            </w:r>
          </w:p>
        </w:tc>
      </w:tr>
      <w:tr w:rsidR="001E3745" w:rsidRPr="001A6367" w14:paraId="27F38D39" w14:textId="77777777" w:rsidTr="00025300">
        <w:trPr>
          <w:trHeight w:val="35"/>
        </w:trPr>
        <w:tc>
          <w:tcPr>
            <w:tcW w:w="1730" w:type="pct"/>
            <w:tcBorders>
              <w:top w:val="nil"/>
              <w:left w:val="nil"/>
              <w:bottom w:val="nil"/>
              <w:right w:val="nil"/>
            </w:tcBorders>
            <w:shd w:val="clear" w:color="auto" w:fill="auto"/>
            <w:tcMar>
              <w:top w:w="28" w:type="dxa"/>
              <w:left w:w="112" w:type="dxa"/>
              <w:bottom w:w="0" w:type="dxa"/>
              <w:right w:w="112" w:type="dxa"/>
            </w:tcMar>
            <w:hideMark/>
          </w:tcPr>
          <w:p w14:paraId="449C106A" w14:textId="77777777" w:rsidR="00F34DD2" w:rsidRPr="001E3745" w:rsidRDefault="00F34DD2" w:rsidP="00747C3C">
            <w:pPr>
              <w:spacing w:after="0" w:line="240" w:lineRule="auto"/>
              <w:ind w:left="360" w:hanging="360"/>
              <w:rPr>
                <w:rFonts w:ascii="Arial" w:hAnsi="Arial"/>
                <w:sz w:val="20"/>
                <w:lang w:val="en-GB"/>
              </w:rPr>
            </w:pPr>
            <w:r w:rsidRPr="001E3745">
              <w:rPr>
                <w:rFonts w:ascii="Arial" w:hAnsi="Arial"/>
                <w:color w:val="000000"/>
                <w:kern w:val="24"/>
                <w:sz w:val="20"/>
                <w:lang w:val="en-GB"/>
              </w:rPr>
              <w:t>Any suspected drug-related adverse event</w:t>
            </w:r>
          </w:p>
        </w:tc>
        <w:tc>
          <w:tcPr>
            <w:tcW w:w="863" w:type="pct"/>
            <w:tcBorders>
              <w:top w:val="nil"/>
              <w:left w:val="nil"/>
              <w:bottom w:val="nil"/>
              <w:right w:val="nil"/>
            </w:tcBorders>
            <w:shd w:val="clear" w:color="auto" w:fill="auto"/>
            <w:tcMar>
              <w:top w:w="28" w:type="dxa"/>
              <w:left w:w="112" w:type="dxa"/>
              <w:bottom w:w="0" w:type="dxa"/>
              <w:right w:w="112" w:type="dxa"/>
            </w:tcMar>
            <w:hideMark/>
          </w:tcPr>
          <w:p w14:paraId="322E818F" w14:textId="77777777" w:rsidR="00F34DD2" w:rsidRPr="001E3745" w:rsidRDefault="00F34DD2" w:rsidP="003F1B28">
            <w:pPr>
              <w:spacing w:after="0" w:line="240" w:lineRule="auto"/>
              <w:ind w:left="29"/>
              <w:jc w:val="center"/>
              <w:rPr>
                <w:rFonts w:ascii="Arial" w:hAnsi="Arial"/>
                <w:sz w:val="20"/>
                <w:lang w:val="en-GB"/>
              </w:rPr>
            </w:pPr>
            <w:r w:rsidRPr="001E3745">
              <w:rPr>
                <w:rFonts w:ascii="Arial" w:hAnsi="Arial"/>
                <w:color w:val="000000"/>
                <w:kern w:val="24"/>
                <w:sz w:val="20"/>
                <w:lang w:val="en-GB"/>
              </w:rPr>
              <w:t>0 (0.0%)</w:t>
            </w:r>
          </w:p>
        </w:tc>
        <w:tc>
          <w:tcPr>
            <w:tcW w:w="766" w:type="pct"/>
            <w:tcBorders>
              <w:top w:val="nil"/>
              <w:left w:val="nil"/>
              <w:bottom w:val="nil"/>
              <w:right w:val="single" w:sz="8" w:space="0" w:color="000000"/>
            </w:tcBorders>
            <w:shd w:val="clear" w:color="auto" w:fill="auto"/>
            <w:tcMar>
              <w:top w:w="28" w:type="dxa"/>
              <w:left w:w="112" w:type="dxa"/>
              <w:bottom w:w="0" w:type="dxa"/>
              <w:right w:w="112" w:type="dxa"/>
            </w:tcMar>
            <w:hideMark/>
          </w:tcPr>
          <w:p w14:paraId="3D2D16A1" w14:textId="77777777" w:rsidR="00F34DD2" w:rsidRPr="001E3745" w:rsidRDefault="00F34DD2" w:rsidP="006E3D72">
            <w:pPr>
              <w:spacing w:after="0" w:line="240" w:lineRule="auto"/>
              <w:ind w:left="29"/>
              <w:jc w:val="center"/>
              <w:rPr>
                <w:rFonts w:ascii="Arial" w:hAnsi="Arial"/>
                <w:sz w:val="20"/>
                <w:lang w:val="en-GB"/>
              </w:rPr>
            </w:pPr>
            <w:r w:rsidRPr="001E3745">
              <w:rPr>
                <w:rFonts w:ascii="Arial" w:hAnsi="Arial"/>
                <w:color w:val="000000"/>
                <w:kern w:val="24"/>
                <w:sz w:val="20"/>
                <w:lang w:val="en-GB"/>
              </w:rPr>
              <w:t>15 (3.9%)</w:t>
            </w:r>
          </w:p>
        </w:tc>
        <w:tc>
          <w:tcPr>
            <w:tcW w:w="864" w:type="pct"/>
            <w:tcBorders>
              <w:top w:val="nil"/>
              <w:left w:val="single" w:sz="8" w:space="0" w:color="000000"/>
              <w:bottom w:val="nil"/>
              <w:right w:val="nil"/>
            </w:tcBorders>
            <w:shd w:val="clear" w:color="auto" w:fill="auto"/>
            <w:tcMar>
              <w:top w:w="28" w:type="dxa"/>
              <w:left w:w="112" w:type="dxa"/>
              <w:bottom w:w="0" w:type="dxa"/>
              <w:right w:w="112" w:type="dxa"/>
            </w:tcMar>
            <w:hideMark/>
          </w:tcPr>
          <w:p w14:paraId="05C9E380" w14:textId="77777777" w:rsidR="00F34DD2" w:rsidRPr="001E3745" w:rsidRDefault="00F34DD2" w:rsidP="003F1B28">
            <w:pPr>
              <w:spacing w:after="0" w:line="240" w:lineRule="auto"/>
              <w:ind w:left="29"/>
              <w:jc w:val="center"/>
              <w:rPr>
                <w:rFonts w:ascii="Arial" w:hAnsi="Arial"/>
                <w:sz w:val="20"/>
                <w:lang w:val="en-GB"/>
              </w:rPr>
            </w:pPr>
            <w:r w:rsidRPr="001E3745">
              <w:rPr>
                <w:rFonts w:ascii="Arial" w:hAnsi="Arial"/>
                <w:color w:val="000000"/>
                <w:kern w:val="24"/>
                <w:sz w:val="20"/>
                <w:lang w:val="en-GB"/>
              </w:rPr>
              <w:t>3 (0.7%)</w:t>
            </w:r>
          </w:p>
        </w:tc>
        <w:tc>
          <w:tcPr>
            <w:tcW w:w="777" w:type="pct"/>
            <w:tcBorders>
              <w:top w:val="nil"/>
              <w:left w:val="nil"/>
              <w:bottom w:val="nil"/>
              <w:right w:val="nil"/>
            </w:tcBorders>
            <w:shd w:val="clear" w:color="auto" w:fill="auto"/>
            <w:tcMar>
              <w:top w:w="28" w:type="dxa"/>
              <w:left w:w="112" w:type="dxa"/>
              <w:bottom w:w="0" w:type="dxa"/>
              <w:right w:w="112" w:type="dxa"/>
            </w:tcMar>
            <w:hideMark/>
          </w:tcPr>
          <w:p w14:paraId="2D296424" w14:textId="77777777" w:rsidR="00F34DD2" w:rsidRPr="001E3745" w:rsidRDefault="00F34DD2" w:rsidP="006E3D72">
            <w:pPr>
              <w:spacing w:after="0" w:line="240" w:lineRule="auto"/>
              <w:ind w:left="29"/>
              <w:jc w:val="center"/>
              <w:rPr>
                <w:rFonts w:ascii="Arial" w:hAnsi="Arial"/>
                <w:sz w:val="20"/>
                <w:lang w:val="en-GB"/>
              </w:rPr>
            </w:pPr>
            <w:r w:rsidRPr="001E3745">
              <w:rPr>
                <w:rFonts w:ascii="Arial" w:hAnsi="Arial"/>
                <w:color w:val="000000"/>
                <w:kern w:val="24"/>
                <w:sz w:val="20"/>
                <w:lang w:val="en-GB"/>
              </w:rPr>
              <w:t>38 (3.0%)</w:t>
            </w:r>
          </w:p>
        </w:tc>
      </w:tr>
      <w:tr w:rsidR="001E3745" w:rsidRPr="001A6367" w14:paraId="07E94576" w14:textId="77777777" w:rsidTr="00025300">
        <w:trPr>
          <w:trHeight w:val="35"/>
        </w:trPr>
        <w:tc>
          <w:tcPr>
            <w:tcW w:w="1730" w:type="pct"/>
            <w:tcBorders>
              <w:top w:val="nil"/>
              <w:left w:val="nil"/>
              <w:bottom w:val="nil"/>
              <w:right w:val="nil"/>
            </w:tcBorders>
            <w:shd w:val="clear" w:color="auto" w:fill="auto"/>
            <w:tcMar>
              <w:top w:w="28" w:type="dxa"/>
              <w:left w:w="112" w:type="dxa"/>
              <w:bottom w:w="0" w:type="dxa"/>
              <w:right w:w="112" w:type="dxa"/>
            </w:tcMar>
            <w:hideMark/>
          </w:tcPr>
          <w:p w14:paraId="457D9CDF" w14:textId="77777777" w:rsidR="00F34DD2" w:rsidRPr="001E3745" w:rsidRDefault="00F34DD2" w:rsidP="003F1B28">
            <w:pPr>
              <w:spacing w:after="0" w:line="240" w:lineRule="auto"/>
              <w:ind w:left="360" w:hanging="360"/>
              <w:rPr>
                <w:rFonts w:ascii="Arial" w:hAnsi="Arial"/>
                <w:sz w:val="20"/>
                <w:lang w:val="en-GB"/>
              </w:rPr>
            </w:pPr>
            <w:r w:rsidRPr="001E3745">
              <w:rPr>
                <w:rFonts w:ascii="Arial" w:hAnsi="Arial"/>
                <w:color w:val="000000"/>
                <w:kern w:val="24"/>
                <w:sz w:val="20"/>
                <w:lang w:val="en-GB"/>
              </w:rPr>
              <w:t>Any suspected drug-related serious adverse event</w:t>
            </w:r>
          </w:p>
        </w:tc>
        <w:tc>
          <w:tcPr>
            <w:tcW w:w="863" w:type="pct"/>
            <w:tcBorders>
              <w:top w:val="nil"/>
              <w:left w:val="nil"/>
              <w:bottom w:val="nil"/>
              <w:right w:val="nil"/>
            </w:tcBorders>
            <w:shd w:val="clear" w:color="auto" w:fill="auto"/>
            <w:tcMar>
              <w:top w:w="28" w:type="dxa"/>
              <w:left w:w="112" w:type="dxa"/>
              <w:bottom w:w="0" w:type="dxa"/>
              <w:right w:w="112" w:type="dxa"/>
            </w:tcMar>
            <w:hideMark/>
          </w:tcPr>
          <w:p w14:paraId="7EF7F6B1" w14:textId="77777777" w:rsidR="00F34DD2" w:rsidRPr="001E3745" w:rsidRDefault="00F34DD2" w:rsidP="006E3D72">
            <w:pPr>
              <w:spacing w:after="0" w:line="240" w:lineRule="auto"/>
              <w:ind w:left="29"/>
              <w:jc w:val="center"/>
              <w:rPr>
                <w:rFonts w:ascii="Arial" w:hAnsi="Arial"/>
                <w:sz w:val="20"/>
                <w:lang w:val="en-GB"/>
              </w:rPr>
            </w:pPr>
            <w:r w:rsidRPr="001E3745">
              <w:rPr>
                <w:rFonts w:ascii="Arial" w:hAnsi="Arial"/>
                <w:color w:val="000000"/>
                <w:kern w:val="24"/>
                <w:sz w:val="20"/>
                <w:lang w:val="en-GB"/>
              </w:rPr>
              <w:t>0 (0.0%)</w:t>
            </w:r>
          </w:p>
        </w:tc>
        <w:tc>
          <w:tcPr>
            <w:tcW w:w="766" w:type="pct"/>
            <w:tcBorders>
              <w:top w:val="nil"/>
              <w:left w:val="nil"/>
              <w:bottom w:val="nil"/>
              <w:right w:val="single" w:sz="8" w:space="0" w:color="000000"/>
            </w:tcBorders>
            <w:shd w:val="clear" w:color="auto" w:fill="auto"/>
            <w:tcMar>
              <w:top w:w="28" w:type="dxa"/>
              <w:left w:w="112" w:type="dxa"/>
              <w:bottom w:w="0" w:type="dxa"/>
              <w:right w:w="112" w:type="dxa"/>
            </w:tcMar>
            <w:hideMark/>
          </w:tcPr>
          <w:p w14:paraId="09BFE2C9" w14:textId="77777777" w:rsidR="00F34DD2" w:rsidRPr="001E3745" w:rsidRDefault="00F34DD2" w:rsidP="006E3D72">
            <w:pPr>
              <w:spacing w:after="0" w:line="240" w:lineRule="auto"/>
              <w:ind w:left="29"/>
              <w:jc w:val="center"/>
              <w:rPr>
                <w:rFonts w:ascii="Arial" w:hAnsi="Arial"/>
                <w:sz w:val="20"/>
                <w:lang w:val="en-GB"/>
              </w:rPr>
            </w:pPr>
            <w:r w:rsidRPr="001E3745">
              <w:rPr>
                <w:rFonts w:ascii="Arial" w:hAnsi="Arial"/>
                <w:color w:val="000000"/>
                <w:kern w:val="24"/>
                <w:sz w:val="20"/>
                <w:lang w:val="en-GB"/>
              </w:rPr>
              <w:t>0 (0.0%)</w:t>
            </w:r>
          </w:p>
        </w:tc>
        <w:tc>
          <w:tcPr>
            <w:tcW w:w="864" w:type="pct"/>
            <w:tcBorders>
              <w:top w:val="nil"/>
              <w:left w:val="single" w:sz="8" w:space="0" w:color="000000"/>
              <w:bottom w:val="nil"/>
              <w:right w:val="nil"/>
            </w:tcBorders>
            <w:shd w:val="clear" w:color="auto" w:fill="auto"/>
            <w:tcMar>
              <w:top w:w="28" w:type="dxa"/>
              <w:left w:w="112" w:type="dxa"/>
              <w:bottom w:w="0" w:type="dxa"/>
              <w:right w:w="112" w:type="dxa"/>
            </w:tcMar>
            <w:hideMark/>
          </w:tcPr>
          <w:p w14:paraId="216BDD83" w14:textId="77777777" w:rsidR="00F34DD2" w:rsidRPr="001E3745" w:rsidRDefault="00F34DD2" w:rsidP="003F1B28">
            <w:pPr>
              <w:spacing w:after="0" w:line="240" w:lineRule="auto"/>
              <w:ind w:left="29"/>
              <w:jc w:val="center"/>
              <w:rPr>
                <w:rFonts w:ascii="Arial" w:hAnsi="Arial"/>
                <w:sz w:val="20"/>
                <w:lang w:val="en-GB"/>
              </w:rPr>
            </w:pPr>
            <w:r w:rsidRPr="001E3745">
              <w:rPr>
                <w:rFonts w:ascii="Arial" w:hAnsi="Arial"/>
                <w:color w:val="000000"/>
                <w:kern w:val="24"/>
                <w:sz w:val="20"/>
                <w:lang w:val="en-GB"/>
              </w:rPr>
              <w:t>0 (0.0%)</w:t>
            </w:r>
          </w:p>
        </w:tc>
        <w:tc>
          <w:tcPr>
            <w:tcW w:w="777" w:type="pct"/>
            <w:tcBorders>
              <w:top w:val="nil"/>
              <w:left w:val="nil"/>
              <w:bottom w:val="nil"/>
              <w:right w:val="nil"/>
            </w:tcBorders>
            <w:shd w:val="clear" w:color="auto" w:fill="auto"/>
            <w:tcMar>
              <w:top w:w="28" w:type="dxa"/>
              <w:left w:w="112" w:type="dxa"/>
              <w:bottom w:w="0" w:type="dxa"/>
              <w:right w:w="112" w:type="dxa"/>
            </w:tcMar>
            <w:hideMark/>
          </w:tcPr>
          <w:p w14:paraId="421DAFAD" w14:textId="77777777" w:rsidR="00F34DD2" w:rsidRPr="001E3745" w:rsidRDefault="00F34DD2" w:rsidP="006E3D72">
            <w:pPr>
              <w:spacing w:after="0" w:line="240" w:lineRule="auto"/>
              <w:ind w:left="29"/>
              <w:jc w:val="center"/>
              <w:rPr>
                <w:rFonts w:ascii="Arial" w:hAnsi="Arial"/>
                <w:sz w:val="20"/>
                <w:lang w:val="en-GB"/>
              </w:rPr>
            </w:pPr>
            <w:r w:rsidRPr="001E3745">
              <w:rPr>
                <w:rFonts w:ascii="Arial" w:hAnsi="Arial"/>
                <w:color w:val="000000"/>
                <w:kern w:val="24"/>
                <w:sz w:val="20"/>
                <w:lang w:val="en-GB"/>
              </w:rPr>
              <w:t>2 (0.2%)</w:t>
            </w:r>
          </w:p>
        </w:tc>
      </w:tr>
      <w:tr w:rsidR="001E3745" w:rsidRPr="001A6367" w14:paraId="130C009A" w14:textId="77777777" w:rsidTr="00025300">
        <w:trPr>
          <w:trHeight w:val="35"/>
        </w:trPr>
        <w:tc>
          <w:tcPr>
            <w:tcW w:w="1730" w:type="pct"/>
            <w:tcBorders>
              <w:top w:val="nil"/>
              <w:left w:val="nil"/>
              <w:bottom w:val="nil"/>
              <w:right w:val="nil"/>
            </w:tcBorders>
            <w:shd w:val="clear" w:color="auto" w:fill="auto"/>
            <w:tcMar>
              <w:top w:w="28" w:type="dxa"/>
              <w:left w:w="112" w:type="dxa"/>
              <w:bottom w:w="0" w:type="dxa"/>
              <w:right w:w="112" w:type="dxa"/>
            </w:tcMar>
            <w:hideMark/>
          </w:tcPr>
          <w:p w14:paraId="1B1A6988" w14:textId="77777777" w:rsidR="00F34DD2" w:rsidRPr="001E3745" w:rsidRDefault="00F34DD2" w:rsidP="003F1B28">
            <w:pPr>
              <w:spacing w:after="0" w:line="240" w:lineRule="auto"/>
              <w:ind w:left="360" w:hanging="360"/>
              <w:rPr>
                <w:rFonts w:ascii="Arial" w:hAnsi="Arial"/>
                <w:sz w:val="20"/>
                <w:lang w:val="en-GB"/>
              </w:rPr>
            </w:pPr>
            <w:r w:rsidRPr="001E3745">
              <w:rPr>
                <w:rFonts w:ascii="Arial" w:hAnsi="Arial"/>
                <w:color w:val="000000"/>
                <w:kern w:val="24"/>
                <w:sz w:val="20"/>
                <w:lang w:val="en-GB"/>
              </w:rPr>
              <w:t xml:space="preserve">Any adverse event leading to treatment withdrawal </w:t>
            </w:r>
          </w:p>
        </w:tc>
        <w:tc>
          <w:tcPr>
            <w:tcW w:w="863" w:type="pct"/>
            <w:tcBorders>
              <w:top w:val="nil"/>
              <w:left w:val="nil"/>
              <w:bottom w:val="nil"/>
              <w:right w:val="nil"/>
            </w:tcBorders>
            <w:shd w:val="clear" w:color="auto" w:fill="auto"/>
            <w:tcMar>
              <w:top w:w="28" w:type="dxa"/>
              <w:left w:w="112" w:type="dxa"/>
              <w:bottom w:w="0" w:type="dxa"/>
              <w:right w:w="112" w:type="dxa"/>
            </w:tcMar>
            <w:hideMark/>
          </w:tcPr>
          <w:p w14:paraId="5F4F3995" w14:textId="77777777" w:rsidR="00F34DD2" w:rsidRPr="001E3745" w:rsidRDefault="00F34DD2" w:rsidP="006E3D72">
            <w:pPr>
              <w:spacing w:after="0" w:line="240" w:lineRule="auto"/>
              <w:ind w:left="29"/>
              <w:jc w:val="center"/>
              <w:rPr>
                <w:rFonts w:ascii="Arial" w:hAnsi="Arial"/>
                <w:sz w:val="20"/>
                <w:lang w:val="en-GB"/>
              </w:rPr>
            </w:pPr>
            <w:r w:rsidRPr="001E3745">
              <w:rPr>
                <w:rFonts w:ascii="Arial" w:hAnsi="Arial"/>
                <w:color w:val="000000"/>
                <w:kern w:val="24"/>
                <w:sz w:val="20"/>
                <w:lang w:val="en-GB"/>
              </w:rPr>
              <w:t>0</w:t>
            </w:r>
          </w:p>
        </w:tc>
        <w:tc>
          <w:tcPr>
            <w:tcW w:w="766" w:type="pct"/>
            <w:tcBorders>
              <w:top w:val="nil"/>
              <w:left w:val="nil"/>
              <w:bottom w:val="nil"/>
              <w:right w:val="single" w:sz="8" w:space="0" w:color="000000"/>
            </w:tcBorders>
            <w:shd w:val="clear" w:color="auto" w:fill="auto"/>
            <w:tcMar>
              <w:top w:w="28" w:type="dxa"/>
              <w:left w:w="112" w:type="dxa"/>
              <w:bottom w:w="0" w:type="dxa"/>
              <w:right w:w="112" w:type="dxa"/>
            </w:tcMar>
            <w:hideMark/>
          </w:tcPr>
          <w:p w14:paraId="7D60E54A" w14:textId="77777777" w:rsidR="00F34DD2" w:rsidRPr="001E3745" w:rsidRDefault="00F34DD2" w:rsidP="006E3D72">
            <w:pPr>
              <w:spacing w:after="0" w:line="240" w:lineRule="auto"/>
              <w:ind w:left="29"/>
              <w:jc w:val="center"/>
              <w:rPr>
                <w:rFonts w:ascii="Arial" w:hAnsi="Arial"/>
                <w:sz w:val="20"/>
                <w:lang w:val="en-GB"/>
              </w:rPr>
            </w:pPr>
            <w:r w:rsidRPr="001E3745">
              <w:rPr>
                <w:rFonts w:ascii="Arial" w:hAnsi="Arial"/>
                <w:color w:val="000000"/>
                <w:kern w:val="24"/>
                <w:sz w:val="20"/>
                <w:lang w:val="en-GB"/>
              </w:rPr>
              <w:t>12 (3.1%)</w:t>
            </w:r>
          </w:p>
        </w:tc>
        <w:tc>
          <w:tcPr>
            <w:tcW w:w="864" w:type="pct"/>
            <w:tcBorders>
              <w:top w:val="nil"/>
              <w:left w:val="single" w:sz="8" w:space="0" w:color="000000"/>
              <w:bottom w:val="nil"/>
              <w:right w:val="nil"/>
            </w:tcBorders>
            <w:shd w:val="clear" w:color="auto" w:fill="auto"/>
            <w:tcMar>
              <w:top w:w="28" w:type="dxa"/>
              <w:left w:w="112" w:type="dxa"/>
              <w:bottom w:w="0" w:type="dxa"/>
              <w:right w:w="112" w:type="dxa"/>
            </w:tcMar>
            <w:hideMark/>
          </w:tcPr>
          <w:p w14:paraId="094931C3" w14:textId="77777777" w:rsidR="00F34DD2" w:rsidRPr="001E3745" w:rsidRDefault="00F34DD2" w:rsidP="003F1B28">
            <w:pPr>
              <w:spacing w:after="0" w:line="240" w:lineRule="auto"/>
              <w:ind w:left="29"/>
              <w:jc w:val="center"/>
              <w:rPr>
                <w:rFonts w:ascii="Arial" w:hAnsi="Arial"/>
                <w:sz w:val="20"/>
                <w:lang w:val="en-GB"/>
              </w:rPr>
            </w:pPr>
            <w:r w:rsidRPr="001E3745">
              <w:rPr>
                <w:rFonts w:ascii="Arial" w:hAnsi="Arial"/>
                <w:color w:val="000000"/>
                <w:kern w:val="24"/>
                <w:sz w:val="20"/>
                <w:lang w:val="en-GB"/>
              </w:rPr>
              <w:t>3 (0.7%)</w:t>
            </w:r>
          </w:p>
        </w:tc>
        <w:tc>
          <w:tcPr>
            <w:tcW w:w="777" w:type="pct"/>
            <w:tcBorders>
              <w:top w:val="nil"/>
              <w:left w:val="nil"/>
              <w:bottom w:val="nil"/>
              <w:right w:val="nil"/>
            </w:tcBorders>
            <w:shd w:val="clear" w:color="auto" w:fill="auto"/>
            <w:tcMar>
              <w:top w:w="28" w:type="dxa"/>
              <w:left w:w="112" w:type="dxa"/>
              <w:bottom w:w="0" w:type="dxa"/>
              <w:right w:w="112" w:type="dxa"/>
            </w:tcMar>
            <w:hideMark/>
          </w:tcPr>
          <w:p w14:paraId="5806AC47" w14:textId="77777777" w:rsidR="00F34DD2" w:rsidRPr="001E3745" w:rsidRDefault="00F34DD2" w:rsidP="006E3D72">
            <w:pPr>
              <w:spacing w:after="0" w:line="240" w:lineRule="auto"/>
              <w:ind w:left="29"/>
              <w:jc w:val="center"/>
              <w:rPr>
                <w:rFonts w:ascii="Arial" w:hAnsi="Arial"/>
                <w:sz w:val="20"/>
                <w:lang w:val="en-GB"/>
              </w:rPr>
            </w:pPr>
            <w:r w:rsidRPr="001E3745">
              <w:rPr>
                <w:rFonts w:ascii="Arial" w:hAnsi="Arial"/>
                <w:color w:val="000000"/>
                <w:kern w:val="24"/>
                <w:sz w:val="20"/>
                <w:lang w:val="en-GB"/>
              </w:rPr>
              <w:t>29 (2.3%)</w:t>
            </w:r>
          </w:p>
        </w:tc>
      </w:tr>
      <w:tr w:rsidR="001E3745" w:rsidRPr="001A6367" w14:paraId="4285D76E" w14:textId="77777777" w:rsidTr="00025300">
        <w:trPr>
          <w:trHeight w:val="161"/>
        </w:trPr>
        <w:tc>
          <w:tcPr>
            <w:tcW w:w="1730" w:type="pct"/>
            <w:tcBorders>
              <w:top w:val="nil"/>
              <w:left w:val="nil"/>
              <w:bottom w:val="single" w:sz="8" w:space="0" w:color="000000"/>
              <w:right w:val="nil"/>
            </w:tcBorders>
            <w:shd w:val="clear" w:color="auto" w:fill="auto"/>
            <w:tcMar>
              <w:top w:w="28" w:type="dxa"/>
              <w:left w:w="112" w:type="dxa"/>
              <w:bottom w:w="0" w:type="dxa"/>
              <w:right w:w="112" w:type="dxa"/>
            </w:tcMar>
            <w:hideMark/>
          </w:tcPr>
          <w:p w14:paraId="4E7FE17F" w14:textId="77777777" w:rsidR="00F34DD2" w:rsidRPr="001E3745" w:rsidRDefault="00F34DD2" w:rsidP="003F1B28">
            <w:pPr>
              <w:spacing w:after="0" w:line="240" w:lineRule="auto"/>
              <w:ind w:left="360" w:hanging="360"/>
              <w:rPr>
                <w:rFonts w:ascii="Arial" w:hAnsi="Arial"/>
                <w:sz w:val="20"/>
                <w:lang w:val="en-GB"/>
              </w:rPr>
            </w:pPr>
            <w:r w:rsidRPr="001E3745">
              <w:rPr>
                <w:rFonts w:ascii="Arial" w:hAnsi="Arial"/>
                <w:color w:val="000000"/>
                <w:kern w:val="24"/>
                <w:sz w:val="20"/>
                <w:lang w:val="en-GB"/>
              </w:rPr>
              <w:t>Any adverse event with fatal outcome (deaths)</w:t>
            </w:r>
          </w:p>
        </w:tc>
        <w:tc>
          <w:tcPr>
            <w:tcW w:w="863" w:type="pct"/>
            <w:tcBorders>
              <w:top w:val="nil"/>
              <w:left w:val="nil"/>
              <w:bottom w:val="single" w:sz="8" w:space="0" w:color="000000"/>
              <w:right w:val="nil"/>
            </w:tcBorders>
            <w:shd w:val="clear" w:color="auto" w:fill="auto"/>
            <w:tcMar>
              <w:top w:w="28" w:type="dxa"/>
              <w:left w:w="112" w:type="dxa"/>
              <w:bottom w:w="0" w:type="dxa"/>
              <w:right w:w="112" w:type="dxa"/>
            </w:tcMar>
            <w:hideMark/>
          </w:tcPr>
          <w:p w14:paraId="1AFA9EE7" w14:textId="77777777" w:rsidR="00F34DD2" w:rsidRPr="001E3745" w:rsidRDefault="00F34DD2" w:rsidP="006E3D72">
            <w:pPr>
              <w:spacing w:after="0" w:line="240" w:lineRule="auto"/>
              <w:ind w:left="29"/>
              <w:jc w:val="center"/>
              <w:rPr>
                <w:rFonts w:ascii="Arial" w:hAnsi="Arial"/>
                <w:sz w:val="20"/>
                <w:lang w:val="en-GB"/>
              </w:rPr>
            </w:pPr>
            <w:r w:rsidRPr="001E3745">
              <w:rPr>
                <w:rFonts w:ascii="Arial" w:hAnsi="Arial"/>
                <w:color w:val="000000"/>
                <w:kern w:val="24"/>
                <w:sz w:val="20"/>
                <w:lang w:val="en-GB"/>
              </w:rPr>
              <w:t>1 (0.8%)</w:t>
            </w:r>
          </w:p>
        </w:tc>
        <w:tc>
          <w:tcPr>
            <w:tcW w:w="766" w:type="pct"/>
            <w:tcBorders>
              <w:top w:val="nil"/>
              <w:left w:val="nil"/>
              <w:bottom w:val="single" w:sz="8" w:space="0" w:color="000000"/>
              <w:right w:val="single" w:sz="8" w:space="0" w:color="000000"/>
            </w:tcBorders>
            <w:shd w:val="clear" w:color="auto" w:fill="auto"/>
            <w:tcMar>
              <w:top w:w="28" w:type="dxa"/>
              <w:left w:w="112" w:type="dxa"/>
              <w:bottom w:w="0" w:type="dxa"/>
              <w:right w:w="112" w:type="dxa"/>
            </w:tcMar>
            <w:hideMark/>
          </w:tcPr>
          <w:p w14:paraId="1BAECEA0" w14:textId="77777777" w:rsidR="00F34DD2" w:rsidRPr="001E3745" w:rsidRDefault="00F34DD2" w:rsidP="006E3D72">
            <w:pPr>
              <w:spacing w:after="0" w:line="240" w:lineRule="auto"/>
              <w:ind w:left="29"/>
              <w:jc w:val="center"/>
              <w:rPr>
                <w:rFonts w:ascii="Arial" w:hAnsi="Arial"/>
                <w:sz w:val="20"/>
                <w:lang w:val="en-GB"/>
              </w:rPr>
            </w:pPr>
            <w:r w:rsidRPr="001E3745">
              <w:rPr>
                <w:rFonts w:ascii="Arial" w:hAnsi="Arial"/>
                <w:color w:val="000000"/>
                <w:kern w:val="24"/>
                <w:sz w:val="20"/>
                <w:lang w:val="en-GB"/>
              </w:rPr>
              <w:t>0 (0.0%)</w:t>
            </w:r>
          </w:p>
        </w:tc>
        <w:tc>
          <w:tcPr>
            <w:tcW w:w="864" w:type="pct"/>
            <w:tcBorders>
              <w:top w:val="nil"/>
              <w:left w:val="single" w:sz="8" w:space="0" w:color="000000"/>
              <w:bottom w:val="single" w:sz="8" w:space="0" w:color="000000"/>
              <w:right w:val="nil"/>
            </w:tcBorders>
            <w:shd w:val="clear" w:color="auto" w:fill="auto"/>
            <w:tcMar>
              <w:top w:w="28" w:type="dxa"/>
              <w:left w:w="112" w:type="dxa"/>
              <w:bottom w:w="0" w:type="dxa"/>
              <w:right w:w="112" w:type="dxa"/>
            </w:tcMar>
            <w:hideMark/>
          </w:tcPr>
          <w:p w14:paraId="1C398746" w14:textId="77777777" w:rsidR="00F34DD2" w:rsidRPr="001E3745" w:rsidRDefault="00F34DD2" w:rsidP="003F1B28">
            <w:pPr>
              <w:spacing w:after="0" w:line="240" w:lineRule="auto"/>
              <w:ind w:left="29"/>
              <w:jc w:val="center"/>
              <w:rPr>
                <w:rFonts w:ascii="Arial" w:hAnsi="Arial"/>
                <w:sz w:val="20"/>
                <w:lang w:val="en-GB"/>
              </w:rPr>
            </w:pPr>
            <w:r w:rsidRPr="001E3745">
              <w:rPr>
                <w:rFonts w:ascii="Arial" w:hAnsi="Arial"/>
                <w:color w:val="000000"/>
                <w:kern w:val="24"/>
                <w:sz w:val="20"/>
                <w:lang w:val="en-GB"/>
              </w:rPr>
              <w:t>0 (0.0%)</w:t>
            </w:r>
          </w:p>
        </w:tc>
        <w:tc>
          <w:tcPr>
            <w:tcW w:w="777" w:type="pct"/>
            <w:tcBorders>
              <w:top w:val="nil"/>
              <w:left w:val="nil"/>
              <w:bottom w:val="single" w:sz="8" w:space="0" w:color="000000"/>
              <w:right w:val="nil"/>
            </w:tcBorders>
            <w:shd w:val="clear" w:color="auto" w:fill="auto"/>
            <w:tcMar>
              <w:top w:w="28" w:type="dxa"/>
              <w:left w:w="112" w:type="dxa"/>
              <w:bottom w:w="0" w:type="dxa"/>
              <w:right w:w="112" w:type="dxa"/>
            </w:tcMar>
            <w:hideMark/>
          </w:tcPr>
          <w:p w14:paraId="66075647" w14:textId="77777777" w:rsidR="00F34DD2" w:rsidRPr="001E3745" w:rsidRDefault="00F34DD2" w:rsidP="006E3D72">
            <w:pPr>
              <w:spacing w:after="0" w:line="240" w:lineRule="auto"/>
              <w:ind w:left="29"/>
              <w:jc w:val="center"/>
              <w:rPr>
                <w:rFonts w:ascii="Arial" w:hAnsi="Arial"/>
                <w:sz w:val="20"/>
                <w:lang w:val="en-GB"/>
              </w:rPr>
            </w:pPr>
            <w:r w:rsidRPr="001E3745">
              <w:rPr>
                <w:rFonts w:ascii="Arial" w:hAnsi="Arial"/>
                <w:color w:val="000000"/>
                <w:kern w:val="24"/>
                <w:sz w:val="20"/>
                <w:lang w:val="en-GB"/>
              </w:rPr>
              <w:t>3 (0.2%)</w:t>
            </w:r>
          </w:p>
        </w:tc>
      </w:tr>
      <w:tr w:rsidR="00F34DD2" w:rsidRPr="001A6367" w14:paraId="237EB0FE" w14:textId="77777777" w:rsidTr="00D94365">
        <w:trPr>
          <w:trHeight w:val="779"/>
        </w:trPr>
        <w:tc>
          <w:tcPr>
            <w:tcW w:w="5000" w:type="pct"/>
            <w:gridSpan w:val="5"/>
            <w:tcBorders>
              <w:top w:val="single" w:sz="8" w:space="0" w:color="000000"/>
              <w:left w:val="nil"/>
              <w:bottom w:val="single" w:sz="8" w:space="0" w:color="000000"/>
              <w:right w:val="nil"/>
            </w:tcBorders>
            <w:shd w:val="clear" w:color="auto" w:fill="auto"/>
            <w:tcMar>
              <w:top w:w="28" w:type="dxa"/>
              <w:left w:w="112" w:type="dxa"/>
              <w:bottom w:w="0" w:type="dxa"/>
              <w:right w:w="112" w:type="dxa"/>
            </w:tcMar>
            <w:hideMark/>
          </w:tcPr>
          <w:p w14:paraId="23A6778C" w14:textId="77777777" w:rsidR="00F34DD2" w:rsidRDefault="00F34DD2" w:rsidP="00FB4D8C">
            <w:pPr>
              <w:spacing w:after="0" w:line="240" w:lineRule="auto"/>
              <w:rPr>
                <w:rFonts w:ascii="Arial" w:eastAsia="Times New Roman" w:hAnsi="Arial" w:cs="Arial"/>
                <w:color w:val="000000"/>
                <w:kern w:val="24"/>
                <w:sz w:val="20"/>
                <w:szCs w:val="20"/>
                <w:lang w:val="en-GB"/>
              </w:rPr>
            </w:pPr>
            <w:r w:rsidRPr="00FD6711">
              <w:rPr>
                <w:rFonts w:ascii="Arial" w:eastAsia="Times New Roman" w:hAnsi="Arial" w:cs="Arial"/>
                <w:color w:val="000000"/>
                <w:kern w:val="24"/>
                <w:position w:val="7"/>
                <w:sz w:val="20"/>
                <w:szCs w:val="20"/>
                <w:vertAlign w:val="superscript"/>
                <w:lang w:val="en-GB"/>
              </w:rPr>
              <w:t>#</w:t>
            </w:r>
            <w:r w:rsidRPr="00FD6711">
              <w:rPr>
                <w:rFonts w:ascii="Arial" w:eastAsia="Times New Roman" w:hAnsi="Arial" w:cs="Arial"/>
                <w:color w:val="000000"/>
                <w:kern w:val="24"/>
                <w:sz w:val="20"/>
                <w:szCs w:val="20"/>
                <w:lang w:val="en-GB"/>
              </w:rPr>
              <w:t xml:space="preserve">Non-inferiority testing and patient had </w:t>
            </w:r>
            <w:r>
              <w:rPr>
                <w:rFonts w:ascii="Arial" w:eastAsia="Times New Roman" w:hAnsi="Arial" w:cs="Arial"/>
                <w:color w:val="000000"/>
                <w:kern w:val="24"/>
                <w:sz w:val="20"/>
                <w:szCs w:val="20"/>
                <w:lang w:val="en-GB"/>
              </w:rPr>
              <w:t xml:space="preserve">an </w:t>
            </w:r>
            <w:r w:rsidRPr="00FD6711">
              <w:rPr>
                <w:rFonts w:ascii="Arial" w:eastAsia="Times New Roman" w:hAnsi="Arial" w:cs="Arial"/>
                <w:color w:val="000000"/>
                <w:kern w:val="24"/>
                <w:sz w:val="20"/>
                <w:szCs w:val="20"/>
                <w:lang w:val="en-GB"/>
              </w:rPr>
              <w:t xml:space="preserve">mMRC </w:t>
            </w:r>
            <w:r>
              <w:rPr>
                <w:rFonts w:ascii="Arial" w:eastAsia="Times New Roman" w:hAnsi="Arial" w:cs="Arial"/>
                <w:color w:val="000000"/>
                <w:kern w:val="24"/>
                <w:sz w:val="20"/>
                <w:szCs w:val="20"/>
                <w:lang w:val="en-GB"/>
              </w:rPr>
              <w:t xml:space="preserve">score </w:t>
            </w:r>
            <w:r w:rsidRPr="00FD6711">
              <w:rPr>
                <w:rFonts w:ascii="Arial" w:eastAsia="Times New Roman" w:hAnsi="Arial" w:cs="Arial"/>
                <w:color w:val="000000"/>
                <w:kern w:val="24"/>
                <w:sz w:val="20"/>
                <w:szCs w:val="20"/>
                <w:lang w:val="en-GB"/>
              </w:rPr>
              <w:t xml:space="preserve">= 1. Data are presented as number of incidents (%). </w:t>
            </w:r>
          </w:p>
          <w:p w14:paraId="4444EE81" w14:textId="77777777" w:rsidR="00F34DD2" w:rsidRPr="00FD6711" w:rsidRDefault="00F34DD2" w:rsidP="00FB4D8C">
            <w:pPr>
              <w:spacing w:after="0" w:line="240" w:lineRule="auto"/>
              <w:rPr>
                <w:rFonts w:ascii="Arial" w:eastAsia="Times New Roman" w:hAnsi="Arial" w:cs="Arial"/>
                <w:sz w:val="20"/>
                <w:szCs w:val="20"/>
                <w:lang w:val="en-GB"/>
              </w:rPr>
            </w:pPr>
            <w:r w:rsidRPr="00FD6711">
              <w:rPr>
                <w:rFonts w:ascii="Arial" w:eastAsia="Times New Roman" w:hAnsi="Arial" w:cs="Arial"/>
                <w:color w:val="000000"/>
                <w:kern w:val="24"/>
                <w:sz w:val="20"/>
                <w:szCs w:val="20"/>
                <w:lang w:val="en-GB"/>
              </w:rPr>
              <w:t>GLY, glycopyrronium; LABA, long-acting β</w:t>
            </w:r>
            <w:r w:rsidRPr="00FD6711">
              <w:rPr>
                <w:rFonts w:ascii="Arial" w:eastAsia="Times New Roman" w:hAnsi="Arial" w:cs="Arial"/>
                <w:color w:val="000000"/>
                <w:kern w:val="24"/>
                <w:position w:val="-6"/>
                <w:sz w:val="20"/>
                <w:szCs w:val="20"/>
                <w:vertAlign w:val="subscript"/>
                <w:lang w:val="en-GB"/>
              </w:rPr>
              <w:t>2</w:t>
            </w:r>
            <w:r w:rsidRPr="00FD6711">
              <w:rPr>
                <w:rFonts w:ascii="Arial" w:eastAsia="Times New Roman" w:hAnsi="Arial" w:cs="Arial"/>
                <w:color w:val="000000"/>
                <w:kern w:val="24"/>
                <w:sz w:val="20"/>
                <w:szCs w:val="20"/>
                <w:lang w:val="en-GB"/>
              </w:rPr>
              <w:t>-agonist; LAMA, long-acting muscarinic antagonist; mMRC, modified Medical Research Council; SABA, short-acting β</w:t>
            </w:r>
            <w:r w:rsidRPr="00FD6711">
              <w:rPr>
                <w:rFonts w:ascii="Arial" w:eastAsia="Times New Roman" w:hAnsi="Arial" w:cs="Arial"/>
                <w:color w:val="000000"/>
                <w:kern w:val="24"/>
                <w:position w:val="-6"/>
                <w:sz w:val="20"/>
                <w:szCs w:val="20"/>
                <w:vertAlign w:val="subscript"/>
                <w:lang w:val="en-GB"/>
              </w:rPr>
              <w:t>2</w:t>
            </w:r>
            <w:r w:rsidRPr="00FD6711">
              <w:rPr>
                <w:rFonts w:ascii="Arial" w:eastAsia="Times New Roman" w:hAnsi="Arial" w:cs="Arial"/>
                <w:color w:val="000000"/>
                <w:kern w:val="24"/>
                <w:sz w:val="20"/>
                <w:szCs w:val="20"/>
                <w:lang w:val="en-GB"/>
              </w:rPr>
              <w:t>-agonist; SAMA, short-acting muscarinic antagonist</w:t>
            </w:r>
          </w:p>
        </w:tc>
      </w:tr>
    </w:tbl>
    <w:p w14:paraId="4E58C9DA" w14:textId="77777777" w:rsidR="00F34DD2" w:rsidRDefault="00F34DD2">
      <w:pPr>
        <w:rPr>
          <w:rFonts w:ascii="Arial" w:hAnsi="Arial" w:cs="Arial"/>
          <w:b/>
          <w:lang w:val="en-GB"/>
        </w:rPr>
      </w:pPr>
    </w:p>
    <w:p w14:paraId="3F449845" w14:textId="05D287AB" w:rsidR="00F34DD2" w:rsidRDefault="00ED556F" w:rsidP="001E3745">
      <w:pPr>
        <w:spacing w:after="0" w:line="480" w:lineRule="auto"/>
        <w:rPr>
          <w:rFonts w:ascii="Arial" w:hAnsi="Arial" w:cs="Arial"/>
          <w:b/>
          <w:lang w:val="en-GB"/>
        </w:rPr>
      </w:pPr>
      <w:r>
        <w:rPr>
          <w:rFonts w:ascii="Arial" w:hAnsi="Arial" w:cs="Arial"/>
          <w:b/>
          <w:lang w:val="en-GB"/>
        </w:rPr>
        <w:t>S</w:t>
      </w:r>
      <w:r w:rsidR="00F34DD2">
        <w:rPr>
          <w:rFonts w:ascii="Arial" w:hAnsi="Arial" w:cs="Arial"/>
          <w:b/>
          <w:lang w:val="en-GB"/>
        </w:rPr>
        <w:t xml:space="preserve">6.3. Conclusions of results obtained from GLY groups </w:t>
      </w:r>
    </w:p>
    <w:p w14:paraId="4592745F" w14:textId="77777777" w:rsidR="00F34DD2" w:rsidRDefault="00F34DD2" w:rsidP="001E3745">
      <w:pPr>
        <w:spacing w:after="0" w:line="480" w:lineRule="auto"/>
        <w:ind w:firstLine="720"/>
        <w:rPr>
          <w:rFonts w:ascii="Arial" w:hAnsi="Arial" w:cs="Arial"/>
          <w:b/>
          <w:lang w:val="en-GB"/>
        </w:rPr>
      </w:pPr>
      <w:r w:rsidRPr="001A6367">
        <w:rPr>
          <w:rFonts w:ascii="Arial" w:eastAsia="Times New Roman" w:hAnsi="Arial" w:cs="Arial"/>
          <w:lang w:val="en-GB"/>
        </w:rPr>
        <w:t>In the study groups with a direct switch to GLY from previous treatments (</w:t>
      </w:r>
      <w:r w:rsidRPr="001A6367">
        <w:rPr>
          <w:rFonts w:ascii="Arial" w:eastAsia="Times New Roman" w:hAnsi="Arial" w:cs="Arial"/>
          <w:b/>
          <w:lang w:val="en-GB"/>
        </w:rPr>
        <w:t xml:space="preserve">Figure </w:t>
      </w:r>
      <w:r>
        <w:rPr>
          <w:rFonts w:ascii="Arial" w:eastAsia="Times New Roman" w:hAnsi="Arial" w:cs="Arial"/>
          <w:b/>
          <w:lang w:val="en-GB"/>
        </w:rPr>
        <w:t>S</w:t>
      </w:r>
      <w:r w:rsidRPr="001A6367">
        <w:rPr>
          <w:rFonts w:ascii="Arial" w:eastAsia="Times New Roman" w:hAnsi="Arial" w:cs="Arial"/>
          <w:b/>
          <w:lang w:val="en-GB"/>
        </w:rPr>
        <w:t>1</w:t>
      </w:r>
      <w:r w:rsidRPr="001A6367">
        <w:rPr>
          <w:rFonts w:ascii="Arial" w:eastAsia="Times New Roman" w:hAnsi="Arial" w:cs="Arial"/>
          <w:lang w:val="en-GB"/>
        </w:rPr>
        <w:t>), all primary endpoints were met. GLY showed superiority in improving trough FEV</w:t>
      </w:r>
      <w:r w:rsidRPr="001A6367">
        <w:rPr>
          <w:rFonts w:ascii="Arial" w:eastAsia="Times New Roman" w:hAnsi="Arial" w:cs="Arial"/>
          <w:vertAlign w:val="subscript"/>
          <w:lang w:val="en-GB"/>
        </w:rPr>
        <w:t>1</w:t>
      </w:r>
      <w:r w:rsidRPr="001A6367">
        <w:rPr>
          <w:rFonts w:ascii="Arial" w:eastAsia="Times New Roman" w:hAnsi="Arial" w:cs="Arial"/>
          <w:lang w:val="en-GB"/>
        </w:rPr>
        <w:t xml:space="preserve"> and TDI total scores versus SABA and/or SAMAs and non-inferiority versus previous LABA or LAMA. </w:t>
      </w:r>
      <w:r>
        <w:rPr>
          <w:rFonts w:ascii="Arial" w:eastAsia="Times New Roman" w:hAnsi="Arial" w:cs="Arial"/>
          <w:lang w:val="en-GB"/>
        </w:rPr>
        <w:t>The e</w:t>
      </w:r>
      <w:r w:rsidRPr="001A6367">
        <w:rPr>
          <w:rFonts w:ascii="Arial" w:eastAsia="Times New Roman" w:hAnsi="Arial" w:cs="Arial"/>
          <w:lang w:val="en-GB"/>
        </w:rPr>
        <w:t>fficacy and safety of GLY were evaluated through several clinical trials in the GLOW program</w:t>
      </w:r>
      <w:r>
        <w:rPr>
          <w:rFonts w:ascii="Arial" w:eastAsia="Times New Roman" w:hAnsi="Arial" w:cs="Arial"/>
          <w:lang w:val="en-GB"/>
        </w:rPr>
        <w:t>me</w:t>
      </w:r>
      <w:r w:rsidRPr="001A6367">
        <w:rPr>
          <w:rFonts w:ascii="Arial" w:eastAsia="Times New Roman" w:hAnsi="Arial" w:cs="Arial"/>
          <w:lang w:val="en-GB"/>
        </w:rPr>
        <w:t>, which revealed comparable improvements in lung function (trough FEV</w:t>
      </w:r>
      <w:r w:rsidRPr="001A6367">
        <w:rPr>
          <w:rFonts w:ascii="Arial" w:eastAsia="Times New Roman" w:hAnsi="Arial" w:cs="Arial"/>
          <w:vertAlign w:val="subscript"/>
          <w:lang w:val="en-GB"/>
        </w:rPr>
        <w:t>1</w:t>
      </w:r>
      <w:r w:rsidRPr="001A6367">
        <w:rPr>
          <w:rFonts w:ascii="Arial" w:eastAsia="Times New Roman" w:hAnsi="Arial" w:cs="Arial"/>
          <w:lang w:val="en-GB"/>
        </w:rPr>
        <w:t>), dyspnoea (TDI total score), health status (reduction in St. George’s Respiratory Questionnaire total score) and rescue medication use compared with tiotropium in patients with moderate COPD.</w:t>
      </w:r>
      <w:r>
        <w:rPr>
          <w:rFonts w:ascii="Arial" w:eastAsia="Times New Roman" w:hAnsi="Arial" w:cs="Arial"/>
          <w:noProof/>
          <w:lang w:val="en-GB"/>
        </w:rPr>
        <w:t>[5, 6]</w:t>
      </w:r>
      <w:r w:rsidRPr="001A6367">
        <w:rPr>
          <w:rFonts w:ascii="Arial" w:eastAsia="Times New Roman" w:hAnsi="Arial" w:cs="Arial"/>
          <w:lang w:val="en-GB"/>
        </w:rPr>
        <w:t xml:space="preserve"> Although no explanatory trials were conducted for direct comparison between GLY and a LABA, the SHINE study reported comparable efficacy and safety of GLY and IND.</w:t>
      </w:r>
      <w:r>
        <w:rPr>
          <w:rFonts w:ascii="Arial" w:eastAsia="Times New Roman" w:hAnsi="Arial" w:cs="Arial"/>
          <w:noProof/>
          <w:lang w:val="en-GB"/>
        </w:rPr>
        <w:t>[7]</w:t>
      </w:r>
      <w:r w:rsidRPr="001A6367">
        <w:rPr>
          <w:rFonts w:ascii="Arial" w:eastAsia="Times New Roman" w:hAnsi="Arial" w:cs="Arial"/>
          <w:lang w:val="en-GB"/>
        </w:rPr>
        <w:t xml:space="preserve"> Although these results of a direct switch to GLY in a clinical practice setting are consistent with the outcomes of previous </w:t>
      </w:r>
      <w:bookmarkStart w:id="29" w:name="_Hlk485792134"/>
      <w:r>
        <w:rPr>
          <w:rFonts w:ascii="Arial" w:eastAsia="Times New Roman" w:hAnsi="Arial" w:cs="Arial"/>
          <w:lang w:val="en-GB"/>
        </w:rPr>
        <w:t>randomised controlled trials (</w:t>
      </w:r>
      <w:r w:rsidRPr="001A6367">
        <w:rPr>
          <w:rFonts w:ascii="Arial" w:eastAsia="Times New Roman" w:hAnsi="Arial" w:cs="Arial"/>
          <w:lang w:val="en-GB"/>
        </w:rPr>
        <w:t>RCTs</w:t>
      </w:r>
      <w:bookmarkEnd w:id="29"/>
      <w:r>
        <w:rPr>
          <w:rFonts w:ascii="Arial" w:eastAsia="Times New Roman" w:hAnsi="Arial" w:cs="Arial"/>
          <w:lang w:val="en-GB"/>
        </w:rPr>
        <w:t>)</w:t>
      </w:r>
      <w:r w:rsidRPr="001A6367">
        <w:rPr>
          <w:rFonts w:ascii="Arial" w:eastAsia="Times New Roman" w:hAnsi="Arial" w:cs="Arial"/>
          <w:lang w:val="en-GB"/>
        </w:rPr>
        <w:t>, these must be interpreted with caution due to the early stopping of GLY groups, which, consequently, was underpowered.</w:t>
      </w:r>
      <w:r>
        <w:rPr>
          <w:rFonts w:ascii="Arial" w:hAnsi="Arial" w:cs="Arial"/>
          <w:b/>
          <w:lang w:val="en-GB"/>
        </w:rPr>
        <w:br w:type="page"/>
      </w:r>
    </w:p>
    <w:p w14:paraId="1E872A2B" w14:textId="585860C0" w:rsidR="00F34DD2" w:rsidRDefault="00F34DD2" w:rsidP="001825E9">
      <w:pPr>
        <w:widowControl w:val="0"/>
        <w:spacing w:after="120" w:line="360" w:lineRule="auto"/>
        <w:rPr>
          <w:rFonts w:ascii="Arial" w:hAnsi="Arial" w:cs="Arial"/>
          <w:b/>
          <w:lang w:val="en-GB"/>
        </w:rPr>
      </w:pPr>
      <w:r>
        <w:rPr>
          <w:rFonts w:ascii="Arial" w:hAnsi="Arial" w:cs="Arial"/>
          <w:b/>
          <w:lang w:val="en-GB"/>
        </w:rPr>
        <w:lastRenderedPageBreak/>
        <w:t>S7. Overall adverse events in the CRYSTAL study</w:t>
      </w:r>
      <w:r w:rsidR="009913F7">
        <w:rPr>
          <w:rFonts w:ascii="Arial" w:hAnsi="Arial" w:cs="Arial"/>
          <w:b/>
          <w:lang w:val="en-GB"/>
        </w:rPr>
        <w:t xml:space="preserve">Section </w:t>
      </w:r>
    </w:p>
    <w:p w14:paraId="42697C4D" w14:textId="77777777" w:rsidR="00F34DD2" w:rsidRPr="00F20375" w:rsidRDefault="00F34DD2" w:rsidP="001825E9">
      <w:pPr>
        <w:widowControl w:val="0"/>
        <w:spacing w:after="120" w:line="360" w:lineRule="auto"/>
        <w:rPr>
          <w:rFonts w:ascii="Arial" w:hAnsi="Arial" w:cs="Arial"/>
          <w:b/>
          <w:lang w:val="en-GB"/>
        </w:rPr>
      </w:pPr>
      <w:r w:rsidRPr="00F20375">
        <w:rPr>
          <w:rFonts w:ascii="Arial" w:hAnsi="Arial" w:cs="Arial"/>
          <w:b/>
          <w:lang w:val="en-GB"/>
        </w:rPr>
        <w:t xml:space="preserve">Table S5. </w:t>
      </w:r>
      <w:r>
        <w:rPr>
          <w:rFonts w:ascii="Arial" w:hAnsi="Arial" w:cs="Arial"/>
          <w:b/>
          <w:lang w:val="en-GB"/>
        </w:rPr>
        <w:t>Serious</w:t>
      </w:r>
      <w:r w:rsidRPr="00F20375">
        <w:rPr>
          <w:rFonts w:ascii="Arial" w:hAnsi="Arial" w:cs="Arial"/>
          <w:b/>
          <w:lang w:val="en-GB"/>
        </w:rPr>
        <w:t xml:space="preserve"> adverse events during the study period in all groups</w:t>
      </w:r>
      <w:r>
        <w:rPr>
          <w:rFonts w:ascii="Arial" w:hAnsi="Arial" w:cs="Arial"/>
          <w:b/>
          <w:lang w:val="en-GB"/>
        </w:rPr>
        <w:t xml:space="preserve"> (safety set)</w:t>
      </w:r>
    </w:p>
    <w:tbl>
      <w:tblPr>
        <w:tblW w:w="6253" w:type="pct"/>
        <w:tblInd w:w="-1085" w:type="dxa"/>
        <w:tblLayout w:type="fixed"/>
        <w:tblLook w:val="0000" w:firstRow="0" w:lastRow="0" w:firstColumn="0" w:lastColumn="0" w:noHBand="0" w:noVBand="0"/>
      </w:tblPr>
      <w:tblGrid>
        <w:gridCol w:w="2887"/>
        <w:gridCol w:w="1079"/>
        <w:gridCol w:w="1171"/>
        <w:gridCol w:w="1079"/>
        <w:gridCol w:w="1079"/>
        <w:gridCol w:w="1171"/>
        <w:gridCol w:w="1079"/>
        <w:gridCol w:w="1079"/>
        <w:gridCol w:w="1082"/>
      </w:tblGrid>
      <w:tr w:rsidR="00F34DD2" w:rsidRPr="00F20375" w14:paraId="1256B3E8" w14:textId="77777777" w:rsidTr="00542DFD">
        <w:trPr>
          <w:trHeight w:val="485"/>
        </w:trPr>
        <w:tc>
          <w:tcPr>
            <w:tcW w:w="1233" w:type="pct"/>
            <w:tcBorders>
              <w:top w:val="single" w:sz="4" w:space="0" w:color="auto"/>
              <w:bottom w:val="single" w:sz="4" w:space="0" w:color="auto"/>
            </w:tcBorders>
            <w:vAlign w:val="center"/>
          </w:tcPr>
          <w:p w14:paraId="63D27727" w14:textId="77777777" w:rsidR="00F34DD2" w:rsidRPr="00F20375" w:rsidRDefault="00F34DD2" w:rsidP="00542DFD">
            <w:pPr>
              <w:spacing w:after="0" w:line="240" w:lineRule="auto"/>
              <w:rPr>
                <w:rFonts w:ascii="Arial" w:hAnsi="Arial" w:cs="Arial"/>
                <w:b/>
                <w:color w:val="000000"/>
                <w:kern w:val="24"/>
                <w:sz w:val="18"/>
                <w:szCs w:val="18"/>
                <w:lang w:val="en-GB"/>
              </w:rPr>
            </w:pPr>
          </w:p>
        </w:tc>
        <w:tc>
          <w:tcPr>
            <w:tcW w:w="461" w:type="pct"/>
            <w:tcBorders>
              <w:top w:val="single" w:sz="4" w:space="0" w:color="auto"/>
              <w:bottom w:val="single" w:sz="4" w:space="0" w:color="auto"/>
            </w:tcBorders>
            <w:vAlign w:val="center"/>
          </w:tcPr>
          <w:p w14:paraId="1C320390" w14:textId="77777777" w:rsidR="00F34DD2" w:rsidRPr="00F20375" w:rsidRDefault="00F34DD2" w:rsidP="00542DFD">
            <w:pPr>
              <w:spacing w:after="0" w:line="240" w:lineRule="auto"/>
              <w:jc w:val="center"/>
              <w:rPr>
                <w:rFonts w:ascii="Arial" w:hAnsi="Arial" w:cs="Arial"/>
                <w:b/>
                <w:sz w:val="18"/>
                <w:szCs w:val="18"/>
                <w:lang w:val="en-GB"/>
              </w:rPr>
            </w:pPr>
            <w:r w:rsidRPr="00F20375">
              <w:rPr>
                <w:rFonts w:ascii="Arial" w:hAnsi="Arial" w:cs="Arial"/>
                <w:b/>
                <w:color w:val="000000"/>
                <w:kern w:val="24"/>
                <w:sz w:val="18"/>
                <w:szCs w:val="18"/>
                <w:lang w:val="en-GB"/>
              </w:rPr>
              <w:t>SABA and/or SAMA</w:t>
            </w:r>
            <w:r w:rsidRPr="00F20375">
              <w:rPr>
                <w:rFonts w:ascii="Arial" w:hAnsi="Arial" w:cs="Arial"/>
                <w:b/>
                <w:color w:val="000000"/>
                <w:kern w:val="24"/>
                <w:sz w:val="18"/>
                <w:szCs w:val="18"/>
                <w:lang w:val="en-GB"/>
              </w:rPr>
              <w:br/>
              <w:t>n = 125</w:t>
            </w:r>
          </w:p>
        </w:tc>
        <w:tc>
          <w:tcPr>
            <w:tcW w:w="500" w:type="pct"/>
            <w:tcBorders>
              <w:top w:val="single" w:sz="4" w:space="0" w:color="auto"/>
              <w:bottom w:val="single" w:sz="4" w:space="0" w:color="auto"/>
            </w:tcBorders>
            <w:vAlign w:val="center"/>
          </w:tcPr>
          <w:p w14:paraId="45BF7079" w14:textId="77777777" w:rsidR="00F34DD2" w:rsidRPr="00F20375" w:rsidRDefault="00F34DD2" w:rsidP="00542DFD">
            <w:pPr>
              <w:spacing w:after="0" w:line="240" w:lineRule="auto"/>
              <w:jc w:val="center"/>
              <w:rPr>
                <w:rFonts w:ascii="Arial" w:hAnsi="Arial" w:cs="Arial"/>
                <w:b/>
                <w:sz w:val="18"/>
                <w:szCs w:val="18"/>
                <w:lang w:val="en-GB"/>
              </w:rPr>
            </w:pPr>
            <w:r w:rsidRPr="00F20375">
              <w:rPr>
                <w:rFonts w:ascii="Arial" w:hAnsi="Arial" w:cs="Arial"/>
                <w:b/>
                <w:color w:val="000000"/>
                <w:kern w:val="24"/>
                <w:sz w:val="18"/>
                <w:szCs w:val="18"/>
                <w:lang w:val="en-GB"/>
              </w:rPr>
              <w:t>GLY</w:t>
            </w:r>
            <w:r w:rsidRPr="00F20375">
              <w:rPr>
                <w:rFonts w:ascii="Arial" w:hAnsi="Arial" w:cs="Arial"/>
                <w:b/>
                <w:color w:val="000000"/>
                <w:kern w:val="24"/>
                <w:sz w:val="18"/>
                <w:szCs w:val="18"/>
                <w:lang w:val="en-GB"/>
              </w:rPr>
              <w:br/>
              <w:t>n = 385</w:t>
            </w:r>
          </w:p>
        </w:tc>
        <w:tc>
          <w:tcPr>
            <w:tcW w:w="461" w:type="pct"/>
            <w:tcBorders>
              <w:top w:val="single" w:sz="4" w:space="0" w:color="auto"/>
              <w:bottom w:val="single" w:sz="4" w:space="0" w:color="auto"/>
            </w:tcBorders>
            <w:vAlign w:val="center"/>
          </w:tcPr>
          <w:p w14:paraId="5C4A9E88" w14:textId="77777777" w:rsidR="00F34DD2" w:rsidRPr="00F20375" w:rsidRDefault="00F34DD2" w:rsidP="00542DFD">
            <w:pPr>
              <w:spacing w:after="0" w:line="240" w:lineRule="auto"/>
              <w:jc w:val="center"/>
              <w:rPr>
                <w:rFonts w:ascii="Arial" w:hAnsi="Arial" w:cs="Arial"/>
                <w:b/>
                <w:sz w:val="18"/>
                <w:szCs w:val="18"/>
                <w:lang w:val="en-GB"/>
              </w:rPr>
            </w:pPr>
            <w:r w:rsidRPr="00F20375">
              <w:rPr>
                <w:rFonts w:ascii="Arial" w:hAnsi="Arial" w:cs="Arial"/>
                <w:b/>
                <w:color w:val="000000"/>
                <w:kern w:val="24"/>
                <w:sz w:val="18"/>
                <w:szCs w:val="18"/>
                <w:lang w:val="en-GB"/>
              </w:rPr>
              <w:t>LABA or LAMA</w:t>
            </w:r>
            <w:r w:rsidRPr="006A73A8">
              <w:rPr>
                <w:rFonts w:ascii="Arial" w:hAnsi="Arial" w:cs="Arial"/>
                <w:b/>
                <w:color w:val="000000"/>
                <w:kern w:val="24"/>
                <w:sz w:val="18"/>
                <w:szCs w:val="18"/>
                <w:lang w:val="en-GB"/>
              </w:rPr>
              <w:t>*</w:t>
            </w:r>
            <w:r w:rsidRPr="00F20375">
              <w:rPr>
                <w:rFonts w:ascii="Arial" w:hAnsi="Arial" w:cs="Arial"/>
                <w:b/>
                <w:color w:val="000000"/>
                <w:kern w:val="24"/>
                <w:sz w:val="18"/>
                <w:szCs w:val="18"/>
                <w:lang w:val="en-GB"/>
              </w:rPr>
              <w:br/>
              <w:t>n = 417</w:t>
            </w:r>
          </w:p>
        </w:tc>
        <w:tc>
          <w:tcPr>
            <w:tcW w:w="461" w:type="pct"/>
            <w:tcBorders>
              <w:top w:val="single" w:sz="4" w:space="0" w:color="auto"/>
              <w:bottom w:val="single" w:sz="4" w:space="0" w:color="auto"/>
              <w:right w:val="single" w:sz="4" w:space="0" w:color="auto"/>
            </w:tcBorders>
            <w:vAlign w:val="center"/>
          </w:tcPr>
          <w:p w14:paraId="35B0B9AC" w14:textId="77777777" w:rsidR="00F34DD2" w:rsidRPr="00F20375" w:rsidRDefault="00F34DD2" w:rsidP="00542DFD">
            <w:pPr>
              <w:spacing w:after="0" w:line="240" w:lineRule="auto"/>
              <w:jc w:val="center"/>
              <w:rPr>
                <w:rFonts w:ascii="Arial" w:hAnsi="Arial" w:cs="Arial"/>
                <w:b/>
                <w:sz w:val="18"/>
                <w:szCs w:val="18"/>
                <w:lang w:val="en-GB"/>
              </w:rPr>
            </w:pPr>
            <w:r w:rsidRPr="00F20375">
              <w:rPr>
                <w:rFonts w:ascii="Arial" w:hAnsi="Arial" w:cs="Arial"/>
                <w:b/>
                <w:color w:val="000000"/>
                <w:kern w:val="24"/>
                <w:sz w:val="18"/>
                <w:szCs w:val="18"/>
                <w:lang w:val="en-GB"/>
              </w:rPr>
              <w:t>GLY</w:t>
            </w:r>
            <w:r w:rsidRPr="006A73A8">
              <w:rPr>
                <w:rFonts w:ascii="Arial" w:hAnsi="Arial" w:cs="Arial"/>
                <w:b/>
                <w:color w:val="000000"/>
                <w:kern w:val="24"/>
                <w:sz w:val="18"/>
                <w:szCs w:val="18"/>
                <w:lang w:val="en-GB"/>
              </w:rPr>
              <w:t>*</w:t>
            </w:r>
            <w:r w:rsidRPr="00F20375">
              <w:rPr>
                <w:rFonts w:ascii="Arial" w:hAnsi="Arial" w:cs="Arial"/>
                <w:b/>
                <w:color w:val="000000"/>
                <w:kern w:val="24"/>
                <w:sz w:val="18"/>
                <w:szCs w:val="18"/>
                <w:lang w:val="en-GB"/>
              </w:rPr>
              <w:br/>
              <w:t>n =1248</w:t>
            </w:r>
          </w:p>
        </w:tc>
        <w:tc>
          <w:tcPr>
            <w:tcW w:w="500" w:type="pct"/>
            <w:tcBorders>
              <w:top w:val="single" w:sz="4" w:space="0" w:color="auto"/>
              <w:left w:val="single" w:sz="4" w:space="0" w:color="auto"/>
              <w:bottom w:val="single" w:sz="4" w:space="0" w:color="auto"/>
            </w:tcBorders>
            <w:vAlign w:val="center"/>
          </w:tcPr>
          <w:p w14:paraId="57CFD566" w14:textId="77777777" w:rsidR="00F34DD2" w:rsidRPr="00F20375" w:rsidRDefault="00F34DD2" w:rsidP="00542DFD">
            <w:pPr>
              <w:spacing w:after="0" w:line="240" w:lineRule="auto"/>
              <w:jc w:val="center"/>
              <w:rPr>
                <w:rFonts w:ascii="Arial" w:hAnsi="Arial" w:cs="Arial"/>
                <w:b/>
                <w:sz w:val="18"/>
                <w:szCs w:val="18"/>
                <w:lang w:val="en-GB"/>
              </w:rPr>
            </w:pPr>
            <w:r w:rsidRPr="00F20375">
              <w:rPr>
                <w:rFonts w:ascii="Arial" w:hAnsi="Arial" w:cs="Arial"/>
                <w:b/>
                <w:color w:val="000000"/>
                <w:kern w:val="24"/>
                <w:sz w:val="18"/>
                <w:szCs w:val="18"/>
                <w:lang w:val="en-GB"/>
              </w:rPr>
              <w:t>LABA+ICS</w:t>
            </w:r>
            <w:r w:rsidRPr="00F20375">
              <w:rPr>
                <w:rFonts w:ascii="Arial" w:hAnsi="Arial" w:cs="Arial"/>
                <w:b/>
                <w:color w:val="000000"/>
                <w:kern w:val="24"/>
                <w:sz w:val="18"/>
                <w:szCs w:val="18"/>
                <w:lang w:val="en-GB"/>
              </w:rPr>
              <w:br/>
              <w:t>n = 269</w:t>
            </w:r>
          </w:p>
        </w:tc>
        <w:tc>
          <w:tcPr>
            <w:tcW w:w="461" w:type="pct"/>
            <w:tcBorders>
              <w:top w:val="single" w:sz="4" w:space="0" w:color="auto"/>
              <w:bottom w:val="single" w:sz="4" w:space="0" w:color="auto"/>
            </w:tcBorders>
            <w:vAlign w:val="center"/>
          </w:tcPr>
          <w:p w14:paraId="5B3A82B2" w14:textId="77777777" w:rsidR="00F34DD2" w:rsidRPr="00F20375" w:rsidRDefault="00F34DD2" w:rsidP="00542DFD">
            <w:pPr>
              <w:spacing w:after="0" w:line="240" w:lineRule="auto"/>
              <w:jc w:val="center"/>
              <w:rPr>
                <w:rFonts w:ascii="Arial" w:hAnsi="Arial" w:cs="Arial"/>
                <w:b/>
                <w:sz w:val="18"/>
                <w:szCs w:val="18"/>
                <w:lang w:val="en-GB"/>
              </w:rPr>
            </w:pPr>
            <w:r w:rsidRPr="00F20375">
              <w:rPr>
                <w:rFonts w:ascii="Arial" w:hAnsi="Arial" w:cs="Arial"/>
                <w:b/>
                <w:color w:val="000000"/>
                <w:kern w:val="24"/>
                <w:sz w:val="18"/>
                <w:szCs w:val="18"/>
                <w:lang w:val="en-GB"/>
              </w:rPr>
              <w:t>IND/GLY</w:t>
            </w:r>
            <w:r w:rsidRPr="00F20375">
              <w:rPr>
                <w:rFonts w:ascii="Arial" w:hAnsi="Arial" w:cs="Arial"/>
                <w:b/>
                <w:color w:val="000000"/>
                <w:kern w:val="24"/>
                <w:sz w:val="18"/>
                <w:szCs w:val="18"/>
                <w:lang w:val="en-GB"/>
              </w:rPr>
              <w:br/>
              <w:t>n = 816</w:t>
            </w:r>
          </w:p>
        </w:tc>
        <w:tc>
          <w:tcPr>
            <w:tcW w:w="461" w:type="pct"/>
            <w:tcBorders>
              <w:top w:val="single" w:sz="4" w:space="0" w:color="auto"/>
              <w:bottom w:val="single" w:sz="4" w:space="0" w:color="auto"/>
            </w:tcBorders>
            <w:vAlign w:val="center"/>
          </w:tcPr>
          <w:p w14:paraId="6EB4BBEE" w14:textId="77777777" w:rsidR="00F34DD2" w:rsidRPr="00F20375" w:rsidRDefault="00F34DD2" w:rsidP="00542DFD">
            <w:pPr>
              <w:spacing w:after="0" w:line="240" w:lineRule="auto"/>
              <w:jc w:val="center"/>
              <w:rPr>
                <w:rFonts w:ascii="Arial" w:hAnsi="Arial" w:cs="Arial"/>
                <w:b/>
                <w:sz w:val="18"/>
                <w:szCs w:val="18"/>
                <w:lang w:val="en-GB"/>
              </w:rPr>
            </w:pPr>
            <w:r w:rsidRPr="00F20375">
              <w:rPr>
                <w:rFonts w:ascii="Arial" w:hAnsi="Arial" w:cs="Arial"/>
                <w:b/>
                <w:color w:val="000000"/>
                <w:kern w:val="24"/>
                <w:sz w:val="18"/>
                <w:szCs w:val="18"/>
                <w:lang w:val="en-GB"/>
              </w:rPr>
              <w:t>LABA or LAMA</w:t>
            </w:r>
            <w:r w:rsidRPr="006A73A8">
              <w:rPr>
                <w:rFonts w:ascii="Arial" w:hAnsi="Arial" w:cs="Arial"/>
                <w:b/>
                <w:color w:val="000000"/>
                <w:kern w:val="24"/>
                <w:sz w:val="18"/>
                <w:szCs w:val="18"/>
                <w:vertAlign w:val="superscript"/>
                <w:lang w:val="en-GB"/>
              </w:rPr>
              <w:t>#</w:t>
            </w:r>
            <w:r w:rsidRPr="00F20375">
              <w:rPr>
                <w:rFonts w:ascii="Arial" w:hAnsi="Arial" w:cs="Arial"/>
                <w:b/>
                <w:color w:val="000000"/>
                <w:kern w:val="24"/>
                <w:sz w:val="18"/>
                <w:szCs w:val="18"/>
                <w:lang w:val="en-GB"/>
              </w:rPr>
              <w:br/>
              <w:t>n = 269</w:t>
            </w:r>
          </w:p>
        </w:tc>
        <w:tc>
          <w:tcPr>
            <w:tcW w:w="462" w:type="pct"/>
            <w:tcBorders>
              <w:top w:val="single" w:sz="4" w:space="0" w:color="auto"/>
              <w:bottom w:val="single" w:sz="4" w:space="0" w:color="auto"/>
            </w:tcBorders>
            <w:vAlign w:val="center"/>
          </w:tcPr>
          <w:p w14:paraId="269A8E6D" w14:textId="77777777" w:rsidR="00F34DD2" w:rsidRPr="00F20375" w:rsidRDefault="00F34DD2" w:rsidP="00542DFD">
            <w:pPr>
              <w:spacing w:after="0" w:line="240" w:lineRule="auto"/>
              <w:jc w:val="center"/>
              <w:rPr>
                <w:rFonts w:ascii="Arial" w:hAnsi="Arial" w:cs="Arial"/>
                <w:b/>
                <w:sz w:val="18"/>
                <w:szCs w:val="18"/>
                <w:lang w:val="en-GB"/>
              </w:rPr>
            </w:pPr>
            <w:r w:rsidRPr="00F20375">
              <w:rPr>
                <w:rFonts w:ascii="Arial" w:hAnsi="Arial" w:cs="Arial"/>
                <w:b/>
                <w:color w:val="000000"/>
                <w:kern w:val="24"/>
                <w:sz w:val="18"/>
                <w:szCs w:val="18"/>
                <w:lang w:val="en-GB"/>
              </w:rPr>
              <w:t>IND/GLY</w:t>
            </w:r>
            <w:r w:rsidRPr="00F20375">
              <w:rPr>
                <w:rFonts w:ascii="Arial" w:hAnsi="Arial" w:cs="Arial"/>
                <w:b/>
                <w:color w:val="000000"/>
                <w:kern w:val="24"/>
                <w:sz w:val="18"/>
                <w:szCs w:val="18"/>
                <w:lang w:val="en-GB"/>
              </w:rPr>
              <w:br/>
              <w:t>n = 814</w:t>
            </w:r>
            <w:r w:rsidRPr="006A73A8">
              <w:rPr>
                <w:rFonts w:ascii="Arial" w:hAnsi="Arial" w:cs="Arial"/>
                <w:b/>
                <w:color w:val="000000"/>
                <w:kern w:val="24"/>
                <w:sz w:val="18"/>
                <w:szCs w:val="18"/>
                <w:vertAlign w:val="superscript"/>
                <w:lang w:val="en-GB"/>
              </w:rPr>
              <w:t>#</w:t>
            </w:r>
          </w:p>
        </w:tc>
      </w:tr>
      <w:tr w:rsidR="00F34DD2" w:rsidRPr="00F20375" w14:paraId="73C3FD8D" w14:textId="77777777" w:rsidTr="00542DFD">
        <w:trPr>
          <w:trHeight w:val="485"/>
        </w:trPr>
        <w:tc>
          <w:tcPr>
            <w:tcW w:w="1233" w:type="pct"/>
            <w:tcBorders>
              <w:top w:val="single" w:sz="4" w:space="0" w:color="auto"/>
            </w:tcBorders>
            <w:vAlign w:val="center"/>
          </w:tcPr>
          <w:p w14:paraId="234089A0" w14:textId="77777777" w:rsidR="00F34DD2" w:rsidRPr="00F20375" w:rsidRDefault="00F34DD2" w:rsidP="00542DFD">
            <w:pPr>
              <w:spacing w:after="0" w:line="240" w:lineRule="auto"/>
              <w:rPr>
                <w:rFonts w:ascii="Arial" w:hAnsi="Arial" w:cs="Arial"/>
                <w:b/>
                <w:color w:val="000000"/>
                <w:kern w:val="24"/>
                <w:sz w:val="18"/>
                <w:szCs w:val="18"/>
                <w:lang w:val="en-GB"/>
              </w:rPr>
            </w:pPr>
            <w:r w:rsidRPr="00F20375">
              <w:rPr>
                <w:rFonts w:ascii="Arial" w:hAnsi="Arial" w:cs="Arial"/>
                <w:b/>
                <w:color w:val="000000"/>
                <w:kern w:val="24"/>
                <w:sz w:val="18"/>
                <w:szCs w:val="18"/>
                <w:lang w:val="en-GB"/>
              </w:rPr>
              <w:t>Number of patients with any treatment-emergent SAE</w:t>
            </w:r>
          </w:p>
        </w:tc>
        <w:tc>
          <w:tcPr>
            <w:tcW w:w="461" w:type="pct"/>
            <w:tcBorders>
              <w:top w:val="single" w:sz="4" w:space="0" w:color="auto"/>
            </w:tcBorders>
            <w:vAlign w:val="center"/>
          </w:tcPr>
          <w:p w14:paraId="7DEC7765" w14:textId="77777777" w:rsidR="00F34DD2" w:rsidRPr="00F20375" w:rsidRDefault="00F34DD2" w:rsidP="001C6D15">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4 (3.2%)</w:t>
            </w:r>
          </w:p>
        </w:tc>
        <w:tc>
          <w:tcPr>
            <w:tcW w:w="500" w:type="pct"/>
            <w:tcBorders>
              <w:top w:val="single" w:sz="4" w:space="0" w:color="auto"/>
            </w:tcBorders>
            <w:vAlign w:val="center"/>
          </w:tcPr>
          <w:p w14:paraId="73AD4756" w14:textId="77777777" w:rsidR="00F34DD2" w:rsidRPr="00F20375" w:rsidRDefault="00F34DD2" w:rsidP="001C6D15">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9 (2.3%)</w:t>
            </w:r>
          </w:p>
        </w:tc>
        <w:tc>
          <w:tcPr>
            <w:tcW w:w="461" w:type="pct"/>
            <w:tcBorders>
              <w:top w:val="single" w:sz="4" w:space="0" w:color="auto"/>
            </w:tcBorders>
            <w:vAlign w:val="center"/>
          </w:tcPr>
          <w:p w14:paraId="5996B2F0" w14:textId="77777777" w:rsidR="00F34DD2" w:rsidRPr="00F20375" w:rsidRDefault="00F34DD2" w:rsidP="001C6D15">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w:t>
            </w:r>
            <w:r>
              <w:rPr>
                <w:rFonts w:ascii="Arial" w:hAnsi="Arial" w:cs="Arial"/>
                <w:color w:val="000000"/>
                <w:kern w:val="24"/>
                <w:sz w:val="18"/>
                <w:szCs w:val="18"/>
                <w:lang w:val="en-GB"/>
              </w:rPr>
              <w:t>1 (2.6</w:t>
            </w:r>
            <w:r w:rsidRPr="00F20375">
              <w:rPr>
                <w:rFonts w:ascii="Arial" w:hAnsi="Arial" w:cs="Arial"/>
                <w:color w:val="000000"/>
                <w:kern w:val="24"/>
                <w:sz w:val="18"/>
                <w:szCs w:val="18"/>
                <w:lang w:val="en-GB"/>
              </w:rPr>
              <w:t>%)</w:t>
            </w:r>
          </w:p>
        </w:tc>
        <w:tc>
          <w:tcPr>
            <w:tcW w:w="461" w:type="pct"/>
            <w:tcBorders>
              <w:top w:val="single" w:sz="4" w:space="0" w:color="auto"/>
              <w:right w:val="single" w:sz="4" w:space="0" w:color="auto"/>
            </w:tcBorders>
            <w:vAlign w:val="center"/>
          </w:tcPr>
          <w:p w14:paraId="055B9568" w14:textId="77777777" w:rsidR="00F34DD2" w:rsidRPr="00F20375" w:rsidRDefault="00F34DD2" w:rsidP="001C6D15">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30 (2.4%)</w:t>
            </w:r>
          </w:p>
        </w:tc>
        <w:tc>
          <w:tcPr>
            <w:tcW w:w="500" w:type="pct"/>
            <w:tcBorders>
              <w:top w:val="single" w:sz="4" w:space="0" w:color="auto"/>
              <w:left w:val="single" w:sz="4" w:space="0" w:color="auto"/>
            </w:tcBorders>
            <w:vAlign w:val="center"/>
          </w:tcPr>
          <w:p w14:paraId="257F5FB2" w14:textId="77777777" w:rsidR="00F34DD2" w:rsidRPr="00F20375" w:rsidRDefault="00F34DD2" w:rsidP="001C6D15">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6 (2.2%)</w:t>
            </w:r>
          </w:p>
        </w:tc>
        <w:tc>
          <w:tcPr>
            <w:tcW w:w="461" w:type="pct"/>
            <w:tcBorders>
              <w:top w:val="single" w:sz="4" w:space="0" w:color="auto"/>
            </w:tcBorders>
            <w:vAlign w:val="center"/>
          </w:tcPr>
          <w:p w14:paraId="2286E9E3" w14:textId="77777777" w:rsidR="00F34DD2" w:rsidRPr="00F20375" w:rsidRDefault="00F34DD2" w:rsidP="001C6D15">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22 (2.7%)</w:t>
            </w:r>
          </w:p>
        </w:tc>
        <w:tc>
          <w:tcPr>
            <w:tcW w:w="461" w:type="pct"/>
            <w:tcBorders>
              <w:top w:val="single" w:sz="4" w:space="0" w:color="auto"/>
            </w:tcBorders>
            <w:vAlign w:val="center"/>
          </w:tcPr>
          <w:p w14:paraId="2CC7621D" w14:textId="77777777" w:rsidR="00F34DD2" w:rsidRPr="00F20375" w:rsidRDefault="00F34DD2" w:rsidP="001C6D15">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10 (3.7%)</w:t>
            </w:r>
          </w:p>
        </w:tc>
        <w:tc>
          <w:tcPr>
            <w:tcW w:w="462" w:type="pct"/>
            <w:tcBorders>
              <w:top w:val="single" w:sz="4" w:space="0" w:color="auto"/>
            </w:tcBorders>
            <w:vAlign w:val="center"/>
          </w:tcPr>
          <w:p w14:paraId="780BB24C" w14:textId="77777777" w:rsidR="00F34DD2" w:rsidRPr="00F20375" w:rsidRDefault="00F34DD2" w:rsidP="001C6D15">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34 (4.2%)</w:t>
            </w:r>
          </w:p>
        </w:tc>
      </w:tr>
      <w:tr w:rsidR="00F34DD2" w:rsidRPr="00F20375" w14:paraId="493E8BD7" w14:textId="77777777" w:rsidTr="00542DFD">
        <w:trPr>
          <w:trHeight w:val="395"/>
        </w:trPr>
        <w:tc>
          <w:tcPr>
            <w:tcW w:w="1233" w:type="pct"/>
            <w:tcBorders>
              <w:bottom w:val="single" w:sz="4" w:space="0" w:color="auto"/>
            </w:tcBorders>
            <w:vAlign w:val="center"/>
          </w:tcPr>
          <w:p w14:paraId="40E2F273" w14:textId="77777777" w:rsidR="00F34DD2" w:rsidRPr="00F20375" w:rsidRDefault="00F34DD2" w:rsidP="00542DFD">
            <w:pPr>
              <w:spacing w:after="0" w:line="240" w:lineRule="auto"/>
              <w:rPr>
                <w:rFonts w:ascii="Arial" w:hAnsi="Arial" w:cs="Arial"/>
                <w:b/>
                <w:color w:val="000000"/>
                <w:kern w:val="24"/>
                <w:sz w:val="18"/>
                <w:szCs w:val="18"/>
                <w:lang w:val="en-GB"/>
              </w:rPr>
            </w:pPr>
            <w:r w:rsidRPr="00F20375">
              <w:rPr>
                <w:rFonts w:ascii="Arial" w:hAnsi="Arial" w:cs="Arial"/>
                <w:b/>
                <w:color w:val="000000"/>
                <w:kern w:val="24"/>
                <w:sz w:val="18"/>
                <w:szCs w:val="18"/>
                <w:lang w:val="en-GB"/>
              </w:rPr>
              <w:t>Number of treatment-emergent SAEs</w:t>
            </w:r>
          </w:p>
        </w:tc>
        <w:tc>
          <w:tcPr>
            <w:tcW w:w="461" w:type="pct"/>
            <w:tcBorders>
              <w:bottom w:val="single" w:sz="4" w:space="0" w:color="auto"/>
            </w:tcBorders>
            <w:vAlign w:val="center"/>
          </w:tcPr>
          <w:p w14:paraId="5D7BF2BA"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6</w:t>
            </w:r>
          </w:p>
        </w:tc>
        <w:tc>
          <w:tcPr>
            <w:tcW w:w="500" w:type="pct"/>
            <w:tcBorders>
              <w:bottom w:val="single" w:sz="4" w:space="0" w:color="auto"/>
            </w:tcBorders>
            <w:vAlign w:val="center"/>
          </w:tcPr>
          <w:p w14:paraId="771BB850"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15</w:t>
            </w:r>
          </w:p>
        </w:tc>
        <w:tc>
          <w:tcPr>
            <w:tcW w:w="461" w:type="pct"/>
            <w:tcBorders>
              <w:bottom w:val="single" w:sz="4" w:space="0" w:color="auto"/>
            </w:tcBorders>
            <w:vAlign w:val="center"/>
          </w:tcPr>
          <w:p w14:paraId="7D7AC0BB"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w:t>
            </w:r>
            <w:r>
              <w:rPr>
                <w:rFonts w:ascii="Arial" w:hAnsi="Arial" w:cs="Arial"/>
                <w:color w:val="000000"/>
                <w:kern w:val="24"/>
                <w:sz w:val="18"/>
                <w:szCs w:val="18"/>
                <w:lang w:val="en-GB"/>
              </w:rPr>
              <w:t>2</w:t>
            </w:r>
          </w:p>
        </w:tc>
        <w:tc>
          <w:tcPr>
            <w:tcW w:w="461" w:type="pct"/>
            <w:tcBorders>
              <w:bottom w:val="single" w:sz="4" w:space="0" w:color="auto"/>
              <w:right w:val="single" w:sz="4" w:space="0" w:color="auto"/>
            </w:tcBorders>
            <w:vAlign w:val="center"/>
          </w:tcPr>
          <w:p w14:paraId="6940C6E2" w14:textId="77777777" w:rsidR="00F34DD2" w:rsidRPr="00F20375" w:rsidRDefault="00F34DD2" w:rsidP="004233FD">
            <w:pPr>
              <w:spacing w:after="0" w:line="240" w:lineRule="auto"/>
              <w:jc w:val="center"/>
              <w:rPr>
                <w:rFonts w:ascii="Arial" w:hAnsi="Arial" w:cs="Arial"/>
                <w:sz w:val="18"/>
                <w:szCs w:val="18"/>
                <w:lang w:val="en-GB"/>
              </w:rPr>
            </w:pPr>
            <w:r>
              <w:rPr>
                <w:rFonts w:ascii="Arial" w:hAnsi="Arial" w:cs="Arial"/>
                <w:color w:val="000000"/>
                <w:kern w:val="24"/>
                <w:sz w:val="18"/>
                <w:szCs w:val="18"/>
                <w:lang w:val="en-GB"/>
              </w:rPr>
              <w:t>4</w:t>
            </w:r>
            <w:r w:rsidRPr="00F20375">
              <w:rPr>
                <w:rFonts w:ascii="Arial" w:hAnsi="Arial" w:cs="Arial"/>
                <w:color w:val="000000"/>
                <w:kern w:val="24"/>
                <w:sz w:val="18"/>
                <w:szCs w:val="18"/>
                <w:lang w:val="en-GB"/>
              </w:rPr>
              <w:t>3</w:t>
            </w:r>
          </w:p>
        </w:tc>
        <w:tc>
          <w:tcPr>
            <w:tcW w:w="500" w:type="pct"/>
            <w:tcBorders>
              <w:left w:val="single" w:sz="4" w:space="0" w:color="auto"/>
              <w:bottom w:val="single" w:sz="4" w:space="0" w:color="auto"/>
            </w:tcBorders>
            <w:vAlign w:val="center"/>
          </w:tcPr>
          <w:p w14:paraId="751ABD2A"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8</w:t>
            </w:r>
          </w:p>
        </w:tc>
        <w:tc>
          <w:tcPr>
            <w:tcW w:w="461" w:type="pct"/>
            <w:tcBorders>
              <w:bottom w:val="single" w:sz="4" w:space="0" w:color="auto"/>
            </w:tcBorders>
            <w:vAlign w:val="center"/>
          </w:tcPr>
          <w:p w14:paraId="1DD7F822"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24</w:t>
            </w:r>
          </w:p>
        </w:tc>
        <w:tc>
          <w:tcPr>
            <w:tcW w:w="461" w:type="pct"/>
            <w:tcBorders>
              <w:bottom w:val="single" w:sz="4" w:space="0" w:color="auto"/>
            </w:tcBorders>
            <w:vAlign w:val="center"/>
          </w:tcPr>
          <w:p w14:paraId="0156FE35"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14</w:t>
            </w:r>
          </w:p>
        </w:tc>
        <w:tc>
          <w:tcPr>
            <w:tcW w:w="462" w:type="pct"/>
            <w:tcBorders>
              <w:bottom w:val="single" w:sz="4" w:space="0" w:color="auto"/>
            </w:tcBorders>
            <w:vAlign w:val="center"/>
          </w:tcPr>
          <w:p w14:paraId="0162E02B"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49</w:t>
            </w:r>
          </w:p>
        </w:tc>
      </w:tr>
      <w:tr w:rsidR="00F34DD2" w:rsidRPr="00F20375" w14:paraId="70DC4B79" w14:textId="77777777" w:rsidTr="00542DFD">
        <w:trPr>
          <w:trHeight w:val="395"/>
        </w:trPr>
        <w:tc>
          <w:tcPr>
            <w:tcW w:w="1233" w:type="pct"/>
            <w:tcBorders>
              <w:top w:val="single" w:sz="4" w:space="0" w:color="auto"/>
            </w:tcBorders>
            <w:vAlign w:val="center"/>
          </w:tcPr>
          <w:p w14:paraId="7F87A19C" w14:textId="77777777" w:rsidR="00F34DD2" w:rsidRPr="00F20375" w:rsidRDefault="00F34DD2" w:rsidP="00E24EB2">
            <w:pPr>
              <w:spacing w:after="0" w:line="240" w:lineRule="auto"/>
              <w:rPr>
                <w:rFonts w:ascii="Arial" w:hAnsi="Arial" w:cs="Arial"/>
                <w:b/>
                <w:color w:val="000000"/>
                <w:kern w:val="24"/>
                <w:sz w:val="18"/>
                <w:szCs w:val="18"/>
                <w:lang w:val="en-GB"/>
              </w:rPr>
            </w:pPr>
            <w:r w:rsidRPr="00F20375">
              <w:rPr>
                <w:rFonts w:ascii="Arial" w:hAnsi="Arial" w:cs="Arial"/>
                <w:b/>
                <w:color w:val="000000"/>
                <w:kern w:val="24"/>
                <w:sz w:val="18"/>
                <w:szCs w:val="18"/>
                <w:lang w:val="en-GB"/>
              </w:rPr>
              <w:t xml:space="preserve">System </w:t>
            </w:r>
            <w:r>
              <w:rPr>
                <w:rFonts w:ascii="Arial" w:hAnsi="Arial" w:cs="Arial"/>
                <w:b/>
                <w:color w:val="000000"/>
                <w:kern w:val="24"/>
                <w:sz w:val="18"/>
                <w:szCs w:val="18"/>
                <w:lang w:val="en-GB"/>
              </w:rPr>
              <w:t>o</w:t>
            </w:r>
            <w:r w:rsidRPr="00F20375">
              <w:rPr>
                <w:rFonts w:ascii="Arial" w:hAnsi="Arial" w:cs="Arial"/>
                <w:b/>
                <w:color w:val="000000"/>
                <w:kern w:val="24"/>
                <w:sz w:val="18"/>
                <w:szCs w:val="18"/>
                <w:lang w:val="en-GB"/>
              </w:rPr>
              <w:t xml:space="preserve">rgan </w:t>
            </w:r>
            <w:r>
              <w:rPr>
                <w:rFonts w:ascii="Arial" w:hAnsi="Arial" w:cs="Arial"/>
                <w:b/>
                <w:color w:val="000000"/>
                <w:kern w:val="24"/>
                <w:sz w:val="18"/>
                <w:szCs w:val="18"/>
                <w:lang w:val="en-GB"/>
              </w:rPr>
              <w:t>c</w:t>
            </w:r>
            <w:r w:rsidRPr="00F20375">
              <w:rPr>
                <w:rFonts w:ascii="Arial" w:hAnsi="Arial" w:cs="Arial"/>
                <w:b/>
                <w:color w:val="000000"/>
                <w:kern w:val="24"/>
                <w:sz w:val="18"/>
                <w:szCs w:val="18"/>
                <w:lang w:val="en-GB"/>
              </w:rPr>
              <w:t>lass</w:t>
            </w:r>
            <w:r w:rsidRPr="00F20375">
              <w:rPr>
                <w:rFonts w:ascii="Arial" w:hAnsi="Arial" w:cs="Arial"/>
                <w:b/>
                <w:color w:val="000000"/>
                <w:kern w:val="24"/>
                <w:sz w:val="18"/>
                <w:szCs w:val="18"/>
                <w:lang w:val="en-GB"/>
              </w:rPr>
              <w:br/>
              <w:t xml:space="preserve">   </w:t>
            </w:r>
            <w:r w:rsidRPr="00F20375">
              <w:rPr>
                <w:rFonts w:ascii="Arial" w:hAnsi="Arial" w:cs="Arial"/>
                <w:color w:val="000000"/>
                <w:kern w:val="24"/>
                <w:sz w:val="18"/>
                <w:szCs w:val="18"/>
                <w:lang w:val="en-GB"/>
              </w:rPr>
              <w:t xml:space="preserve">Preferred </w:t>
            </w:r>
            <w:r>
              <w:rPr>
                <w:rFonts w:ascii="Arial" w:hAnsi="Arial" w:cs="Arial"/>
                <w:color w:val="000000"/>
                <w:kern w:val="24"/>
                <w:sz w:val="18"/>
                <w:szCs w:val="18"/>
                <w:lang w:val="en-GB"/>
              </w:rPr>
              <w:t>t</w:t>
            </w:r>
            <w:r w:rsidRPr="00F20375">
              <w:rPr>
                <w:rFonts w:ascii="Arial" w:hAnsi="Arial" w:cs="Arial"/>
                <w:color w:val="000000"/>
                <w:kern w:val="24"/>
                <w:sz w:val="18"/>
                <w:szCs w:val="18"/>
                <w:lang w:val="en-GB"/>
              </w:rPr>
              <w:t>erm</w:t>
            </w:r>
          </w:p>
        </w:tc>
        <w:tc>
          <w:tcPr>
            <w:tcW w:w="461" w:type="pct"/>
            <w:tcBorders>
              <w:top w:val="single" w:sz="4" w:space="0" w:color="auto"/>
            </w:tcBorders>
            <w:vAlign w:val="center"/>
          </w:tcPr>
          <w:p w14:paraId="114FE1D9" w14:textId="77777777" w:rsidR="00F34DD2" w:rsidRPr="00F20375" w:rsidRDefault="00F34DD2" w:rsidP="00542DFD">
            <w:pPr>
              <w:spacing w:after="0" w:line="240" w:lineRule="auto"/>
              <w:jc w:val="center"/>
              <w:rPr>
                <w:rFonts w:ascii="Arial" w:hAnsi="Arial" w:cs="Arial"/>
                <w:color w:val="000000"/>
                <w:kern w:val="24"/>
                <w:sz w:val="18"/>
                <w:szCs w:val="18"/>
                <w:lang w:val="en-GB"/>
              </w:rPr>
            </w:pPr>
          </w:p>
        </w:tc>
        <w:tc>
          <w:tcPr>
            <w:tcW w:w="500" w:type="pct"/>
            <w:tcBorders>
              <w:top w:val="single" w:sz="4" w:space="0" w:color="auto"/>
            </w:tcBorders>
            <w:vAlign w:val="center"/>
          </w:tcPr>
          <w:p w14:paraId="40980531" w14:textId="77777777" w:rsidR="00F34DD2" w:rsidRPr="00F20375" w:rsidRDefault="00F34DD2" w:rsidP="00542DFD">
            <w:pPr>
              <w:spacing w:after="0" w:line="240" w:lineRule="auto"/>
              <w:jc w:val="center"/>
              <w:rPr>
                <w:rFonts w:ascii="Arial" w:hAnsi="Arial" w:cs="Arial"/>
                <w:color w:val="000000"/>
                <w:kern w:val="24"/>
                <w:sz w:val="18"/>
                <w:szCs w:val="18"/>
                <w:lang w:val="en-GB"/>
              </w:rPr>
            </w:pPr>
          </w:p>
        </w:tc>
        <w:tc>
          <w:tcPr>
            <w:tcW w:w="461" w:type="pct"/>
            <w:tcBorders>
              <w:top w:val="single" w:sz="4" w:space="0" w:color="auto"/>
            </w:tcBorders>
            <w:vAlign w:val="center"/>
          </w:tcPr>
          <w:p w14:paraId="230C0DF5" w14:textId="77777777" w:rsidR="00F34DD2" w:rsidRPr="00F20375" w:rsidRDefault="00F34DD2" w:rsidP="00542DFD">
            <w:pPr>
              <w:spacing w:after="0" w:line="240" w:lineRule="auto"/>
              <w:jc w:val="center"/>
              <w:rPr>
                <w:rFonts w:ascii="Arial" w:hAnsi="Arial" w:cs="Arial"/>
                <w:color w:val="000000"/>
                <w:kern w:val="24"/>
                <w:sz w:val="18"/>
                <w:szCs w:val="18"/>
                <w:lang w:val="en-GB"/>
              </w:rPr>
            </w:pPr>
          </w:p>
        </w:tc>
        <w:tc>
          <w:tcPr>
            <w:tcW w:w="461" w:type="pct"/>
            <w:tcBorders>
              <w:top w:val="single" w:sz="4" w:space="0" w:color="auto"/>
              <w:right w:val="single" w:sz="4" w:space="0" w:color="auto"/>
            </w:tcBorders>
            <w:vAlign w:val="center"/>
          </w:tcPr>
          <w:p w14:paraId="20802BB9" w14:textId="77777777" w:rsidR="00F34DD2" w:rsidRPr="00F20375" w:rsidRDefault="00F34DD2" w:rsidP="00542DFD">
            <w:pPr>
              <w:spacing w:after="0" w:line="240" w:lineRule="auto"/>
              <w:jc w:val="center"/>
              <w:rPr>
                <w:rFonts w:ascii="Arial" w:hAnsi="Arial" w:cs="Arial"/>
                <w:color w:val="000000"/>
                <w:kern w:val="24"/>
                <w:sz w:val="18"/>
                <w:szCs w:val="18"/>
                <w:lang w:val="en-GB"/>
              </w:rPr>
            </w:pPr>
          </w:p>
        </w:tc>
        <w:tc>
          <w:tcPr>
            <w:tcW w:w="500" w:type="pct"/>
            <w:tcBorders>
              <w:top w:val="single" w:sz="4" w:space="0" w:color="auto"/>
              <w:left w:val="single" w:sz="4" w:space="0" w:color="auto"/>
            </w:tcBorders>
            <w:vAlign w:val="center"/>
          </w:tcPr>
          <w:p w14:paraId="701A2921" w14:textId="77777777" w:rsidR="00F34DD2" w:rsidRPr="00F20375" w:rsidRDefault="00F34DD2" w:rsidP="00542DFD">
            <w:pPr>
              <w:spacing w:after="0" w:line="240" w:lineRule="auto"/>
              <w:jc w:val="center"/>
              <w:rPr>
                <w:rFonts w:ascii="Arial" w:hAnsi="Arial" w:cs="Arial"/>
                <w:color w:val="000000"/>
                <w:kern w:val="24"/>
                <w:sz w:val="18"/>
                <w:szCs w:val="18"/>
                <w:lang w:val="en-GB"/>
              </w:rPr>
            </w:pPr>
          </w:p>
        </w:tc>
        <w:tc>
          <w:tcPr>
            <w:tcW w:w="461" w:type="pct"/>
            <w:tcBorders>
              <w:top w:val="single" w:sz="4" w:space="0" w:color="auto"/>
            </w:tcBorders>
            <w:vAlign w:val="center"/>
          </w:tcPr>
          <w:p w14:paraId="36A8B76C" w14:textId="77777777" w:rsidR="00F34DD2" w:rsidRPr="00F20375" w:rsidRDefault="00F34DD2" w:rsidP="00542DFD">
            <w:pPr>
              <w:spacing w:after="0" w:line="240" w:lineRule="auto"/>
              <w:jc w:val="center"/>
              <w:rPr>
                <w:rFonts w:ascii="Arial" w:hAnsi="Arial" w:cs="Arial"/>
                <w:color w:val="000000"/>
                <w:kern w:val="24"/>
                <w:sz w:val="18"/>
                <w:szCs w:val="18"/>
                <w:lang w:val="en-GB"/>
              </w:rPr>
            </w:pPr>
          </w:p>
        </w:tc>
        <w:tc>
          <w:tcPr>
            <w:tcW w:w="461" w:type="pct"/>
            <w:tcBorders>
              <w:top w:val="single" w:sz="4" w:space="0" w:color="auto"/>
            </w:tcBorders>
            <w:vAlign w:val="center"/>
          </w:tcPr>
          <w:p w14:paraId="01917B63" w14:textId="77777777" w:rsidR="00F34DD2" w:rsidRPr="00F20375" w:rsidRDefault="00F34DD2" w:rsidP="00542DFD">
            <w:pPr>
              <w:spacing w:after="0" w:line="240" w:lineRule="auto"/>
              <w:jc w:val="center"/>
              <w:rPr>
                <w:rFonts w:ascii="Arial" w:hAnsi="Arial" w:cs="Arial"/>
                <w:color w:val="000000"/>
                <w:kern w:val="24"/>
                <w:sz w:val="18"/>
                <w:szCs w:val="18"/>
                <w:lang w:val="en-GB"/>
              </w:rPr>
            </w:pPr>
          </w:p>
        </w:tc>
        <w:tc>
          <w:tcPr>
            <w:tcW w:w="462" w:type="pct"/>
            <w:tcBorders>
              <w:top w:val="single" w:sz="4" w:space="0" w:color="auto"/>
            </w:tcBorders>
            <w:vAlign w:val="center"/>
          </w:tcPr>
          <w:p w14:paraId="45372D93" w14:textId="77777777" w:rsidR="00F34DD2" w:rsidRPr="00F20375" w:rsidRDefault="00F34DD2" w:rsidP="00542DFD">
            <w:pPr>
              <w:spacing w:after="0" w:line="240" w:lineRule="auto"/>
              <w:jc w:val="center"/>
              <w:rPr>
                <w:rFonts w:ascii="Arial" w:hAnsi="Arial" w:cs="Arial"/>
                <w:color w:val="000000"/>
                <w:kern w:val="24"/>
                <w:sz w:val="18"/>
                <w:szCs w:val="18"/>
                <w:lang w:val="en-GB"/>
              </w:rPr>
            </w:pPr>
          </w:p>
        </w:tc>
      </w:tr>
      <w:tr w:rsidR="00F34DD2" w:rsidRPr="00F20375" w14:paraId="687A1927" w14:textId="77777777" w:rsidTr="00542DFD">
        <w:trPr>
          <w:trHeight w:val="170"/>
        </w:trPr>
        <w:tc>
          <w:tcPr>
            <w:tcW w:w="1233" w:type="pct"/>
            <w:vAlign w:val="center"/>
          </w:tcPr>
          <w:p w14:paraId="4E485BEA" w14:textId="77777777" w:rsidR="00F34DD2" w:rsidRPr="00F20375" w:rsidRDefault="00F34DD2" w:rsidP="00542DFD">
            <w:pPr>
              <w:spacing w:after="0" w:line="240" w:lineRule="auto"/>
              <w:rPr>
                <w:rFonts w:ascii="Arial" w:hAnsi="Arial" w:cs="Arial"/>
                <w:sz w:val="18"/>
                <w:szCs w:val="18"/>
                <w:lang w:val="en-GB"/>
              </w:rPr>
            </w:pPr>
            <w:r w:rsidRPr="00F20375">
              <w:rPr>
                <w:rFonts w:ascii="Arial" w:hAnsi="Arial" w:cs="Arial"/>
                <w:b/>
                <w:color w:val="000000"/>
                <w:kern w:val="24"/>
                <w:sz w:val="18"/>
                <w:szCs w:val="18"/>
                <w:lang w:val="en-GB"/>
              </w:rPr>
              <w:t>Cardiac disorders</w:t>
            </w:r>
          </w:p>
        </w:tc>
        <w:tc>
          <w:tcPr>
            <w:tcW w:w="461" w:type="pct"/>
            <w:vAlign w:val="center"/>
          </w:tcPr>
          <w:p w14:paraId="48FAFCB2"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2 (1.6%)</w:t>
            </w:r>
          </w:p>
        </w:tc>
        <w:tc>
          <w:tcPr>
            <w:tcW w:w="500" w:type="pct"/>
            <w:vAlign w:val="center"/>
          </w:tcPr>
          <w:p w14:paraId="5FBD0696"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2 (0.5%)</w:t>
            </w:r>
          </w:p>
        </w:tc>
        <w:tc>
          <w:tcPr>
            <w:tcW w:w="461" w:type="pct"/>
            <w:vAlign w:val="center"/>
          </w:tcPr>
          <w:p w14:paraId="71B2A518" w14:textId="77777777" w:rsidR="00F34DD2" w:rsidRPr="00F20375" w:rsidRDefault="00F34DD2" w:rsidP="00FA3C92">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(0.2%)</w:t>
            </w:r>
          </w:p>
        </w:tc>
        <w:tc>
          <w:tcPr>
            <w:tcW w:w="461" w:type="pct"/>
            <w:tcBorders>
              <w:right w:val="single" w:sz="4" w:space="0" w:color="auto"/>
            </w:tcBorders>
            <w:vAlign w:val="center"/>
          </w:tcPr>
          <w:p w14:paraId="6D748C8B" w14:textId="77777777" w:rsidR="00F34DD2" w:rsidRPr="00F20375" w:rsidRDefault="00F34DD2" w:rsidP="0039699D">
            <w:pPr>
              <w:spacing w:after="0" w:line="240" w:lineRule="auto"/>
              <w:jc w:val="center"/>
              <w:rPr>
                <w:rFonts w:ascii="Arial" w:hAnsi="Arial" w:cs="Arial"/>
                <w:sz w:val="18"/>
                <w:szCs w:val="18"/>
                <w:lang w:val="en-GB"/>
              </w:rPr>
            </w:pPr>
            <w:r>
              <w:rPr>
                <w:rFonts w:ascii="Arial" w:hAnsi="Arial" w:cs="Arial"/>
                <w:color w:val="000000"/>
                <w:kern w:val="24"/>
                <w:sz w:val="18"/>
                <w:szCs w:val="18"/>
                <w:lang w:val="en-GB"/>
              </w:rPr>
              <w:t>6</w:t>
            </w:r>
            <w:r w:rsidRPr="00F20375">
              <w:rPr>
                <w:rFonts w:ascii="Arial" w:hAnsi="Arial" w:cs="Arial"/>
                <w:color w:val="000000"/>
                <w:kern w:val="24"/>
                <w:sz w:val="18"/>
                <w:szCs w:val="18"/>
                <w:lang w:val="en-GB"/>
              </w:rPr>
              <w:t xml:space="preserve"> </w:t>
            </w:r>
            <w:r>
              <w:rPr>
                <w:rFonts w:ascii="Arial" w:hAnsi="Arial" w:cs="Arial"/>
                <w:color w:val="000000"/>
                <w:kern w:val="24"/>
                <w:sz w:val="18"/>
                <w:szCs w:val="18"/>
                <w:lang w:val="en-GB"/>
              </w:rPr>
              <w:t>(0.5</w:t>
            </w:r>
            <w:r w:rsidRPr="00F20375">
              <w:rPr>
                <w:rFonts w:ascii="Arial" w:hAnsi="Arial" w:cs="Arial"/>
                <w:color w:val="000000"/>
                <w:kern w:val="24"/>
                <w:sz w:val="18"/>
                <w:szCs w:val="18"/>
                <w:lang w:val="en-GB"/>
              </w:rPr>
              <w:t>%)</w:t>
            </w:r>
          </w:p>
        </w:tc>
        <w:tc>
          <w:tcPr>
            <w:tcW w:w="500" w:type="pct"/>
            <w:tcBorders>
              <w:left w:val="single" w:sz="4" w:space="0" w:color="auto"/>
            </w:tcBorders>
            <w:vAlign w:val="center"/>
          </w:tcPr>
          <w:p w14:paraId="2B409008"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(0.4%)</w:t>
            </w:r>
          </w:p>
        </w:tc>
        <w:tc>
          <w:tcPr>
            <w:tcW w:w="461" w:type="pct"/>
            <w:vAlign w:val="center"/>
          </w:tcPr>
          <w:p w14:paraId="66E24D28"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2 (0.3%)</w:t>
            </w:r>
          </w:p>
        </w:tc>
        <w:tc>
          <w:tcPr>
            <w:tcW w:w="461" w:type="pct"/>
            <w:vAlign w:val="center"/>
          </w:tcPr>
          <w:p w14:paraId="12B6F7F6"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3 (1.1%)</w:t>
            </w:r>
          </w:p>
        </w:tc>
        <w:tc>
          <w:tcPr>
            <w:tcW w:w="462" w:type="pct"/>
            <w:vAlign w:val="center"/>
          </w:tcPr>
          <w:p w14:paraId="10535895"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5 (0.6%)</w:t>
            </w:r>
          </w:p>
        </w:tc>
      </w:tr>
      <w:tr w:rsidR="00F34DD2" w:rsidRPr="00F20375" w14:paraId="4CBAD181" w14:textId="77777777" w:rsidTr="00542DFD">
        <w:trPr>
          <w:trHeight w:val="60"/>
        </w:trPr>
        <w:tc>
          <w:tcPr>
            <w:tcW w:w="1233" w:type="pct"/>
            <w:vAlign w:val="center"/>
          </w:tcPr>
          <w:p w14:paraId="2F23E2E2" w14:textId="77777777" w:rsidR="00F34DD2" w:rsidRPr="00F20375" w:rsidRDefault="00F34DD2" w:rsidP="00B569B8">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Myocardial infarction</w:t>
            </w:r>
          </w:p>
        </w:tc>
        <w:tc>
          <w:tcPr>
            <w:tcW w:w="461" w:type="pct"/>
            <w:vAlign w:val="center"/>
          </w:tcPr>
          <w:p w14:paraId="0EC3B94B"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(0.8%)</w:t>
            </w:r>
          </w:p>
        </w:tc>
        <w:tc>
          <w:tcPr>
            <w:tcW w:w="500" w:type="pct"/>
            <w:vAlign w:val="center"/>
          </w:tcPr>
          <w:p w14:paraId="05A826C6"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1EE43A12"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34948A99"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(0.1%)</w:t>
            </w:r>
          </w:p>
        </w:tc>
        <w:tc>
          <w:tcPr>
            <w:tcW w:w="500" w:type="pct"/>
            <w:tcBorders>
              <w:left w:val="single" w:sz="4" w:space="0" w:color="auto"/>
            </w:tcBorders>
            <w:vAlign w:val="center"/>
          </w:tcPr>
          <w:p w14:paraId="4195E30D"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2E3450E6"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281065F7"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(0.4%)</w:t>
            </w:r>
          </w:p>
        </w:tc>
        <w:tc>
          <w:tcPr>
            <w:tcW w:w="462" w:type="pct"/>
            <w:vAlign w:val="center"/>
          </w:tcPr>
          <w:p w14:paraId="1824897A"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(0.1%)</w:t>
            </w:r>
          </w:p>
        </w:tc>
      </w:tr>
      <w:tr w:rsidR="00F34DD2" w:rsidRPr="00F20375" w14:paraId="0D188AE2" w14:textId="77777777" w:rsidTr="00542DFD">
        <w:trPr>
          <w:trHeight w:val="206"/>
        </w:trPr>
        <w:tc>
          <w:tcPr>
            <w:tcW w:w="1233" w:type="pct"/>
            <w:vAlign w:val="center"/>
          </w:tcPr>
          <w:p w14:paraId="360426F1" w14:textId="77777777" w:rsidR="00F34DD2" w:rsidRPr="00F20375" w:rsidRDefault="00F34DD2" w:rsidP="00B569B8">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Atrial fibrillation</w:t>
            </w:r>
          </w:p>
        </w:tc>
        <w:tc>
          <w:tcPr>
            <w:tcW w:w="461" w:type="pct"/>
            <w:vAlign w:val="center"/>
          </w:tcPr>
          <w:p w14:paraId="5856C6AA"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14103CCE"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w:t>
            </w:r>
            <w:r>
              <w:rPr>
                <w:rFonts w:ascii="Arial" w:hAnsi="Arial" w:cs="Arial"/>
                <w:color w:val="000000"/>
                <w:kern w:val="24"/>
                <w:sz w:val="18"/>
                <w:szCs w:val="18"/>
                <w:lang w:val="en-GB"/>
              </w:rPr>
              <w:t>0.3</w:t>
            </w:r>
            <w:r w:rsidRPr="00F20375">
              <w:rPr>
                <w:rFonts w:ascii="Arial" w:hAnsi="Arial" w:cs="Arial"/>
                <w:color w:val="000000"/>
                <w:kern w:val="24"/>
                <w:sz w:val="18"/>
                <w:szCs w:val="18"/>
                <w:lang w:val="en-GB"/>
              </w:rPr>
              <w:t>%)</w:t>
            </w:r>
          </w:p>
        </w:tc>
        <w:tc>
          <w:tcPr>
            <w:tcW w:w="461" w:type="pct"/>
            <w:vAlign w:val="center"/>
          </w:tcPr>
          <w:p w14:paraId="4DF96488"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739289FF"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(0.1%)</w:t>
            </w:r>
          </w:p>
        </w:tc>
        <w:tc>
          <w:tcPr>
            <w:tcW w:w="500" w:type="pct"/>
            <w:tcBorders>
              <w:left w:val="single" w:sz="4" w:space="0" w:color="auto"/>
            </w:tcBorders>
            <w:vAlign w:val="center"/>
          </w:tcPr>
          <w:p w14:paraId="57C4FE9C"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3B6893FE"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(0.1%)</w:t>
            </w:r>
          </w:p>
        </w:tc>
        <w:tc>
          <w:tcPr>
            <w:tcW w:w="461" w:type="pct"/>
            <w:vAlign w:val="center"/>
          </w:tcPr>
          <w:p w14:paraId="360251A3"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2" w:type="pct"/>
            <w:vAlign w:val="center"/>
          </w:tcPr>
          <w:p w14:paraId="1202B64E"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r>
      <w:tr w:rsidR="00F34DD2" w:rsidRPr="00F20375" w14:paraId="5914E286" w14:textId="77777777" w:rsidTr="00542DFD">
        <w:trPr>
          <w:trHeight w:val="62"/>
        </w:trPr>
        <w:tc>
          <w:tcPr>
            <w:tcW w:w="1233" w:type="pct"/>
            <w:vAlign w:val="center"/>
          </w:tcPr>
          <w:p w14:paraId="0194AA97" w14:textId="77777777" w:rsidR="00F34DD2" w:rsidRPr="00F20375" w:rsidRDefault="00F34DD2" w:rsidP="00B569B8">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Coronary artery disease</w:t>
            </w:r>
          </w:p>
        </w:tc>
        <w:tc>
          <w:tcPr>
            <w:tcW w:w="461" w:type="pct"/>
            <w:vAlign w:val="center"/>
          </w:tcPr>
          <w:p w14:paraId="3F6115F5"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0A942D34"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2 (</w:t>
            </w:r>
            <w:r>
              <w:rPr>
                <w:rFonts w:ascii="Arial" w:hAnsi="Arial" w:cs="Arial"/>
                <w:color w:val="000000"/>
                <w:kern w:val="24"/>
                <w:sz w:val="18"/>
                <w:szCs w:val="18"/>
                <w:lang w:val="en-GB"/>
              </w:rPr>
              <w:t>0.5</w:t>
            </w:r>
            <w:r w:rsidRPr="00F20375">
              <w:rPr>
                <w:rFonts w:ascii="Arial" w:hAnsi="Arial" w:cs="Arial"/>
                <w:color w:val="000000"/>
                <w:kern w:val="24"/>
                <w:sz w:val="18"/>
                <w:szCs w:val="18"/>
                <w:lang w:val="en-GB"/>
              </w:rPr>
              <w:t>%)</w:t>
            </w:r>
          </w:p>
        </w:tc>
        <w:tc>
          <w:tcPr>
            <w:tcW w:w="461" w:type="pct"/>
            <w:vAlign w:val="center"/>
          </w:tcPr>
          <w:p w14:paraId="7196D09F" w14:textId="77777777" w:rsidR="00F34DD2" w:rsidRPr="00F20375" w:rsidRDefault="00F34DD2" w:rsidP="00FA3C92">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w:t>
            </w:r>
            <w:r>
              <w:rPr>
                <w:rFonts w:ascii="Arial" w:hAnsi="Arial" w:cs="Arial"/>
                <w:color w:val="000000"/>
                <w:kern w:val="24"/>
                <w:sz w:val="18"/>
                <w:szCs w:val="18"/>
                <w:lang w:val="en-GB"/>
              </w:rPr>
              <w:t>0.2</w:t>
            </w: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41CE4E76"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tcBorders>
              <w:left w:val="single" w:sz="4" w:space="0" w:color="auto"/>
            </w:tcBorders>
            <w:vAlign w:val="center"/>
          </w:tcPr>
          <w:p w14:paraId="22A4D185"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2806AE30"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23553D3C"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2" w:type="pct"/>
            <w:vAlign w:val="center"/>
          </w:tcPr>
          <w:p w14:paraId="181AD973"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r>
      <w:tr w:rsidR="00F34DD2" w:rsidRPr="00F20375" w14:paraId="0453A1B8" w14:textId="77777777" w:rsidTr="00542DFD">
        <w:trPr>
          <w:trHeight w:val="60"/>
        </w:trPr>
        <w:tc>
          <w:tcPr>
            <w:tcW w:w="1233" w:type="pct"/>
            <w:vAlign w:val="center"/>
          </w:tcPr>
          <w:p w14:paraId="11430F0A" w14:textId="77777777" w:rsidR="00F34DD2" w:rsidRPr="00F20375" w:rsidRDefault="00F34DD2" w:rsidP="00B569B8">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Acute myocardial infarction</w:t>
            </w:r>
          </w:p>
        </w:tc>
        <w:tc>
          <w:tcPr>
            <w:tcW w:w="461" w:type="pct"/>
            <w:vAlign w:val="center"/>
          </w:tcPr>
          <w:p w14:paraId="54A4BCBC"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4EE96AC9"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6BB28FD6"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3C44F762"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(0.1%)</w:t>
            </w:r>
          </w:p>
        </w:tc>
        <w:tc>
          <w:tcPr>
            <w:tcW w:w="500" w:type="pct"/>
            <w:tcBorders>
              <w:left w:val="single" w:sz="4" w:space="0" w:color="auto"/>
            </w:tcBorders>
            <w:vAlign w:val="center"/>
          </w:tcPr>
          <w:p w14:paraId="3CD34125"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0F76FA6B"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62718368"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2" w:type="pct"/>
            <w:vAlign w:val="center"/>
          </w:tcPr>
          <w:p w14:paraId="37CB10E3"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(0.1%)</w:t>
            </w:r>
          </w:p>
        </w:tc>
      </w:tr>
      <w:tr w:rsidR="00F34DD2" w:rsidRPr="00F20375" w14:paraId="606DACB4" w14:textId="77777777" w:rsidTr="00542DFD">
        <w:trPr>
          <w:trHeight w:val="60"/>
        </w:trPr>
        <w:tc>
          <w:tcPr>
            <w:tcW w:w="1233" w:type="pct"/>
            <w:vAlign w:val="center"/>
          </w:tcPr>
          <w:p w14:paraId="176FCDBD" w14:textId="77777777" w:rsidR="00F34DD2" w:rsidRPr="00F20375" w:rsidRDefault="00F34DD2" w:rsidP="00542DFD">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Myocardial ischaemia</w:t>
            </w:r>
          </w:p>
        </w:tc>
        <w:tc>
          <w:tcPr>
            <w:tcW w:w="461" w:type="pct"/>
            <w:vAlign w:val="center"/>
          </w:tcPr>
          <w:p w14:paraId="3734807C"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7431F10E"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3AF9A863"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16BDB303"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(0.1%)</w:t>
            </w:r>
          </w:p>
        </w:tc>
        <w:tc>
          <w:tcPr>
            <w:tcW w:w="500" w:type="pct"/>
            <w:tcBorders>
              <w:left w:val="single" w:sz="4" w:space="0" w:color="auto"/>
            </w:tcBorders>
            <w:vAlign w:val="center"/>
          </w:tcPr>
          <w:p w14:paraId="068933CA"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58947A9D"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5330B5A5"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(0.4%)</w:t>
            </w:r>
          </w:p>
        </w:tc>
        <w:tc>
          <w:tcPr>
            <w:tcW w:w="462" w:type="pct"/>
            <w:vAlign w:val="center"/>
          </w:tcPr>
          <w:p w14:paraId="0EB56844"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r>
      <w:tr w:rsidR="00F34DD2" w:rsidRPr="00F20375" w14:paraId="33C602BF" w14:textId="77777777" w:rsidTr="00542DFD">
        <w:trPr>
          <w:trHeight w:val="60"/>
        </w:trPr>
        <w:tc>
          <w:tcPr>
            <w:tcW w:w="1233" w:type="pct"/>
            <w:vAlign w:val="center"/>
          </w:tcPr>
          <w:p w14:paraId="6A87517A" w14:textId="77777777" w:rsidR="00F34DD2" w:rsidRPr="00F20375" w:rsidRDefault="00F34DD2" w:rsidP="00542DFD">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Acute coronary syndrome</w:t>
            </w:r>
          </w:p>
        </w:tc>
        <w:tc>
          <w:tcPr>
            <w:tcW w:w="461" w:type="pct"/>
            <w:vAlign w:val="center"/>
          </w:tcPr>
          <w:p w14:paraId="644D9839"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0FD5B9EC"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154A45D7"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5D65F7EF"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(0.1%)</w:t>
            </w:r>
          </w:p>
        </w:tc>
        <w:tc>
          <w:tcPr>
            <w:tcW w:w="500" w:type="pct"/>
            <w:tcBorders>
              <w:left w:val="single" w:sz="4" w:space="0" w:color="auto"/>
            </w:tcBorders>
            <w:vAlign w:val="center"/>
          </w:tcPr>
          <w:p w14:paraId="2BE579D2"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1D7F39A5"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34D325F1"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2" w:type="pct"/>
            <w:vAlign w:val="center"/>
          </w:tcPr>
          <w:p w14:paraId="23634E77"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r>
      <w:tr w:rsidR="00F34DD2" w:rsidRPr="00F20375" w14:paraId="2F84BE63" w14:textId="77777777" w:rsidTr="00542DFD">
        <w:trPr>
          <w:trHeight w:val="60"/>
        </w:trPr>
        <w:tc>
          <w:tcPr>
            <w:tcW w:w="1233" w:type="pct"/>
            <w:vAlign w:val="center"/>
          </w:tcPr>
          <w:p w14:paraId="4E643938" w14:textId="77777777" w:rsidR="00F34DD2" w:rsidRPr="00F20375" w:rsidRDefault="00F34DD2" w:rsidP="00542DFD">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Angina pectoris</w:t>
            </w:r>
          </w:p>
        </w:tc>
        <w:tc>
          <w:tcPr>
            <w:tcW w:w="461" w:type="pct"/>
            <w:vAlign w:val="center"/>
          </w:tcPr>
          <w:p w14:paraId="75F3FF65"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2C99AEAB"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1ECE9C08"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7744A470"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tcBorders>
              <w:left w:val="single" w:sz="4" w:space="0" w:color="auto"/>
            </w:tcBorders>
            <w:vAlign w:val="center"/>
          </w:tcPr>
          <w:p w14:paraId="1F654C1C"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0C25858C"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16810841"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2" w:type="pct"/>
            <w:vAlign w:val="center"/>
          </w:tcPr>
          <w:p w14:paraId="6F266886"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(0.1%)</w:t>
            </w:r>
          </w:p>
        </w:tc>
      </w:tr>
      <w:tr w:rsidR="00F34DD2" w:rsidRPr="00F20375" w14:paraId="47A051EC" w14:textId="77777777" w:rsidTr="00542DFD">
        <w:trPr>
          <w:trHeight w:val="60"/>
        </w:trPr>
        <w:tc>
          <w:tcPr>
            <w:tcW w:w="1233" w:type="pct"/>
            <w:vAlign w:val="center"/>
          </w:tcPr>
          <w:p w14:paraId="1288B06A" w14:textId="77777777" w:rsidR="00F34DD2" w:rsidRPr="00F20375" w:rsidRDefault="00F34DD2" w:rsidP="00B569B8">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Angina unstable</w:t>
            </w:r>
          </w:p>
        </w:tc>
        <w:tc>
          <w:tcPr>
            <w:tcW w:w="461" w:type="pct"/>
            <w:vAlign w:val="center"/>
          </w:tcPr>
          <w:p w14:paraId="20E47AD2"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7848997C"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14352A07"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569A0B4F"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tcBorders>
              <w:left w:val="single" w:sz="4" w:space="0" w:color="auto"/>
            </w:tcBorders>
            <w:vAlign w:val="center"/>
          </w:tcPr>
          <w:p w14:paraId="6EB0BB73"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0D141E3F"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57D906EA"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w:t>
            </w:r>
            <w:r>
              <w:rPr>
                <w:rFonts w:ascii="Arial" w:hAnsi="Arial" w:cs="Arial"/>
                <w:color w:val="000000"/>
                <w:kern w:val="24"/>
                <w:sz w:val="18"/>
                <w:szCs w:val="18"/>
                <w:lang w:val="en-GB"/>
              </w:rPr>
              <w:t xml:space="preserve"> (0.4</w:t>
            </w:r>
            <w:r w:rsidRPr="00F20375">
              <w:rPr>
                <w:rFonts w:ascii="Arial" w:hAnsi="Arial" w:cs="Arial"/>
                <w:color w:val="000000"/>
                <w:kern w:val="24"/>
                <w:sz w:val="18"/>
                <w:szCs w:val="18"/>
                <w:lang w:val="en-GB"/>
              </w:rPr>
              <w:t>%)</w:t>
            </w:r>
          </w:p>
        </w:tc>
        <w:tc>
          <w:tcPr>
            <w:tcW w:w="462" w:type="pct"/>
            <w:vAlign w:val="center"/>
          </w:tcPr>
          <w:p w14:paraId="3BEB2968"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r>
      <w:tr w:rsidR="00F34DD2" w:rsidRPr="00F20375" w14:paraId="239BCCFF" w14:textId="77777777" w:rsidTr="00542DFD">
        <w:trPr>
          <w:trHeight w:val="60"/>
        </w:trPr>
        <w:tc>
          <w:tcPr>
            <w:tcW w:w="1233" w:type="pct"/>
            <w:vAlign w:val="center"/>
          </w:tcPr>
          <w:p w14:paraId="6C73AE16" w14:textId="77777777" w:rsidR="00F34DD2" w:rsidRPr="00F20375" w:rsidRDefault="00F34DD2" w:rsidP="00542DFD">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Arrhythmia</w:t>
            </w:r>
          </w:p>
        </w:tc>
        <w:tc>
          <w:tcPr>
            <w:tcW w:w="461" w:type="pct"/>
            <w:vAlign w:val="center"/>
          </w:tcPr>
          <w:p w14:paraId="2CEA7CA7"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3ABCD37B"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7909F417"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0DE61177"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(0.1%)</w:t>
            </w:r>
          </w:p>
        </w:tc>
        <w:tc>
          <w:tcPr>
            <w:tcW w:w="500" w:type="pct"/>
            <w:tcBorders>
              <w:left w:val="single" w:sz="4" w:space="0" w:color="auto"/>
            </w:tcBorders>
            <w:vAlign w:val="center"/>
          </w:tcPr>
          <w:p w14:paraId="4E38C67D"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73239574"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3729807F"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2" w:type="pct"/>
            <w:vAlign w:val="center"/>
          </w:tcPr>
          <w:p w14:paraId="4E335DA1"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r>
      <w:tr w:rsidR="00F34DD2" w:rsidRPr="00F20375" w14:paraId="18AEFE16" w14:textId="77777777" w:rsidTr="00542DFD">
        <w:trPr>
          <w:trHeight w:val="60"/>
        </w:trPr>
        <w:tc>
          <w:tcPr>
            <w:tcW w:w="1233" w:type="pct"/>
            <w:vAlign w:val="center"/>
          </w:tcPr>
          <w:p w14:paraId="2B140E82" w14:textId="77777777" w:rsidR="00F34DD2" w:rsidRPr="00F20375" w:rsidRDefault="00F34DD2" w:rsidP="00B569B8">
            <w:pPr>
              <w:spacing w:after="0" w:line="240" w:lineRule="auto"/>
              <w:ind w:left="77"/>
              <w:rPr>
                <w:rFonts w:ascii="Arial" w:hAnsi="Arial" w:cs="Arial"/>
                <w:sz w:val="18"/>
                <w:szCs w:val="18"/>
                <w:lang w:val="en-GB"/>
              </w:rPr>
            </w:pPr>
            <w:r w:rsidRPr="00F20375">
              <w:rPr>
                <w:rFonts w:ascii="Arial" w:hAnsi="Arial" w:cs="Arial"/>
                <w:color w:val="000000"/>
                <w:kern w:val="24"/>
                <w:sz w:val="18"/>
                <w:szCs w:val="18"/>
                <w:lang w:val="en-GB"/>
              </w:rPr>
              <w:t xml:space="preserve"> Arteriosclerosis coronary artery</w:t>
            </w:r>
          </w:p>
        </w:tc>
        <w:tc>
          <w:tcPr>
            <w:tcW w:w="461" w:type="pct"/>
            <w:vAlign w:val="center"/>
          </w:tcPr>
          <w:p w14:paraId="3B7D49B9"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50821666"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29A218E1"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4AA130B3"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tcBorders>
              <w:left w:val="single" w:sz="4" w:space="0" w:color="auto"/>
            </w:tcBorders>
            <w:vAlign w:val="center"/>
          </w:tcPr>
          <w:p w14:paraId="24D62F60"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(0.4%)</w:t>
            </w:r>
          </w:p>
        </w:tc>
        <w:tc>
          <w:tcPr>
            <w:tcW w:w="461" w:type="pct"/>
            <w:vAlign w:val="center"/>
          </w:tcPr>
          <w:p w14:paraId="47E44260"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1AD3482D"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2" w:type="pct"/>
            <w:vAlign w:val="center"/>
          </w:tcPr>
          <w:p w14:paraId="36849E05"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r>
      <w:tr w:rsidR="00F34DD2" w:rsidRPr="00F20375" w14:paraId="45A6115B" w14:textId="77777777" w:rsidTr="00542DFD">
        <w:trPr>
          <w:trHeight w:val="134"/>
        </w:trPr>
        <w:tc>
          <w:tcPr>
            <w:tcW w:w="1233" w:type="pct"/>
            <w:vAlign w:val="center"/>
          </w:tcPr>
          <w:p w14:paraId="0C56446C" w14:textId="77777777" w:rsidR="00F34DD2" w:rsidRPr="00F20375" w:rsidRDefault="00F34DD2" w:rsidP="00542DFD">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Cardiac arrest</w:t>
            </w:r>
          </w:p>
        </w:tc>
        <w:tc>
          <w:tcPr>
            <w:tcW w:w="461" w:type="pct"/>
            <w:vAlign w:val="center"/>
          </w:tcPr>
          <w:p w14:paraId="648BA013"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(0.8%)</w:t>
            </w:r>
          </w:p>
        </w:tc>
        <w:tc>
          <w:tcPr>
            <w:tcW w:w="500" w:type="pct"/>
            <w:vAlign w:val="center"/>
          </w:tcPr>
          <w:p w14:paraId="5B88E59F"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2DDDF41B"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36EA8680"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tcBorders>
              <w:left w:val="single" w:sz="4" w:space="0" w:color="auto"/>
            </w:tcBorders>
            <w:vAlign w:val="center"/>
          </w:tcPr>
          <w:p w14:paraId="5E36BC68"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74E6CECD"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55987353"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2" w:type="pct"/>
            <w:vAlign w:val="center"/>
          </w:tcPr>
          <w:p w14:paraId="548D23DF"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r>
      <w:tr w:rsidR="00F34DD2" w:rsidRPr="00F20375" w14:paraId="4DC84E03" w14:textId="77777777" w:rsidTr="00542DFD">
        <w:trPr>
          <w:trHeight w:val="60"/>
        </w:trPr>
        <w:tc>
          <w:tcPr>
            <w:tcW w:w="1233" w:type="pct"/>
            <w:vAlign w:val="center"/>
          </w:tcPr>
          <w:p w14:paraId="0EF4A6C1" w14:textId="77777777" w:rsidR="00F34DD2" w:rsidRPr="00F20375" w:rsidRDefault="00F34DD2" w:rsidP="00B569B8">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Cardiac failure</w:t>
            </w:r>
          </w:p>
        </w:tc>
        <w:tc>
          <w:tcPr>
            <w:tcW w:w="461" w:type="pct"/>
            <w:vAlign w:val="center"/>
          </w:tcPr>
          <w:p w14:paraId="5AADF3A8"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5E69610D"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0BBD1494"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6FCB37F9"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tcBorders>
              <w:left w:val="single" w:sz="4" w:space="0" w:color="auto"/>
            </w:tcBorders>
            <w:vAlign w:val="center"/>
          </w:tcPr>
          <w:p w14:paraId="622F2CDD"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46D8F938"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0CDDB882"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2" w:type="pct"/>
            <w:vAlign w:val="center"/>
          </w:tcPr>
          <w:p w14:paraId="30FBFA91"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(0.1%)</w:t>
            </w:r>
          </w:p>
        </w:tc>
      </w:tr>
      <w:tr w:rsidR="00F34DD2" w:rsidRPr="00F20375" w14:paraId="24EDF20C" w14:textId="77777777" w:rsidTr="00542DFD">
        <w:trPr>
          <w:trHeight w:val="60"/>
        </w:trPr>
        <w:tc>
          <w:tcPr>
            <w:tcW w:w="1233" w:type="pct"/>
            <w:vAlign w:val="center"/>
          </w:tcPr>
          <w:p w14:paraId="1865B1EB" w14:textId="77777777" w:rsidR="00F34DD2" w:rsidRPr="00F20375" w:rsidRDefault="00F34DD2" w:rsidP="00B569B8">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Left ventricular failure</w:t>
            </w:r>
          </w:p>
        </w:tc>
        <w:tc>
          <w:tcPr>
            <w:tcW w:w="461" w:type="pct"/>
            <w:vAlign w:val="center"/>
          </w:tcPr>
          <w:p w14:paraId="10673C45"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637FE9DF"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3D3C02CD"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424456CD"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tcBorders>
              <w:left w:val="single" w:sz="4" w:space="0" w:color="auto"/>
            </w:tcBorders>
            <w:vAlign w:val="center"/>
          </w:tcPr>
          <w:p w14:paraId="52C2D8A1"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17FD7062"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70CD158C"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2" w:type="pct"/>
            <w:vAlign w:val="center"/>
          </w:tcPr>
          <w:p w14:paraId="06C093AC"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(0.1%)</w:t>
            </w:r>
          </w:p>
        </w:tc>
      </w:tr>
      <w:tr w:rsidR="00F34DD2" w:rsidRPr="00F20375" w14:paraId="24895723" w14:textId="77777777" w:rsidTr="00542DFD">
        <w:trPr>
          <w:trHeight w:val="60"/>
        </w:trPr>
        <w:tc>
          <w:tcPr>
            <w:tcW w:w="1233" w:type="pct"/>
            <w:vAlign w:val="center"/>
          </w:tcPr>
          <w:p w14:paraId="576B718D" w14:textId="77777777" w:rsidR="00F34DD2" w:rsidRPr="00F20375" w:rsidRDefault="00F34DD2" w:rsidP="00B569B8">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Supraventricular tachycardia</w:t>
            </w:r>
          </w:p>
        </w:tc>
        <w:tc>
          <w:tcPr>
            <w:tcW w:w="461" w:type="pct"/>
            <w:vAlign w:val="center"/>
          </w:tcPr>
          <w:p w14:paraId="4FF01B18"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494C3EA3"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0D0BC1AB"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1711776B"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tcBorders>
              <w:left w:val="single" w:sz="4" w:space="0" w:color="auto"/>
            </w:tcBorders>
            <w:vAlign w:val="center"/>
          </w:tcPr>
          <w:p w14:paraId="141F037D"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04D58E0F"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(0.1%)</w:t>
            </w:r>
          </w:p>
        </w:tc>
        <w:tc>
          <w:tcPr>
            <w:tcW w:w="461" w:type="pct"/>
            <w:vAlign w:val="center"/>
          </w:tcPr>
          <w:p w14:paraId="0FB7790B"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2" w:type="pct"/>
            <w:vAlign w:val="center"/>
          </w:tcPr>
          <w:p w14:paraId="0CAB5931"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r>
      <w:tr w:rsidR="00F34DD2" w:rsidRPr="00F20375" w14:paraId="4475051D" w14:textId="77777777" w:rsidTr="00542DFD">
        <w:trPr>
          <w:trHeight w:val="60"/>
        </w:trPr>
        <w:tc>
          <w:tcPr>
            <w:tcW w:w="1233" w:type="pct"/>
            <w:vAlign w:val="center"/>
          </w:tcPr>
          <w:p w14:paraId="43E0A53E" w14:textId="77777777" w:rsidR="00F34DD2" w:rsidRPr="00F20375" w:rsidRDefault="00F34DD2" w:rsidP="00542DFD">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Tachycardia</w:t>
            </w:r>
          </w:p>
        </w:tc>
        <w:tc>
          <w:tcPr>
            <w:tcW w:w="461" w:type="pct"/>
            <w:vAlign w:val="center"/>
          </w:tcPr>
          <w:p w14:paraId="1C3018F6"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7C3A5C3F" w14:textId="77777777" w:rsidR="00F34DD2" w:rsidRPr="00F20375" w:rsidRDefault="00F34DD2" w:rsidP="0039699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(0.3%)</w:t>
            </w:r>
          </w:p>
        </w:tc>
        <w:tc>
          <w:tcPr>
            <w:tcW w:w="461" w:type="pct"/>
            <w:vAlign w:val="center"/>
          </w:tcPr>
          <w:p w14:paraId="65F1D6A5"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09C4583A"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tcBorders>
              <w:left w:val="single" w:sz="4" w:space="0" w:color="auto"/>
            </w:tcBorders>
            <w:vAlign w:val="center"/>
          </w:tcPr>
          <w:p w14:paraId="4C796C35"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6938FD80"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4A6205F2"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2" w:type="pct"/>
            <w:vAlign w:val="center"/>
          </w:tcPr>
          <w:p w14:paraId="2D8AE4B7"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r>
      <w:tr w:rsidR="00F34DD2" w:rsidRPr="00F20375" w14:paraId="64C412C0" w14:textId="77777777" w:rsidTr="00542DFD">
        <w:trPr>
          <w:trHeight w:val="56"/>
        </w:trPr>
        <w:tc>
          <w:tcPr>
            <w:tcW w:w="1233" w:type="pct"/>
            <w:vAlign w:val="center"/>
          </w:tcPr>
          <w:p w14:paraId="5852120F" w14:textId="77777777" w:rsidR="00F34DD2" w:rsidRPr="00F20375" w:rsidRDefault="00F34DD2" w:rsidP="00542DFD">
            <w:pPr>
              <w:spacing w:after="0" w:line="240" w:lineRule="auto"/>
              <w:rPr>
                <w:rFonts w:ascii="Arial" w:hAnsi="Arial" w:cs="Arial"/>
                <w:sz w:val="18"/>
                <w:szCs w:val="18"/>
                <w:lang w:val="en-GB"/>
              </w:rPr>
            </w:pPr>
            <w:r w:rsidRPr="00F20375">
              <w:rPr>
                <w:rFonts w:ascii="Arial" w:hAnsi="Arial" w:cs="Arial"/>
                <w:b/>
                <w:color w:val="000000"/>
                <w:kern w:val="24"/>
                <w:sz w:val="18"/>
                <w:szCs w:val="18"/>
                <w:lang w:val="en-GB"/>
              </w:rPr>
              <w:t>Infections and infestations</w:t>
            </w:r>
          </w:p>
        </w:tc>
        <w:tc>
          <w:tcPr>
            <w:tcW w:w="461" w:type="pct"/>
            <w:vAlign w:val="center"/>
          </w:tcPr>
          <w:p w14:paraId="5F8BB233"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0D4025D2"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(0.3</w:t>
            </w:r>
            <w:r>
              <w:rPr>
                <w:rFonts w:ascii="Arial" w:hAnsi="Arial" w:cs="Arial"/>
                <w:color w:val="000000"/>
                <w:kern w:val="24"/>
                <w:sz w:val="18"/>
                <w:szCs w:val="18"/>
                <w:lang w:val="en-GB"/>
              </w:rPr>
              <w:t>%)</w:t>
            </w:r>
          </w:p>
        </w:tc>
        <w:tc>
          <w:tcPr>
            <w:tcW w:w="461" w:type="pct"/>
            <w:vAlign w:val="center"/>
          </w:tcPr>
          <w:p w14:paraId="70F7B437"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2 (0.5</w:t>
            </w:r>
            <w:r>
              <w:rPr>
                <w:rFonts w:ascii="Arial" w:hAnsi="Arial" w:cs="Arial"/>
                <w:color w:val="000000"/>
                <w:kern w:val="24"/>
                <w:sz w:val="18"/>
                <w:szCs w:val="18"/>
                <w:lang w:val="en-GB"/>
              </w:rPr>
              <w:t>%)</w:t>
            </w:r>
          </w:p>
        </w:tc>
        <w:tc>
          <w:tcPr>
            <w:tcW w:w="461" w:type="pct"/>
            <w:tcBorders>
              <w:right w:val="single" w:sz="4" w:space="0" w:color="auto"/>
            </w:tcBorders>
            <w:vAlign w:val="center"/>
          </w:tcPr>
          <w:p w14:paraId="69C99465"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2 (0.2</w:t>
            </w:r>
            <w:r>
              <w:rPr>
                <w:rFonts w:ascii="Arial" w:hAnsi="Arial" w:cs="Arial"/>
                <w:color w:val="000000"/>
                <w:kern w:val="24"/>
                <w:sz w:val="18"/>
                <w:szCs w:val="18"/>
                <w:lang w:val="en-GB"/>
              </w:rPr>
              <w:t>%)</w:t>
            </w:r>
          </w:p>
        </w:tc>
        <w:tc>
          <w:tcPr>
            <w:tcW w:w="500" w:type="pct"/>
            <w:tcBorders>
              <w:left w:val="single" w:sz="4" w:space="0" w:color="auto"/>
            </w:tcBorders>
            <w:vAlign w:val="center"/>
          </w:tcPr>
          <w:p w14:paraId="754ECE9D"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(0.4</w:t>
            </w:r>
            <w:r>
              <w:rPr>
                <w:rFonts w:ascii="Arial" w:hAnsi="Arial" w:cs="Arial"/>
                <w:color w:val="000000"/>
                <w:kern w:val="24"/>
                <w:sz w:val="18"/>
                <w:szCs w:val="18"/>
                <w:lang w:val="en-GB"/>
              </w:rPr>
              <w:t>%)</w:t>
            </w:r>
          </w:p>
        </w:tc>
        <w:tc>
          <w:tcPr>
            <w:tcW w:w="461" w:type="pct"/>
            <w:vAlign w:val="center"/>
          </w:tcPr>
          <w:p w14:paraId="6B595AC3"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(0.1</w:t>
            </w:r>
            <w:r>
              <w:rPr>
                <w:rFonts w:ascii="Arial" w:hAnsi="Arial" w:cs="Arial"/>
                <w:color w:val="000000"/>
                <w:kern w:val="24"/>
                <w:sz w:val="18"/>
                <w:szCs w:val="18"/>
                <w:lang w:val="en-GB"/>
              </w:rPr>
              <w:t>%)</w:t>
            </w:r>
          </w:p>
        </w:tc>
        <w:tc>
          <w:tcPr>
            <w:tcW w:w="461" w:type="pct"/>
            <w:vAlign w:val="center"/>
          </w:tcPr>
          <w:p w14:paraId="5DFBE340"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(0.4</w:t>
            </w:r>
            <w:r>
              <w:rPr>
                <w:rFonts w:ascii="Arial" w:hAnsi="Arial" w:cs="Arial"/>
                <w:color w:val="000000"/>
                <w:kern w:val="24"/>
                <w:sz w:val="18"/>
                <w:szCs w:val="18"/>
                <w:lang w:val="en-GB"/>
              </w:rPr>
              <w:t>%)</w:t>
            </w:r>
          </w:p>
        </w:tc>
        <w:tc>
          <w:tcPr>
            <w:tcW w:w="462" w:type="pct"/>
            <w:vAlign w:val="center"/>
          </w:tcPr>
          <w:p w14:paraId="2349E432"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10 (1.2</w:t>
            </w:r>
            <w:r>
              <w:rPr>
                <w:rFonts w:ascii="Arial" w:hAnsi="Arial" w:cs="Arial"/>
                <w:color w:val="000000"/>
                <w:kern w:val="24"/>
                <w:sz w:val="18"/>
                <w:szCs w:val="18"/>
                <w:lang w:val="en-GB"/>
              </w:rPr>
              <w:t>%)</w:t>
            </w:r>
          </w:p>
        </w:tc>
      </w:tr>
      <w:tr w:rsidR="00F34DD2" w:rsidRPr="00F20375" w14:paraId="1EF2DF55" w14:textId="77777777" w:rsidTr="00542DFD">
        <w:trPr>
          <w:trHeight w:val="56"/>
        </w:trPr>
        <w:tc>
          <w:tcPr>
            <w:tcW w:w="1233" w:type="pct"/>
            <w:vAlign w:val="center"/>
          </w:tcPr>
          <w:p w14:paraId="51103F9E" w14:textId="77777777" w:rsidR="00F34DD2" w:rsidRPr="00F20375" w:rsidRDefault="00F34DD2" w:rsidP="00542DFD">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Pneumonia</w:t>
            </w:r>
          </w:p>
        </w:tc>
        <w:tc>
          <w:tcPr>
            <w:tcW w:w="461" w:type="pct"/>
            <w:vAlign w:val="center"/>
          </w:tcPr>
          <w:p w14:paraId="77657181"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09C04B4B"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(0.3</w:t>
            </w:r>
            <w:r>
              <w:rPr>
                <w:rFonts w:ascii="Arial" w:hAnsi="Arial" w:cs="Arial"/>
                <w:color w:val="000000"/>
                <w:kern w:val="24"/>
                <w:sz w:val="18"/>
                <w:szCs w:val="18"/>
                <w:lang w:val="en-GB"/>
              </w:rPr>
              <w:t>%)</w:t>
            </w:r>
          </w:p>
        </w:tc>
        <w:tc>
          <w:tcPr>
            <w:tcW w:w="461" w:type="pct"/>
            <w:vAlign w:val="center"/>
          </w:tcPr>
          <w:p w14:paraId="31151F3D"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125C3A55"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2 (0.2</w:t>
            </w:r>
            <w:r>
              <w:rPr>
                <w:rFonts w:ascii="Arial" w:hAnsi="Arial" w:cs="Arial"/>
                <w:color w:val="000000"/>
                <w:kern w:val="24"/>
                <w:sz w:val="18"/>
                <w:szCs w:val="18"/>
                <w:lang w:val="en-GB"/>
              </w:rPr>
              <w:t>%)</w:t>
            </w:r>
          </w:p>
        </w:tc>
        <w:tc>
          <w:tcPr>
            <w:tcW w:w="500" w:type="pct"/>
            <w:tcBorders>
              <w:left w:val="single" w:sz="4" w:space="0" w:color="auto"/>
            </w:tcBorders>
            <w:vAlign w:val="center"/>
          </w:tcPr>
          <w:p w14:paraId="77369A2E"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04C5C59C"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(0.1</w:t>
            </w:r>
            <w:r>
              <w:rPr>
                <w:rFonts w:ascii="Arial" w:hAnsi="Arial" w:cs="Arial"/>
                <w:color w:val="000000"/>
                <w:kern w:val="24"/>
                <w:sz w:val="18"/>
                <w:szCs w:val="18"/>
                <w:lang w:val="en-GB"/>
              </w:rPr>
              <w:t>%)</w:t>
            </w:r>
          </w:p>
        </w:tc>
        <w:tc>
          <w:tcPr>
            <w:tcW w:w="461" w:type="pct"/>
            <w:vAlign w:val="center"/>
          </w:tcPr>
          <w:p w14:paraId="323A9E8E"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(0.4</w:t>
            </w:r>
            <w:r>
              <w:rPr>
                <w:rFonts w:ascii="Arial" w:hAnsi="Arial" w:cs="Arial"/>
                <w:color w:val="000000"/>
                <w:kern w:val="24"/>
                <w:sz w:val="18"/>
                <w:szCs w:val="18"/>
                <w:lang w:val="en-GB"/>
              </w:rPr>
              <w:t>%)</w:t>
            </w:r>
          </w:p>
        </w:tc>
        <w:tc>
          <w:tcPr>
            <w:tcW w:w="462" w:type="pct"/>
            <w:vAlign w:val="center"/>
          </w:tcPr>
          <w:p w14:paraId="0DE17FDC"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7 (0.9</w:t>
            </w:r>
            <w:r>
              <w:rPr>
                <w:rFonts w:ascii="Arial" w:hAnsi="Arial" w:cs="Arial"/>
                <w:color w:val="000000"/>
                <w:kern w:val="24"/>
                <w:sz w:val="18"/>
                <w:szCs w:val="18"/>
                <w:lang w:val="en-GB"/>
              </w:rPr>
              <w:t>%)</w:t>
            </w:r>
          </w:p>
        </w:tc>
      </w:tr>
      <w:tr w:rsidR="00F34DD2" w:rsidRPr="00F20375" w14:paraId="6C5CC289" w14:textId="77777777" w:rsidTr="00542DFD">
        <w:trPr>
          <w:trHeight w:val="56"/>
        </w:trPr>
        <w:tc>
          <w:tcPr>
            <w:tcW w:w="1233" w:type="pct"/>
            <w:vAlign w:val="center"/>
          </w:tcPr>
          <w:p w14:paraId="666E937F" w14:textId="77777777" w:rsidR="00F34DD2" w:rsidRPr="00F20375" w:rsidRDefault="00F34DD2" w:rsidP="00542DFD">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Bronchitis</w:t>
            </w:r>
          </w:p>
        </w:tc>
        <w:tc>
          <w:tcPr>
            <w:tcW w:w="461" w:type="pct"/>
            <w:vAlign w:val="center"/>
          </w:tcPr>
          <w:p w14:paraId="3B1D6440"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719BC16A"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7F57FB5C"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(0.2</w:t>
            </w:r>
            <w:r>
              <w:rPr>
                <w:rFonts w:ascii="Arial" w:hAnsi="Arial" w:cs="Arial"/>
                <w:color w:val="000000"/>
                <w:kern w:val="24"/>
                <w:sz w:val="18"/>
                <w:szCs w:val="18"/>
                <w:lang w:val="en-GB"/>
              </w:rPr>
              <w:t>%)</w:t>
            </w:r>
          </w:p>
        </w:tc>
        <w:tc>
          <w:tcPr>
            <w:tcW w:w="461" w:type="pct"/>
            <w:tcBorders>
              <w:right w:val="single" w:sz="4" w:space="0" w:color="auto"/>
            </w:tcBorders>
            <w:vAlign w:val="center"/>
          </w:tcPr>
          <w:p w14:paraId="6D53025D"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tcBorders>
              <w:left w:val="single" w:sz="4" w:space="0" w:color="auto"/>
            </w:tcBorders>
            <w:vAlign w:val="center"/>
          </w:tcPr>
          <w:p w14:paraId="248E9310"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0CAC883C"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51F31AD8"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2" w:type="pct"/>
            <w:vAlign w:val="center"/>
          </w:tcPr>
          <w:p w14:paraId="7659C162"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(0.1</w:t>
            </w:r>
            <w:r>
              <w:rPr>
                <w:rFonts w:ascii="Arial" w:hAnsi="Arial" w:cs="Arial"/>
                <w:color w:val="000000"/>
                <w:kern w:val="24"/>
                <w:sz w:val="18"/>
                <w:szCs w:val="18"/>
                <w:lang w:val="en-GB"/>
              </w:rPr>
              <w:t>%)</w:t>
            </w:r>
          </w:p>
        </w:tc>
      </w:tr>
      <w:tr w:rsidR="00F34DD2" w:rsidRPr="00F20375" w14:paraId="082D6269" w14:textId="77777777" w:rsidTr="00542DFD">
        <w:trPr>
          <w:trHeight w:val="56"/>
        </w:trPr>
        <w:tc>
          <w:tcPr>
            <w:tcW w:w="1233" w:type="pct"/>
            <w:vAlign w:val="center"/>
          </w:tcPr>
          <w:p w14:paraId="3D9FFE60" w14:textId="77777777" w:rsidR="00F34DD2" w:rsidRPr="00F20375" w:rsidRDefault="00F34DD2" w:rsidP="00542DFD">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Cystitis</w:t>
            </w:r>
          </w:p>
        </w:tc>
        <w:tc>
          <w:tcPr>
            <w:tcW w:w="461" w:type="pct"/>
            <w:vAlign w:val="center"/>
          </w:tcPr>
          <w:p w14:paraId="3DEE8569"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0280F380"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280A2DA0"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2985087A"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tcBorders>
              <w:left w:val="single" w:sz="4" w:space="0" w:color="auto"/>
            </w:tcBorders>
            <w:vAlign w:val="center"/>
          </w:tcPr>
          <w:p w14:paraId="6FA30762"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w:t>
            </w:r>
            <w:r>
              <w:rPr>
                <w:rFonts w:ascii="Arial" w:hAnsi="Arial" w:cs="Arial"/>
                <w:color w:val="000000"/>
                <w:kern w:val="24"/>
                <w:sz w:val="18"/>
                <w:szCs w:val="18"/>
                <w:lang w:val="en-GB"/>
              </w:rPr>
              <w:t xml:space="preserve"> (0.4%)</w:t>
            </w:r>
          </w:p>
        </w:tc>
        <w:tc>
          <w:tcPr>
            <w:tcW w:w="461" w:type="pct"/>
            <w:vAlign w:val="center"/>
          </w:tcPr>
          <w:p w14:paraId="5C5F3D5A"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4CC17E2F"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2" w:type="pct"/>
            <w:vAlign w:val="center"/>
          </w:tcPr>
          <w:p w14:paraId="3612BEC5"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r>
      <w:tr w:rsidR="00F34DD2" w:rsidRPr="00F20375" w14:paraId="3C3DB266" w14:textId="77777777" w:rsidTr="00542DFD">
        <w:trPr>
          <w:trHeight w:val="56"/>
        </w:trPr>
        <w:tc>
          <w:tcPr>
            <w:tcW w:w="1233" w:type="pct"/>
            <w:vAlign w:val="center"/>
          </w:tcPr>
          <w:p w14:paraId="50251DA0" w14:textId="77777777" w:rsidR="00F34DD2" w:rsidRPr="00F20375" w:rsidRDefault="00F34DD2" w:rsidP="00542DFD">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Diverticulitis</w:t>
            </w:r>
          </w:p>
        </w:tc>
        <w:tc>
          <w:tcPr>
            <w:tcW w:w="461" w:type="pct"/>
            <w:vAlign w:val="center"/>
          </w:tcPr>
          <w:p w14:paraId="3AEE67E7"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6714EE85"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290F49D9"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(0.2</w:t>
            </w:r>
            <w:r>
              <w:rPr>
                <w:rFonts w:ascii="Arial" w:hAnsi="Arial" w:cs="Arial"/>
                <w:color w:val="000000"/>
                <w:kern w:val="24"/>
                <w:sz w:val="18"/>
                <w:szCs w:val="18"/>
                <w:lang w:val="en-GB"/>
              </w:rPr>
              <w:t>%)</w:t>
            </w:r>
          </w:p>
        </w:tc>
        <w:tc>
          <w:tcPr>
            <w:tcW w:w="461" w:type="pct"/>
            <w:tcBorders>
              <w:right w:val="single" w:sz="4" w:space="0" w:color="auto"/>
            </w:tcBorders>
            <w:vAlign w:val="center"/>
          </w:tcPr>
          <w:p w14:paraId="4A90C207"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tcBorders>
              <w:left w:val="single" w:sz="4" w:space="0" w:color="auto"/>
            </w:tcBorders>
            <w:vAlign w:val="center"/>
          </w:tcPr>
          <w:p w14:paraId="2E70693A"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29819204"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6ACB62EA"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2" w:type="pct"/>
            <w:vAlign w:val="center"/>
          </w:tcPr>
          <w:p w14:paraId="179EA572"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r>
      <w:tr w:rsidR="00F34DD2" w:rsidRPr="00F20375" w14:paraId="380580F1" w14:textId="77777777" w:rsidTr="00542DFD">
        <w:trPr>
          <w:trHeight w:val="56"/>
        </w:trPr>
        <w:tc>
          <w:tcPr>
            <w:tcW w:w="1233" w:type="pct"/>
            <w:vAlign w:val="center"/>
          </w:tcPr>
          <w:p w14:paraId="25F1BE6F" w14:textId="77777777" w:rsidR="00F34DD2" w:rsidRPr="00F20375" w:rsidRDefault="00F34DD2" w:rsidP="00542DFD">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Influenza</w:t>
            </w:r>
          </w:p>
        </w:tc>
        <w:tc>
          <w:tcPr>
            <w:tcW w:w="461" w:type="pct"/>
            <w:vAlign w:val="center"/>
          </w:tcPr>
          <w:p w14:paraId="462377D3"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59B8A8C6"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1C2FACF1"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6C0A5A70"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tcBorders>
              <w:left w:val="single" w:sz="4" w:space="0" w:color="auto"/>
            </w:tcBorders>
            <w:vAlign w:val="center"/>
          </w:tcPr>
          <w:p w14:paraId="643C6010"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7B3E3CDF"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1DB228E8"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2" w:type="pct"/>
            <w:vAlign w:val="center"/>
          </w:tcPr>
          <w:p w14:paraId="56D8035A"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(0.1</w:t>
            </w:r>
            <w:r>
              <w:rPr>
                <w:rFonts w:ascii="Arial" w:hAnsi="Arial" w:cs="Arial"/>
                <w:color w:val="000000"/>
                <w:kern w:val="24"/>
                <w:sz w:val="18"/>
                <w:szCs w:val="18"/>
                <w:lang w:val="en-GB"/>
              </w:rPr>
              <w:t>%)</w:t>
            </w:r>
          </w:p>
        </w:tc>
      </w:tr>
      <w:tr w:rsidR="00F34DD2" w:rsidRPr="00F20375" w14:paraId="1F214F9F" w14:textId="77777777" w:rsidTr="00542DFD">
        <w:trPr>
          <w:trHeight w:val="56"/>
        </w:trPr>
        <w:tc>
          <w:tcPr>
            <w:tcW w:w="1233" w:type="pct"/>
            <w:vAlign w:val="center"/>
          </w:tcPr>
          <w:p w14:paraId="463070F2" w14:textId="77777777" w:rsidR="00F34DD2" w:rsidRPr="00F20375" w:rsidRDefault="00F34DD2" w:rsidP="00542DFD">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Mediastinal abscess</w:t>
            </w:r>
          </w:p>
        </w:tc>
        <w:tc>
          <w:tcPr>
            <w:tcW w:w="461" w:type="pct"/>
            <w:vAlign w:val="center"/>
          </w:tcPr>
          <w:p w14:paraId="4B69D41F"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35FB8BCB"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0E2EBF1E"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3266A99B"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tcBorders>
              <w:left w:val="single" w:sz="4" w:space="0" w:color="auto"/>
            </w:tcBorders>
            <w:vAlign w:val="center"/>
          </w:tcPr>
          <w:p w14:paraId="278572A1"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458B63BA"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0F7DBD3A"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2" w:type="pct"/>
            <w:vAlign w:val="center"/>
          </w:tcPr>
          <w:p w14:paraId="65D107B3"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(0.1</w:t>
            </w:r>
            <w:r>
              <w:rPr>
                <w:rFonts w:ascii="Arial" w:hAnsi="Arial" w:cs="Arial"/>
                <w:color w:val="000000"/>
                <w:kern w:val="24"/>
                <w:sz w:val="18"/>
                <w:szCs w:val="18"/>
                <w:lang w:val="en-GB"/>
              </w:rPr>
              <w:t>%)</w:t>
            </w:r>
          </w:p>
        </w:tc>
      </w:tr>
      <w:tr w:rsidR="00F34DD2" w:rsidRPr="00F20375" w14:paraId="11B025D8" w14:textId="77777777" w:rsidTr="00542DFD">
        <w:trPr>
          <w:trHeight w:val="56"/>
        </w:trPr>
        <w:tc>
          <w:tcPr>
            <w:tcW w:w="1233" w:type="pct"/>
            <w:vAlign w:val="center"/>
          </w:tcPr>
          <w:p w14:paraId="5BF84853" w14:textId="77777777" w:rsidR="00F34DD2" w:rsidRPr="00F20375" w:rsidRDefault="00F34DD2" w:rsidP="006E794F">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w:t>
            </w:r>
            <w:r>
              <w:rPr>
                <w:rFonts w:ascii="Arial" w:hAnsi="Arial" w:cs="Arial"/>
                <w:color w:val="000000"/>
                <w:kern w:val="24"/>
                <w:sz w:val="18"/>
                <w:szCs w:val="18"/>
                <w:lang w:val="en-GB"/>
              </w:rPr>
              <w:t>O</w:t>
            </w:r>
            <w:r w:rsidRPr="00F20375">
              <w:rPr>
                <w:rFonts w:ascii="Arial" w:hAnsi="Arial" w:cs="Arial"/>
                <w:color w:val="000000"/>
                <w:kern w:val="24"/>
                <w:sz w:val="18"/>
                <w:szCs w:val="18"/>
                <w:lang w:val="en-GB"/>
              </w:rPr>
              <w:t>esophageal candidiasis</w:t>
            </w:r>
          </w:p>
        </w:tc>
        <w:tc>
          <w:tcPr>
            <w:tcW w:w="461" w:type="pct"/>
            <w:vAlign w:val="center"/>
          </w:tcPr>
          <w:p w14:paraId="5EFB6F84"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6EF21336"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57D7ECE9"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11A88EDF"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tcBorders>
              <w:left w:val="single" w:sz="4" w:space="0" w:color="auto"/>
            </w:tcBorders>
            <w:vAlign w:val="center"/>
          </w:tcPr>
          <w:p w14:paraId="0A7DCDE4"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1750653E"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0248C4F5"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2" w:type="pct"/>
            <w:vAlign w:val="center"/>
          </w:tcPr>
          <w:p w14:paraId="3CB89EC8"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(0.1</w:t>
            </w:r>
            <w:r>
              <w:rPr>
                <w:rFonts w:ascii="Arial" w:hAnsi="Arial" w:cs="Arial"/>
                <w:color w:val="000000"/>
                <w:kern w:val="24"/>
                <w:sz w:val="18"/>
                <w:szCs w:val="18"/>
                <w:lang w:val="en-GB"/>
              </w:rPr>
              <w:t>%)</w:t>
            </w:r>
          </w:p>
        </w:tc>
      </w:tr>
      <w:tr w:rsidR="00F34DD2" w:rsidRPr="00F20375" w14:paraId="1797A75A" w14:textId="77777777" w:rsidTr="00542DFD">
        <w:trPr>
          <w:trHeight w:val="56"/>
        </w:trPr>
        <w:tc>
          <w:tcPr>
            <w:tcW w:w="1233" w:type="pct"/>
            <w:vAlign w:val="center"/>
          </w:tcPr>
          <w:p w14:paraId="2DA88904" w14:textId="77777777" w:rsidR="00F34DD2" w:rsidRPr="00F20375" w:rsidRDefault="00F34DD2" w:rsidP="00542DFD">
            <w:pPr>
              <w:spacing w:after="0" w:line="240" w:lineRule="auto"/>
              <w:rPr>
                <w:rFonts w:ascii="Arial" w:hAnsi="Arial" w:cs="Arial"/>
                <w:sz w:val="18"/>
                <w:szCs w:val="18"/>
                <w:lang w:val="en-GB"/>
              </w:rPr>
            </w:pPr>
            <w:r w:rsidRPr="00F20375">
              <w:rPr>
                <w:rFonts w:ascii="Arial" w:hAnsi="Arial" w:cs="Arial"/>
                <w:b/>
                <w:color w:val="000000"/>
                <w:kern w:val="24"/>
                <w:sz w:val="18"/>
                <w:szCs w:val="18"/>
                <w:lang w:val="en-GB"/>
              </w:rPr>
              <w:t>Respiratory, thoracic and mediastinal disorders</w:t>
            </w:r>
          </w:p>
        </w:tc>
        <w:tc>
          <w:tcPr>
            <w:tcW w:w="461" w:type="pct"/>
            <w:vAlign w:val="center"/>
          </w:tcPr>
          <w:p w14:paraId="359D251D"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(0.8</w:t>
            </w:r>
            <w:r>
              <w:rPr>
                <w:rFonts w:ascii="Arial" w:hAnsi="Arial" w:cs="Arial"/>
                <w:color w:val="000000"/>
                <w:kern w:val="24"/>
                <w:sz w:val="18"/>
                <w:szCs w:val="18"/>
                <w:lang w:val="en-GB"/>
              </w:rPr>
              <w:t>%)</w:t>
            </w:r>
          </w:p>
        </w:tc>
        <w:tc>
          <w:tcPr>
            <w:tcW w:w="500" w:type="pct"/>
            <w:vAlign w:val="center"/>
          </w:tcPr>
          <w:p w14:paraId="68A58806"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(0.3</w:t>
            </w:r>
            <w:r>
              <w:rPr>
                <w:rFonts w:ascii="Arial" w:hAnsi="Arial" w:cs="Arial"/>
                <w:color w:val="000000"/>
                <w:kern w:val="24"/>
                <w:sz w:val="18"/>
                <w:szCs w:val="18"/>
                <w:lang w:val="en-GB"/>
              </w:rPr>
              <w:t>%)</w:t>
            </w:r>
          </w:p>
        </w:tc>
        <w:tc>
          <w:tcPr>
            <w:tcW w:w="461" w:type="pct"/>
            <w:vAlign w:val="center"/>
          </w:tcPr>
          <w:p w14:paraId="31603AC1"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2 (0.5</w:t>
            </w:r>
            <w:r>
              <w:rPr>
                <w:rFonts w:ascii="Arial" w:hAnsi="Arial" w:cs="Arial"/>
                <w:color w:val="000000"/>
                <w:kern w:val="24"/>
                <w:sz w:val="18"/>
                <w:szCs w:val="18"/>
                <w:lang w:val="en-GB"/>
              </w:rPr>
              <w:t>%)</w:t>
            </w:r>
          </w:p>
        </w:tc>
        <w:tc>
          <w:tcPr>
            <w:tcW w:w="461" w:type="pct"/>
            <w:tcBorders>
              <w:right w:val="single" w:sz="4" w:space="0" w:color="auto"/>
            </w:tcBorders>
            <w:vAlign w:val="center"/>
          </w:tcPr>
          <w:p w14:paraId="53BAB928" w14:textId="77777777" w:rsidR="00F34DD2" w:rsidRPr="00F20375" w:rsidRDefault="00F34DD2" w:rsidP="00542DFD">
            <w:pPr>
              <w:spacing w:after="0" w:line="240" w:lineRule="auto"/>
              <w:jc w:val="center"/>
              <w:rPr>
                <w:rFonts w:ascii="Arial" w:hAnsi="Arial" w:cs="Arial"/>
                <w:sz w:val="18"/>
                <w:szCs w:val="18"/>
                <w:lang w:val="en-GB"/>
              </w:rPr>
            </w:pPr>
            <w:r>
              <w:rPr>
                <w:rFonts w:ascii="Arial" w:hAnsi="Arial" w:cs="Arial"/>
                <w:color w:val="000000"/>
                <w:kern w:val="24"/>
                <w:sz w:val="18"/>
                <w:szCs w:val="18"/>
                <w:lang w:val="en-GB"/>
              </w:rPr>
              <w:t>4</w:t>
            </w:r>
            <w:r w:rsidRPr="00F20375">
              <w:rPr>
                <w:rFonts w:ascii="Arial" w:hAnsi="Arial" w:cs="Arial"/>
                <w:color w:val="000000"/>
                <w:kern w:val="24"/>
                <w:sz w:val="18"/>
                <w:szCs w:val="18"/>
                <w:lang w:val="en-GB"/>
              </w:rPr>
              <w:t xml:space="preserve"> </w:t>
            </w:r>
            <w:r>
              <w:rPr>
                <w:rFonts w:ascii="Arial" w:hAnsi="Arial" w:cs="Arial"/>
                <w:color w:val="000000"/>
                <w:kern w:val="24"/>
                <w:sz w:val="18"/>
                <w:szCs w:val="18"/>
                <w:lang w:val="en-GB"/>
              </w:rPr>
              <w:t>(0.3%)</w:t>
            </w:r>
          </w:p>
        </w:tc>
        <w:tc>
          <w:tcPr>
            <w:tcW w:w="500" w:type="pct"/>
            <w:tcBorders>
              <w:left w:val="single" w:sz="4" w:space="0" w:color="auto"/>
            </w:tcBorders>
            <w:vAlign w:val="center"/>
          </w:tcPr>
          <w:p w14:paraId="3D5E1277"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(0.4</w:t>
            </w:r>
            <w:r>
              <w:rPr>
                <w:rFonts w:ascii="Arial" w:hAnsi="Arial" w:cs="Arial"/>
                <w:color w:val="000000"/>
                <w:kern w:val="24"/>
                <w:sz w:val="18"/>
                <w:szCs w:val="18"/>
                <w:lang w:val="en-GB"/>
              </w:rPr>
              <w:t>%)</w:t>
            </w:r>
          </w:p>
        </w:tc>
        <w:tc>
          <w:tcPr>
            <w:tcW w:w="461" w:type="pct"/>
            <w:vAlign w:val="center"/>
          </w:tcPr>
          <w:p w14:paraId="5CF73E63"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4 (0.5</w:t>
            </w:r>
            <w:r>
              <w:rPr>
                <w:rFonts w:ascii="Arial" w:hAnsi="Arial" w:cs="Arial"/>
                <w:color w:val="000000"/>
                <w:kern w:val="24"/>
                <w:sz w:val="18"/>
                <w:szCs w:val="18"/>
                <w:lang w:val="en-GB"/>
              </w:rPr>
              <w:t>%)</w:t>
            </w:r>
          </w:p>
        </w:tc>
        <w:tc>
          <w:tcPr>
            <w:tcW w:w="461" w:type="pct"/>
            <w:vAlign w:val="center"/>
          </w:tcPr>
          <w:p w14:paraId="14215008"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2 (0.7</w:t>
            </w:r>
            <w:r>
              <w:rPr>
                <w:rFonts w:ascii="Arial" w:hAnsi="Arial" w:cs="Arial"/>
                <w:color w:val="000000"/>
                <w:kern w:val="24"/>
                <w:sz w:val="18"/>
                <w:szCs w:val="18"/>
                <w:lang w:val="en-GB"/>
              </w:rPr>
              <w:t>%)</w:t>
            </w:r>
          </w:p>
        </w:tc>
        <w:tc>
          <w:tcPr>
            <w:tcW w:w="462" w:type="pct"/>
            <w:vAlign w:val="center"/>
          </w:tcPr>
          <w:p w14:paraId="5D08043E"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4 (0.5</w:t>
            </w:r>
            <w:r>
              <w:rPr>
                <w:rFonts w:ascii="Arial" w:hAnsi="Arial" w:cs="Arial"/>
                <w:color w:val="000000"/>
                <w:kern w:val="24"/>
                <w:sz w:val="18"/>
                <w:szCs w:val="18"/>
                <w:lang w:val="en-GB"/>
              </w:rPr>
              <w:t>%)</w:t>
            </w:r>
          </w:p>
        </w:tc>
      </w:tr>
      <w:tr w:rsidR="00F34DD2" w:rsidRPr="00F20375" w14:paraId="7A62884E" w14:textId="77777777" w:rsidTr="00542DFD">
        <w:trPr>
          <w:trHeight w:val="56"/>
        </w:trPr>
        <w:tc>
          <w:tcPr>
            <w:tcW w:w="1233" w:type="pct"/>
            <w:vAlign w:val="center"/>
          </w:tcPr>
          <w:p w14:paraId="2FFBDF98" w14:textId="77777777" w:rsidR="00F34DD2" w:rsidRPr="00F20375" w:rsidRDefault="00F34DD2" w:rsidP="00B569B8">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Chronic obstructive pulmonary disease</w:t>
            </w:r>
          </w:p>
        </w:tc>
        <w:tc>
          <w:tcPr>
            <w:tcW w:w="461" w:type="pct"/>
            <w:vAlign w:val="center"/>
          </w:tcPr>
          <w:p w14:paraId="6CBD9106"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3F7185F8"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(0.3</w:t>
            </w:r>
            <w:r>
              <w:rPr>
                <w:rFonts w:ascii="Arial" w:hAnsi="Arial" w:cs="Arial"/>
                <w:color w:val="000000"/>
                <w:kern w:val="24"/>
                <w:sz w:val="18"/>
                <w:szCs w:val="18"/>
                <w:lang w:val="en-GB"/>
              </w:rPr>
              <w:t>%)</w:t>
            </w:r>
          </w:p>
        </w:tc>
        <w:tc>
          <w:tcPr>
            <w:tcW w:w="461" w:type="pct"/>
            <w:vAlign w:val="center"/>
          </w:tcPr>
          <w:p w14:paraId="012D5F6D"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(0.2</w:t>
            </w:r>
            <w:r>
              <w:rPr>
                <w:rFonts w:ascii="Arial" w:hAnsi="Arial" w:cs="Arial"/>
                <w:color w:val="000000"/>
                <w:kern w:val="24"/>
                <w:sz w:val="18"/>
                <w:szCs w:val="18"/>
                <w:lang w:val="en-GB"/>
              </w:rPr>
              <w:t>%)</w:t>
            </w:r>
          </w:p>
        </w:tc>
        <w:tc>
          <w:tcPr>
            <w:tcW w:w="461" w:type="pct"/>
            <w:tcBorders>
              <w:right w:val="single" w:sz="4" w:space="0" w:color="auto"/>
            </w:tcBorders>
            <w:vAlign w:val="center"/>
          </w:tcPr>
          <w:p w14:paraId="44B29464"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3 (0.2</w:t>
            </w:r>
            <w:r>
              <w:rPr>
                <w:rFonts w:ascii="Arial" w:hAnsi="Arial" w:cs="Arial"/>
                <w:color w:val="000000"/>
                <w:kern w:val="24"/>
                <w:sz w:val="18"/>
                <w:szCs w:val="18"/>
                <w:lang w:val="en-GB"/>
              </w:rPr>
              <w:t>%)</w:t>
            </w:r>
          </w:p>
        </w:tc>
        <w:tc>
          <w:tcPr>
            <w:tcW w:w="500" w:type="pct"/>
            <w:tcBorders>
              <w:left w:val="single" w:sz="4" w:space="0" w:color="auto"/>
            </w:tcBorders>
            <w:vAlign w:val="center"/>
          </w:tcPr>
          <w:p w14:paraId="11F39839"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(0.4</w:t>
            </w:r>
            <w:r>
              <w:rPr>
                <w:rFonts w:ascii="Arial" w:hAnsi="Arial" w:cs="Arial"/>
                <w:color w:val="000000"/>
                <w:kern w:val="24"/>
                <w:sz w:val="18"/>
                <w:szCs w:val="18"/>
                <w:lang w:val="en-GB"/>
              </w:rPr>
              <w:t>%)</w:t>
            </w:r>
          </w:p>
        </w:tc>
        <w:tc>
          <w:tcPr>
            <w:tcW w:w="461" w:type="pct"/>
            <w:vAlign w:val="center"/>
          </w:tcPr>
          <w:p w14:paraId="4923841F"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3 (0.4</w:t>
            </w:r>
            <w:r>
              <w:rPr>
                <w:rFonts w:ascii="Arial" w:hAnsi="Arial" w:cs="Arial"/>
                <w:color w:val="000000"/>
                <w:kern w:val="24"/>
                <w:sz w:val="18"/>
                <w:szCs w:val="18"/>
                <w:lang w:val="en-GB"/>
              </w:rPr>
              <w:t>%)</w:t>
            </w:r>
          </w:p>
        </w:tc>
        <w:tc>
          <w:tcPr>
            <w:tcW w:w="461" w:type="pct"/>
            <w:vAlign w:val="center"/>
          </w:tcPr>
          <w:p w14:paraId="729062B0"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(0.4</w:t>
            </w:r>
            <w:r>
              <w:rPr>
                <w:rFonts w:ascii="Arial" w:hAnsi="Arial" w:cs="Arial"/>
                <w:color w:val="000000"/>
                <w:kern w:val="24"/>
                <w:sz w:val="18"/>
                <w:szCs w:val="18"/>
                <w:lang w:val="en-GB"/>
              </w:rPr>
              <w:t>%)</w:t>
            </w:r>
          </w:p>
        </w:tc>
        <w:tc>
          <w:tcPr>
            <w:tcW w:w="462" w:type="pct"/>
            <w:vAlign w:val="center"/>
          </w:tcPr>
          <w:p w14:paraId="2826FA71"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3 (0.4</w:t>
            </w:r>
            <w:r>
              <w:rPr>
                <w:rFonts w:ascii="Arial" w:hAnsi="Arial" w:cs="Arial"/>
                <w:color w:val="000000"/>
                <w:kern w:val="24"/>
                <w:sz w:val="18"/>
                <w:szCs w:val="18"/>
                <w:lang w:val="en-GB"/>
              </w:rPr>
              <w:t>%)</w:t>
            </w:r>
          </w:p>
        </w:tc>
      </w:tr>
      <w:tr w:rsidR="00F34DD2" w:rsidRPr="00F20375" w14:paraId="1ADD1369" w14:textId="77777777" w:rsidTr="00542DFD">
        <w:trPr>
          <w:trHeight w:val="56"/>
        </w:trPr>
        <w:tc>
          <w:tcPr>
            <w:tcW w:w="1233" w:type="pct"/>
            <w:vAlign w:val="center"/>
          </w:tcPr>
          <w:p w14:paraId="31140E93" w14:textId="77777777" w:rsidR="00F34DD2" w:rsidRPr="00F20375" w:rsidRDefault="00F34DD2" w:rsidP="00B569B8">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Pulmonary embolism</w:t>
            </w:r>
          </w:p>
        </w:tc>
        <w:tc>
          <w:tcPr>
            <w:tcW w:w="461" w:type="pct"/>
            <w:vAlign w:val="center"/>
          </w:tcPr>
          <w:p w14:paraId="697FE927"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6B206F82"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5662AF1C"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(0.2</w:t>
            </w:r>
            <w:r>
              <w:rPr>
                <w:rFonts w:ascii="Arial" w:hAnsi="Arial" w:cs="Arial"/>
                <w:color w:val="000000"/>
                <w:kern w:val="24"/>
                <w:sz w:val="18"/>
                <w:szCs w:val="18"/>
                <w:lang w:val="en-GB"/>
              </w:rPr>
              <w:t>%)</w:t>
            </w:r>
          </w:p>
        </w:tc>
        <w:tc>
          <w:tcPr>
            <w:tcW w:w="461" w:type="pct"/>
            <w:tcBorders>
              <w:right w:val="single" w:sz="4" w:space="0" w:color="auto"/>
            </w:tcBorders>
            <w:vAlign w:val="center"/>
          </w:tcPr>
          <w:p w14:paraId="22E499C5"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tcBorders>
              <w:left w:val="single" w:sz="4" w:space="0" w:color="auto"/>
            </w:tcBorders>
            <w:vAlign w:val="center"/>
          </w:tcPr>
          <w:p w14:paraId="36EBD0D1"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0FB6A8E3"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6D79C076"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(0.4</w:t>
            </w:r>
            <w:r>
              <w:rPr>
                <w:rFonts w:ascii="Arial" w:hAnsi="Arial" w:cs="Arial"/>
                <w:color w:val="000000"/>
                <w:kern w:val="24"/>
                <w:sz w:val="18"/>
                <w:szCs w:val="18"/>
                <w:lang w:val="en-GB"/>
              </w:rPr>
              <w:t>%)</w:t>
            </w:r>
          </w:p>
        </w:tc>
        <w:tc>
          <w:tcPr>
            <w:tcW w:w="462" w:type="pct"/>
            <w:vAlign w:val="center"/>
          </w:tcPr>
          <w:p w14:paraId="72D97151"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(0.1</w:t>
            </w:r>
            <w:r>
              <w:rPr>
                <w:rFonts w:ascii="Arial" w:hAnsi="Arial" w:cs="Arial"/>
                <w:color w:val="000000"/>
                <w:kern w:val="24"/>
                <w:sz w:val="18"/>
                <w:szCs w:val="18"/>
                <w:lang w:val="en-GB"/>
              </w:rPr>
              <w:t>%)</w:t>
            </w:r>
          </w:p>
        </w:tc>
      </w:tr>
      <w:tr w:rsidR="00F34DD2" w:rsidRPr="00F20375" w14:paraId="3F601B79" w14:textId="77777777" w:rsidTr="00542DFD">
        <w:trPr>
          <w:trHeight w:val="56"/>
        </w:trPr>
        <w:tc>
          <w:tcPr>
            <w:tcW w:w="1233" w:type="pct"/>
            <w:vAlign w:val="center"/>
          </w:tcPr>
          <w:p w14:paraId="2E3E54AC" w14:textId="77777777" w:rsidR="00F34DD2" w:rsidRPr="00F20375" w:rsidRDefault="00F34DD2" w:rsidP="00542DFD">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Pneumothorax</w:t>
            </w:r>
          </w:p>
        </w:tc>
        <w:tc>
          <w:tcPr>
            <w:tcW w:w="461" w:type="pct"/>
            <w:vAlign w:val="center"/>
          </w:tcPr>
          <w:p w14:paraId="284326CC"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3334318F"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745DFF6E"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551D1FE9"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tcBorders>
              <w:left w:val="single" w:sz="4" w:space="0" w:color="auto"/>
            </w:tcBorders>
            <w:vAlign w:val="center"/>
          </w:tcPr>
          <w:p w14:paraId="595E1EB6"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0ACD09A2"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76F73356"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2" w:type="pct"/>
            <w:vAlign w:val="center"/>
          </w:tcPr>
          <w:p w14:paraId="04795FE2"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(0.1</w:t>
            </w:r>
            <w:r>
              <w:rPr>
                <w:rFonts w:ascii="Arial" w:hAnsi="Arial" w:cs="Arial"/>
                <w:color w:val="000000"/>
                <w:kern w:val="24"/>
                <w:sz w:val="18"/>
                <w:szCs w:val="18"/>
                <w:lang w:val="en-GB"/>
              </w:rPr>
              <w:t>%)</w:t>
            </w:r>
          </w:p>
        </w:tc>
      </w:tr>
      <w:tr w:rsidR="00F34DD2" w:rsidRPr="00F20375" w14:paraId="28E8341B" w14:textId="77777777" w:rsidTr="00542DFD">
        <w:trPr>
          <w:trHeight w:val="56"/>
        </w:trPr>
        <w:tc>
          <w:tcPr>
            <w:tcW w:w="1233" w:type="pct"/>
            <w:vAlign w:val="center"/>
          </w:tcPr>
          <w:p w14:paraId="650AB78A" w14:textId="77777777" w:rsidR="00F34DD2" w:rsidRPr="00F20375" w:rsidRDefault="00F34DD2" w:rsidP="00542DFD">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Pulmonary h</w:t>
            </w:r>
            <w:r>
              <w:rPr>
                <w:rFonts w:ascii="Arial" w:hAnsi="Arial" w:cs="Arial"/>
                <w:color w:val="000000"/>
                <w:kern w:val="24"/>
                <w:sz w:val="18"/>
                <w:szCs w:val="18"/>
                <w:lang w:val="en-GB"/>
              </w:rPr>
              <w:t>a</w:t>
            </w:r>
            <w:r w:rsidRPr="00F20375">
              <w:rPr>
                <w:rFonts w:ascii="Arial" w:hAnsi="Arial" w:cs="Arial"/>
                <w:color w:val="000000"/>
                <w:kern w:val="24"/>
                <w:sz w:val="18"/>
                <w:szCs w:val="18"/>
                <w:lang w:val="en-GB"/>
              </w:rPr>
              <w:t>emorrhage</w:t>
            </w:r>
          </w:p>
        </w:tc>
        <w:tc>
          <w:tcPr>
            <w:tcW w:w="461" w:type="pct"/>
            <w:vAlign w:val="center"/>
          </w:tcPr>
          <w:p w14:paraId="67300704"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(0.8</w:t>
            </w:r>
            <w:r>
              <w:rPr>
                <w:rFonts w:ascii="Arial" w:hAnsi="Arial" w:cs="Arial"/>
                <w:color w:val="000000"/>
                <w:kern w:val="24"/>
                <w:sz w:val="18"/>
                <w:szCs w:val="18"/>
                <w:lang w:val="en-GB"/>
              </w:rPr>
              <w:t>%)</w:t>
            </w:r>
          </w:p>
        </w:tc>
        <w:tc>
          <w:tcPr>
            <w:tcW w:w="500" w:type="pct"/>
            <w:vAlign w:val="center"/>
          </w:tcPr>
          <w:p w14:paraId="388A1525"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245A0D7A"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2DC3BD6A"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tcBorders>
              <w:left w:val="single" w:sz="4" w:space="0" w:color="auto"/>
            </w:tcBorders>
            <w:vAlign w:val="center"/>
          </w:tcPr>
          <w:p w14:paraId="494658E9"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2ACDAE79"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2FAB2AE7"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2" w:type="pct"/>
            <w:vAlign w:val="center"/>
          </w:tcPr>
          <w:p w14:paraId="5499BCAE"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r>
      <w:tr w:rsidR="00F34DD2" w:rsidRPr="00F20375" w14:paraId="6C94C2AF" w14:textId="77777777" w:rsidTr="00D4223A">
        <w:trPr>
          <w:trHeight w:val="56"/>
        </w:trPr>
        <w:tc>
          <w:tcPr>
            <w:tcW w:w="1233" w:type="pct"/>
            <w:vAlign w:val="center"/>
          </w:tcPr>
          <w:p w14:paraId="6F23C1ED" w14:textId="77777777" w:rsidR="00F34DD2" w:rsidRPr="00F20375" w:rsidRDefault="00F34DD2" w:rsidP="00B569B8">
            <w:pPr>
              <w:spacing w:after="0" w:line="240" w:lineRule="auto"/>
              <w:rPr>
                <w:rFonts w:ascii="Arial" w:hAnsi="Arial" w:cs="Arial"/>
                <w:sz w:val="18"/>
                <w:szCs w:val="18"/>
                <w:lang w:val="en-GB"/>
              </w:rPr>
            </w:pPr>
            <w:r w:rsidRPr="00F20375">
              <w:rPr>
                <w:rFonts w:ascii="Arial" w:hAnsi="Arial" w:cs="Arial"/>
                <w:color w:val="000000"/>
                <w:kern w:val="24"/>
                <w:sz w:val="18"/>
                <w:szCs w:val="18"/>
                <w:lang w:val="en-GB"/>
              </w:rPr>
              <w:t xml:space="preserve">   Respiratory depression</w:t>
            </w:r>
          </w:p>
        </w:tc>
        <w:tc>
          <w:tcPr>
            <w:tcW w:w="461" w:type="pct"/>
            <w:vAlign w:val="center"/>
          </w:tcPr>
          <w:p w14:paraId="49D3A44C"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vAlign w:val="center"/>
          </w:tcPr>
          <w:p w14:paraId="5752D38C"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1F8A76D5"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tcBorders>
              <w:right w:val="single" w:sz="4" w:space="0" w:color="auto"/>
            </w:tcBorders>
            <w:vAlign w:val="center"/>
          </w:tcPr>
          <w:p w14:paraId="1DFD7C1C"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500" w:type="pct"/>
            <w:tcBorders>
              <w:left w:val="single" w:sz="4" w:space="0" w:color="auto"/>
            </w:tcBorders>
            <w:vAlign w:val="center"/>
          </w:tcPr>
          <w:p w14:paraId="208EF087"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1" w:type="pct"/>
            <w:vAlign w:val="center"/>
          </w:tcPr>
          <w:p w14:paraId="26AE20EB"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1 (0.1</w:t>
            </w:r>
            <w:r>
              <w:rPr>
                <w:rFonts w:ascii="Arial" w:hAnsi="Arial" w:cs="Arial"/>
                <w:color w:val="000000"/>
                <w:kern w:val="24"/>
                <w:sz w:val="18"/>
                <w:szCs w:val="18"/>
                <w:lang w:val="en-GB"/>
              </w:rPr>
              <w:t>%)</w:t>
            </w:r>
          </w:p>
        </w:tc>
        <w:tc>
          <w:tcPr>
            <w:tcW w:w="461" w:type="pct"/>
            <w:vAlign w:val="center"/>
          </w:tcPr>
          <w:p w14:paraId="0131A1DB"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c>
          <w:tcPr>
            <w:tcW w:w="462" w:type="pct"/>
            <w:vAlign w:val="center"/>
          </w:tcPr>
          <w:p w14:paraId="681AF0CC" w14:textId="77777777" w:rsidR="00F34DD2" w:rsidRPr="00F20375" w:rsidRDefault="00F34DD2" w:rsidP="00542DFD">
            <w:pPr>
              <w:spacing w:after="0" w:line="240" w:lineRule="auto"/>
              <w:jc w:val="center"/>
              <w:rPr>
                <w:rFonts w:ascii="Arial" w:hAnsi="Arial" w:cs="Arial"/>
                <w:sz w:val="18"/>
                <w:szCs w:val="18"/>
                <w:lang w:val="en-GB"/>
              </w:rPr>
            </w:pPr>
            <w:r w:rsidRPr="00F20375">
              <w:rPr>
                <w:rFonts w:ascii="Arial" w:hAnsi="Arial" w:cs="Arial"/>
                <w:color w:val="000000"/>
                <w:kern w:val="24"/>
                <w:sz w:val="18"/>
                <w:szCs w:val="18"/>
                <w:lang w:val="en-GB"/>
              </w:rPr>
              <w:t>-</w:t>
            </w:r>
          </w:p>
        </w:tc>
      </w:tr>
      <w:tr w:rsidR="00F34DD2" w:rsidRPr="00F20375" w14:paraId="5BF6DF6B" w14:textId="77777777" w:rsidTr="00542DFD">
        <w:trPr>
          <w:trHeight w:val="56"/>
        </w:trPr>
        <w:tc>
          <w:tcPr>
            <w:tcW w:w="1233" w:type="pct"/>
            <w:tcBorders>
              <w:bottom w:val="single" w:sz="4" w:space="0" w:color="auto"/>
            </w:tcBorders>
            <w:vAlign w:val="center"/>
          </w:tcPr>
          <w:p w14:paraId="21FDB38E" w14:textId="77777777" w:rsidR="00F34DD2" w:rsidRPr="00F20375" w:rsidRDefault="00F34DD2" w:rsidP="00B569B8">
            <w:pPr>
              <w:spacing w:after="0" w:line="240" w:lineRule="auto"/>
              <w:rPr>
                <w:rFonts w:ascii="Arial" w:hAnsi="Arial" w:cs="Arial"/>
                <w:color w:val="000000"/>
                <w:kern w:val="24"/>
                <w:sz w:val="18"/>
                <w:szCs w:val="18"/>
                <w:lang w:val="en-GB"/>
              </w:rPr>
            </w:pPr>
            <w:r w:rsidRPr="00D4223A">
              <w:rPr>
                <w:rFonts w:ascii="Arial" w:hAnsi="Arial" w:cs="Arial"/>
                <w:color w:val="000000"/>
                <w:kern w:val="24"/>
                <w:sz w:val="18"/>
                <w:szCs w:val="18"/>
                <w:lang w:val="en-GB"/>
              </w:rPr>
              <w:t>Any TEAEs with fatal outcome</w:t>
            </w:r>
            <w:r>
              <w:rPr>
                <w:rFonts w:ascii="Arial" w:hAnsi="Arial" w:cs="Arial"/>
                <w:color w:val="000000"/>
                <w:kern w:val="24"/>
                <w:sz w:val="18"/>
                <w:szCs w:val="18"/>
                <w:lang w:val="en-GB"/>
              </w:rPr>
              <w:t xml:space="preserve"> (deaths)</w:t>
            </w:r>
          </w:p>
        </w:tc>
        <w:tc>
          <w:tcPr>
            <w:tcW w:w="461" w:type="pct"/>
            <w:tcBorders>
              <w:bottom w:val="single" w:sz="4" w:space="0" w:color="auto"/>
            </w:tcBorders>
            <w:vAlign w:val="center"/>
          </w:tcPr>
          <w:p w14:paraId="1CDE0B5B" w14:textId="77777777" w:rsidR="00F34DD2" w:rsidRPr="00F20375" w:rsidRDefault="00F34DD2" w:rsidP="00542DFD">
            <w:pPr>
              <w:spacing w:after="0" w:line="240" w:lineRule="auto"/>
              <w:jc w:val="center"/>
              <w:rPr>
                <w:rFonts w:ascii="Arial" w:hAnsi="Arial" w:cs="Arial"/>
                <w:color w:val="000000"/>
                <w:kern w:val="24"/>
                <w:sz w:val="18"/>
                <w:szCs w:val="18"/>
                <w:lang w:val="en-GB"/>
              </w:rPr>
            </w:pPr>
            <w:r w:rsidRPr="00D4223A">
              <w:rPr>
                <w:rFonts w:ascii="Arial" w:hAnsi="Arial" w:cs="Arial"/>
                <w:color w:val="000000"/>
                <w:kern w:val="24"/>
                <w:sz w:val="18"/>
                <w:szCs w:val="18"/>
                <w:lang w:val="en-GB"/>
              </w:rPr>
              <w:t>1 (0.8</w:t>
            </w:r>
            <w:r>
              <w:rPr>
                <w:rFonts w:ascii="Arial" w:hAnsi="Arial" w:cs="Arial"/>
                <w:color w:val="000000"/>
                <w:kern w:val="24"/>
                <w:sz w:val="18"/>
                <w:szCs w:val="18"/>
                <w:lang w:val="en-GB"/>
              </w:rPr>
              <w:t>%</w:t>
            </w:r>
            <w:r w:rsidRPr="00D4223A">
              <w:rPr>
                <w:rFonts w:ascii="Arial" w:hAnsi="Arial" w:cs="Arial"/>
                <w:color w:val="000000"/>
                <w:kern w:val="24"/>
                <w:sz w:val="18"/>
                <w:szCs w:val="18"/>
                <w:lang w:val="en-GB"/>
              </w:rPr>
              <w:t>)</w:t>
            </w:r>
          </w:p>
        </w:tc>
        <w:tc>
          <w:tcPr>
            <w:tcW w:w="500" w:type="pct"/>
            <w:tcBorders>
              <w:bottom w:val="single" w:sz="4" w:space="0" w:color="auto"/>
            </w:tcBorders>
            <w:vAlign w:val="center"/>
          </w:tcPr>
          <w:p w14:paraId="0D666174" w14:textId="77777777" w:rsidR="00F34DD2" w:rsidRPr="00F20375" w:rsidRDefault="00F34DD2" w:rsidP="00542DFD">
            <w:pPr>
              <w:spacing w:after="0" w:line="240" w:lineRule="auto"/>
              <w:jc w:val="center"/>
              <w:rPr>
                <w:rFonts w:ascii="Arial" w:hAnsi="Arial" w:cs="Arial"/>
                <w:color w:val="000000"/>
                <w:kern w:val="24"/>
                <w:sz w:val="18"/>
                <w:szCs w:val="18"/>
                <w:lang w:val="en-GB"/>
              </w:rPr>
            </w:pPr>
          </w:p>
        </w:tc>
        <w:tc>
          <w:tcPr>
            <w:tcW w:w="461" w:type="pct"/>
            <w:tcBorders>
              <w:bottom w:val="single" w:sz="4" w:space="0" w:color="auto"/>
            </w:tcBorders>
            <w:vAlign w:val="center"/>
          </w:tcPr>
          <w:p w14:paraId="2BB545E1" w14:textId="77777777" w:rsidR="00F34DD2" w:rsidRPr="00F20375" w:rsidRDefault="00F34DD2" w:rsidP="00542DFD">
            <w:pPr>
              <w:spacing w:after="0" w:line="240" w:lineRule="auto"/>
              <w:jc w:val="center"/>
              <w:rPr>
                <w:rFonts w:ascii="Arial" w:hAnsi="Arial" w:cs="Arial"/>
                <w:color w:val="000000"/>
                <w:kern w:val="24"/>
                <w:sz w:val="18"/>
                <w:szCs w:val="18"/>
                <w:lang w:val="en-GB"/>
              </w:rPr>
            </w:pPr>
          </w:p>
        </w:tc>
        <w:tc>
          <w:tcPr>
            <w:tcW w:w="461" w:type="pct"/>
            <w:tcBorders>
              <w:bottom w:val="single" w:sz="4" w:space="0" w:color="auto"/>
              <w:right w:val="single" w:sz="4" w:space="0" w:color="auto"/>
            </w:tcBorders>
            <w:vAlign w:val="center"/>
          </w:tcPr>
          <w:p w14:paraId="64469F0E" w14:textId="77777777" w:rsidR="00F34DD2" w:rsidRPr="00F20375" w:rsidRDefault="00F34DD2" w:rsidP="00542DFD">
            <w:pPr>
              <w:spacing w:after="0" w:line="240" w:lineRule="auto"/>
              <w:jc w:val="center"/>
              <w:rPr>
                <w:rFonts w:ascii="Arial" w:hAnsi="Arial" w:cs="Arial"/>
                <w:color w:val="000000"/>
                <w:kern w:val="24"/>
                <w:sz w:val="18"/>
                <w:szCs w:val="18"/>
                <w:lang w:val="en-GB"/>
              </w:rPr>
            </w:pPr>
            <w:r w:rsidRPr="00D4223A">
              <w:rPr>
                <w:rFonts w:ascii="Arial" w:hAnsi="Arial" w:cs="Arial"/>
                <w:color w:val="000000"/>
                <w:kern w:val="24"/>
                <w:sz w:val="18"/>
                <w:szCs w:val="18"/>
                <w:lang w:val="en-GB"/>
              </w:rPr>
              <w:t>3 (0.2</w:t>
            </w:r>
            <w:r>
              <w:rPr>
                <w:rFonts w:ascii="Arial" w:hAnsi="Arial" w:cs="Arial"/>
                <w:color w:val="000000"/>
                <w:kern w:val="24"/>
                <w:sz w:val="18"/>
                <w:szCs w:val="18"/>
                <w:lang w:val="en-GB"/>
              </w:rPr>
              <w:t>%</w:t>
            </w:r>
            <w:r w:rsidRPr="00D4223A">
              <w:rPr>
                <w:rFonts w:ascii="Arial" w:hAnsi="Arial" w:cs="Arial"/>
                <w:color w:val="000000"/>
                <w:kern w:val="24"/>
                <w:sz w:val="18"/>
                <w:szCs w:val="18"/>
                <w:lang w:val="en-GB"/>
              </w:rPr>
              <w:t>)</w:t>
            </w:r>
          </w:p>
        </w:tc>
        <w:tc>
          <w:tcPr>
            <w:tcW w:w="500" w:type="pct"/>
            <w:tcBorders>
              <w:left w:val="single" w:sz="4" w:space="0" w:color="auto"/>
              <w:bottom w:val="single" w:sz="4" w:space="0" w:color="auto"/>
            </w:tcBorders>
            <w:vAlign w:val="center"/>
          </w:tcPr>
          <w:p w14:paraId="0450BF85" w14:textId="77777777" w:rsidR="00F34DD2" w:rsidRPr="00F20375" w:rsidRDefault="00F34DD2" w:rsidP="00542DFD">
            <w:pPr>
              <w:spacing w:after="0" w:line="240" w:lineRule="auto"/>
              <w:jc w:val="center"/>
              <w:rPr>
                <w:rFonts w:ascii="Arial" w:hAnsi="Arial" w:cs="Arial"/>
                <w:color w:val="000000"/>
                <w:kern w:val="24"/>
                <w:sz w:val="18"/>
                <w:szCs w:val="18"/>
                <w:lang w:val="en-GB"/>
              </w:rPr>
            </w:pPr>
          </w:p>
        </w:tc>
        <w:tc>
          <w:tcPr>
            <w:tcW w:w="461" w:type="pct"/>
            <w:tcBorders>
              <w:bottom w:val="single" w:sz="4" w:space="0" w:color="auto"/>
            </w:tcBorders>
            <w:vAlign w:val="center"/>
          </w:tcPr>
          <w:p w14:paraId="28D00638" w14:textId="77777777" w:rsidR="00F34DD2" w:rsidRPr="00F20375" w:rsidRDefault="00F34DD2" w:rsidP="00542DFD">
            <w:pPr>
              <w:spacing w:after="0" w:line="240" w:lineRule="auto"/>
              <w:jc w:val="center"/>
              <w:rPr>
                <w:rFonts w:ascii="Arial" w:hAnsi="Arial" w:cs="Arial"/>
                <w:color w:val="000000"/>
                <w:kern w:val="24"/>
                <w:sz w:val="18"/>
                <w:szCs w:val="18"/>
                <w:lang w:val="en-GB"/>
              </w:rPr>
            </w:pPr>
          </w:p>
        </w:tc>
        <w:tc>
          <w:tcPr>
            <w:tcW w:w="461" w:type="pct"/>
            <w:tcBorders>
              <w:bottom w:val="single" w:sz="4" w:space="0" w:color="auto"/>
            </w:tcBorders>
            <w:vAlign w:val="center"/>
          </w:tcPr>
          <w:p w14:paraId="4F8B4EF6" w14:textId="77777777" w:rsidR="00F34DD2" w:rsidRPr="00F20375" w:rsidRDefault="00F34DD2" w:rsidP="00542DFD">
            <w:pPr>
              <w:spacing w:after="0" w:line="240" w:lineRule="auto"/>
              <w:jc w:val="center"/>
              <w:rPr>
                <w:rFonts w:ascii="Arial" w:hAnsi="Arial" w:cs="Arial"/>
                <w:color w:val="000000"/>
                <w:kern w:val="24"/>
                <w:sz w:val="18"/>
                <w:szCs w:val="18"/>
                <w:lang w:val="en-GB"/>
              </w:rPr>
            </w:pPr>
            <w:r w:rsidRPr="00D4223A">
              <w:rPr>
                <w:rFonts w:ascii="Arial" w:hAnsi="Arial" w:cs="Arial"/>
                <w:color w:val="000000"/>
                <w:kern w:val="24"/>
                <w:sz w:val="18"/>
                <w:szCs w:val="18"/>
                <w:lang w:val="en-GB"/>
              </w:rPr>
              <w:t>2 (0.7</w:t>
            </w:r>
            <w:r>
              <w:rPr>
                <w:rFonts w:ascii="Arial" w:hAnsi="Arial" w:cs="Arial"/>
                <w:color w:val="000000"/>
                <w:kern w:val="24"/>
                <w:sz w:val="18"/>
                <w:szCs w:val="18"/>
                <w:lang w:val="en-GB"/>
              </w:rPr>
              <w:t>%</w:t>
            </w:r>
            <w:r w:rsidRPr="00D4223A">
              <w:rPr>
                <w:rFonts w:ascii="Arial" w:hAnsi="Arial" w:cs="Arial"/>
                <w:color w:val="000000"/>
                <w:kern w:val="24"/>
                <w:sz w:val="18"/>
                <w:szCs w:val="18"/>
                <w:lang w:val="en-GB"/>
              </w:rPr>
              <w:t>)</w:t>
            </w:r>
          </w:p>
        </w:tc>
        <w:tc>
          <w:tcPr>
            <w:tcW w:w="462" w:type="pct"/>
            <w:tcBorders>
              <w:bottom w:val="single" w:sz="4" w:space="0" w:color="auto"/>
            </w:tcBorders>
            <w:vAlign w:val="center"/>
          </w:tcPr>
          <w:p w14:paraId="2E610B2F" w14:textId="77777777" w:rsidR="00F34DD2" w:rsidRPr="00F20375" w:rsidRDefault="00F34DD2" w:rsidP="00542DFD">
            <w:pPr>
              <w:spacing w:after="0" w:line="240" w:lineRule="auto"/>
              <w:jc w:val="center"/>
              <w:rPr>
                <w:rFonts w:ascii="Arial" w:hAnsi="Arial" w:cs="Arial"/>
                <w:color w:val="000000"/>
                <w:kern w:val="24"/>
                <w:sz w:val="18"/>
                <w:szCs w:val="18"/>
                <w:lang w:val="en-GB"/>
              </w:rPr>
            </w:pPr>
            <w:r w:rsidRPr="00D4223A">
              <w:rPr>
                <w:rFonts w:ascii="Arial" w:hAnsi="Arial" w:cs="Arial"/>
                <w:color w:val="000000"/>
                <w:kern w:val="24"/>
                <w:sz w:val="18"/>
                <w:szCs w:val="18"/>
                <w:lang w:val="en-GB"/>
              </w:rPr>
              <w:t>2 (0.3</w:t>
            </w:r>
            <w:r>
              <w:rPr>
                <w:rFonts w:ascii="Arial" w:hAnsi="Arial" w:cs="Arial"/>
                <w:color w:val="000000"/>
                <w:kern w:val="24"/>
                <w:sz w:val="18"/>
                <w:szCs w:val="18"/>
                <w:lang w:val="en-GB"/>
              </w:rPr>
              <w:t>%</w:t>
            </w:r>
            <w:r w:rsidRPr="00D4223A">
              <w:rPr>
                <w:rFonts w:ascii="Arial" w:hAnsi="Arial" w:cs="Arial"/>
                <w:color w:val="000000"/>
                <w:kern w:val="24"/>
                <w:sz w:val="18"/>
                <w:szCs w:val="18"/>
                <w:lang w:val="en-GB"/>
              </w:rPr>
              <w:t>)</w:t>
            </w:r>
          </w:p>
        </w:tc>
      </w:tr>
      <w:tr w:rsidR="00F34DD2" w:rsidRPr="00F20375" w14:paraId="5F250C98" w14:textId="77777777" w:rsidTr="00542DFD">
        <w:trPr>
          <w:trHeight w:val="56"/>
        </w:trPr>
        <w:tc>
          <w:tcPr>
            <w:tcW w:w="5000" w:type="pct"/>
            <w:gridSpan w:val="9"/>
            <w:tcBorders>
              <w:top w:val="single" w:sz="4" w:space="0" w:color="auto"/>
              <w:bottom w:val="single" w:sz="4" w:space="0" w:color="auto"/>
            </w:tcBorders>
            <w:vAlign w:val="center"/>
          </w:tcPr>
          <w:p w14:paraId="28E5E171" w14:textId="77777777" w:rsidR="00F34DD2" w:rsidRDefault="00F34DD2" w:rsidP="00FA3C92">
            <w:pPr>
              <w:spacing w:after="0" w:line="240" w:lineRule="auto"/>
              <w:rPr>
                <w:rFonts w:ascii="Arial" w:hAnsi="Arial" w:cs="Arial"/>
                <w:color w:val="000000"/>
                <w:kern w:val="24"/>
                <w:sz w:val="18"/>
                <w:szCs w:val="18"/>
                <w:lang w:val="en-GB"/>
              </w:rPr>
            </w:pPr>
            <w:r>
              <w:rPr>
                <w:rFonts w:ascii="Arial" w:hAnsi="Arial" w:cs="Arial"/>
                <w:color w:val="000000"/>
                <w:kern w:val="24"/>
                <w:sz w:val="18"/>
                <w:szCs w:val="18"/>
                <w:lang w:val="en-GB"/>
              </w:rPr>
              <w:t xml:space="preserve">*Patients had an mMRC score = 1; </w:t>
            </w:r>
            <w:r w:rsidRPr="00D57A55">
              <w:rPr>
                <w:rFonts w:ascii="Arial" w:hAnsi="Arial" w:cs="Arial"/>
                <w:color w:val="000000"/>
                <w:kern w:val="24"/>
                <w:sz w:val="18"/>
                <w:szCs w:val="18"/>
                <w:vertAlign w:val="superscript"/>
                <w:lang w:val="en-GB"/>
              </w:rPr>
              <w:t>#</w:t>
            </w:r>
            <w:r>
              <w:rPr>
                <w:rFonts w:ascii="Arial" w:hAnsi="Arial" w:cs="Arial"/>
                <w:color w:val="000000"/>
                <w:kern w:val="24"/>
                <w:sz w:val="18"/>
                <w:szCs w:val="18"/>
                <w:lang w:val="en-GB"/>
              </w:rPr>
              <w:t>Patients had an mMRC score ≥ 2.</w:t>
            </w:r>
          </w:p>
          <w:p w14:paraId="1606702A" w14:textId="77777777" w:rsidR="00F34DD2" w:rsidRDefault="00F34DD2" w:rsidP="001E3745">
            <w:pPr>
              <w:spacing w:after="0" w:line="240" w:lineRule="auto"/>
              <w:rPr>
                <w:rFonts w:ascii="Arial" w:hAnsi="Arial" w:cs="Arial"/>
                <w:color w:val="000000"/>
                <w:kern w:val="24"/>
                <w:sz w:val="18"/>
                <w:szCs w:val="18"/>
                <w:lang w:val="en-GB"/>
              </w:rPr>
            </w:pPr>
            <w:r w:rsidRPr="00F20375">
              <w:rPr>
                <w:rFonts w:ascii="Arial" w:hAnsi="Arial" w:cs="Arial"/>
                <w:color w:val="000000"/>
                <w:kern w:val="24"/>
                <w:sz w:val="18"/>
                <w:szCs w:val="18"/>
                <w:lang w:val="en-GB"/>
              </w:rPr>
              <w:t>Data are</w:t>
            </w:r>
            <w:r>
              <w:rPr>
                <w:rFonts w:ascii="Arial" w:hAnsi="Arial" w:cs="Arial"/>
                <w:color w:val="000000"/>
                <w:kern w:val="24"/>
                <w:sz w:val="18"/>
                <w:szCs w:val="18"/>
                <w:lang w:val="en-GB"/>
              </w:rPr>
              <w:t xml:space="preserve"> presented as number of incidences</w:t>
            </w:r>
            <w:r w:rsidRPr="00F20375">
              <w:rPr>
                <w:rFonts w:ascii="Arial" w:hAnsi="Arial" w:cs="Arial"/>
                <w:color w:val="000000"/>
                <w:kern w:val="24"/>
                <w:sz w:val="18"/>
                <w:szCs w:val="18"/>
                <w:lang w:val="en-GB"/>
              </w:rPr>
              <w:t xml:space="preserve"> (%)</w:t>
            </w:r>
          </w:p>
          <w:p w14:paraId="1009B302" w14:textId="342EAC50" w:rsidR="00F34DD2" w:rsidRPr="00F20375" w:rsidRDefault="00F34DD2" w:rsidP="001E3745">
            <w:pPr>
              <w:spacing w:after="0" w:line="240" w:lineRule="auto"/>
              <w:rPr>
                <w:rFonts w:ascii="Arial" w:hAnsi="Arial" w:cs="Arial"/>
                <w:color w:val="000000"/>
                <w:kern w:val="24"/>
                <w:sz w:val="18"/>
                <w:szCs w:val="18"/>
                <w:lang w:val="en-GB"/>
              </w:rPr>
            </w:pPr>
            <w:r w:rsidRPr="00F20375">
              <w:rPr>
                <w:rFonts w:ascii="Arial" w:hAnsi="Arial" w:cs="Arial"/>
                <w:sz w:val="18"/>
                <w:szCs w:val="18"/>
                <w:lang w:val="en-GB"/>
              </w:rPr>
              <w:t>GLY, glycopyrronium; IND/GLY, indacaterol/glycopyrronium; LABA, long-acting β</w:t>
            </w:r>
            <w:r w:rsidRPr="00F20375">
              <w:rPr>
                <w:rFonts w:ascii="Arial" w:hAnsi="Arial" w:cs="Arial"/>
                <w:sz w:val="18"/>
                <w:szCs w:val="18"/>
                <w:vertAlign w:val="subscript"/>
                <w:lang w:val="en-GB"/>
              </w:rPr>
              <w:t>2</w:t>
            </w:r>
            <w:r w:rsidRPr="00F20375">
              <w:rPr>
                <w:rFonts w:ascii="Arial" w:hAnsi="Arial" w:cs="Arial"/>
                <w:sz w:val="18"/>
                <w:szCs w:val="18"/>
                <w:lang w:val="en-GB"/>
              </w:rPr>
              <w:t>-agonist; LAMA, long-acting muscarinic antagonist; LABA+ICS, long-acting β</w:t>
            </w:r>
            <w:r w:rsidRPr="00F20375">
              <w:rPr>
                <w:rFonts w:ascii="Arial" w:hAnsi="Arial" w:cs="Arial"/>
                <w:sz w:val="18"/>
                <w:szCs w:val="18"/>
                <w:vertAlign w:val="subscript"/>
                <w:lang w:val="en-GB"/>
              </w:rPr>
              <w:t>2</w:t>
            </w:r>
            <w:r w:rsidRPr="00F20375">
              <w:rPr>
                <w:rFonts w:ascii="Arial" w:hAnsi="Arial" w:cs="Arial"/>
                <w:sz w:val="18"/>
                <w:szCs w:val="18"/>
                <w:lang w:val="en-GB"/>
              </w:rPr>
              <w:t xml:space="preserve">-agonist+inhaled corticosteroid; </w:t>
            </w:r>
            <w:r>
              <w:rPr>
                <w:rFonts w:ascii="Arial" w:hAnsi="Arial" w:cs="Arial"/>
                <w:sz w:val="18"/>
                <w:szCs w:val="18"/>
                <w:lang w:val="en-GB"/>
              </w:rPr>
              <w:t xml:space="preserve">mMRC, </w:t>
            </w:r>
            <w:r w:rsidRPr="00FD6711">
              <w:rPr>
                <w:rFonts w:ascii="Arial" w:eastAsia="Times New Roman" w:hAnsi="Arial" w:cs="Arial"/>
                <w:color w:val="000000"/>
                <w:kern w:val="24"/>
                <w:sz w:val="20"/>
                <w:szCs w:val="20"/>
                <w:lang w:val="en-GB"/>
              </w:rPr>
              <w:t>modified Medical Research Council</w:t>
            </w:r>
            <w:r>
              <w:rPr>
                <w:rFonts w:ascii="Arial" w:eastAsia="Times New Roman" w:hAnsi="Arial" w:cs="Arial"/>
                <w:color w:val="000000"/>
                <w:kern w:val="24"/>
                <w:sz w:val="20"/>
                <w:szCs w:val="20"/>
                <w:lang w:val="en-GB"/>
              </w:rPr>
              <w:t>;</w:t>
            </w:r>
            <w:r w:rsidRPr="00FD6711">
              <w:rPr>
                <w:rFonts w:ascii="Arial" w:eastAsia="Times New Roman" w:hAnsi="Arial" w:cs="Arial"/>
                <w:color w:val="000000"/>
                <w:kern w:val="24"/>
                <w:sz w:val="20"/>
                <w:szCs w:val="20"/>
                <w:lang w:val="en-GB"/>
              </w:rPr>
              <w:t xml:space="preserve"> SABA, short-acting β</w:t>
            </w:r>
            <w:r w:rsidRPr="00FD6711">
              <w:rPr>
                <w:rFonts w:ascii="Arial" w:eastAsia="Times New Roman" w:hAnsi="Arial" w:cs="Arial"/>
                <w:color w:val="000000"/>
                <w:kern w:val="24"/>
                <w:position w:val="-6"/>
                <w:sz w:val="20"/>
                <w:szCs w:val="20"/>
                <w:vertAlign w:val="subscript"/>
                <w:lang w:val="en-GB"/>
              </w:rPr>
              <w:t>2</w:t>
            </w:r>
            <w:r w:rsidRPr="00FD6711">
              <w:rPr>
                <w:rFonts w:ascii="Arial" w:eastAsia="Times New Roman" w:hAnsi="Arial" w:cs="Arial"/>
                <w:color w:val="000000"/>
                <w:kern w:val="24"/>
                <w:sz w:val="20"/>
                <w:szCs w:val="20"/>
                <w:lang w:val="en-GB"/>
              </w:rPr>
              <w:t xml:space="preserve">-agonist; </w:t>
            </w:r>
            <w:r w:rsidRPr="00F20375">
              <w:rPr>
                <w:rFonts w:ascii="Arial" w:hAnsi="Arial" w:cs="Arial"/>
                <w:sz w:val="18"/>
                <w:szCs w:val="18"/>
                <w:lang w:val="en-GB"/>
              </w:rPr>
              <w:t>SAE, serious adverse event</w:t>
            </w:r>
            <w:r>
              <w:rPr>
                <w:rFonts w:ascii="Arial" w:hAnsi="Arial" w:cs="Arial"/>
                <w:sz w:val="18"/>
                <w:szCs w:val="18"/>
                <w:lang w:val="en-GB"/>
              </w:rPr>
              <w:t xml:space="preserve">; </w:t>
            </w:r>
            <w:r w:rsidRPr="00FD6711">
              <w:rPr>
                <w:rFonts w:ascii="Arial" w:eastAsia="Times New Roman" w:hAnsi="Arial" w:cs="Arial"/>
                <w:color w:val="000000"/>
                <w:kern w:val="24"/>
                <w:sz w:val="20"/>
                <w:szCs w:val="20"/>
                <w:lang w:val="en-GB"/>
              </w:rPr>
              <w:t>SAMA, short-acting muscarinic antagonist</w:t>
            </w:r>
            <w:r>
              <w:rPr>
                <w:rFonts w:ascii="Arial" w:eastAsia="Times New Roman" w:hAnsi="Arial" w:cs="Arial"/>
                <w:color w:val="000000"/>
                <w:kern w:val="24"/>
                <w:sz w:val="20"/>
                <w:szCs w:val="20"/>
                <w:lang w:val="en-GB"/>
              </w:rPr>
              <w:t>; TEAEs, treatment-emergent adverse events</w:t>
            </w:r>
          </w:p>
        </w:tc>
      </w:tr>
    </w:tbl>
    <w:p w14:paraId="2B611E41" w14:textId="77777777" w:rsidR="00F34DD2" w:rsidRPr="00F20375" w:rsidRDefault="00F34DD2">
      <w:pPr>
        <w:spacing w:after="0" w:line="240" w:lineRule="auto"/>
        <w:rPr>
          <w:rFonts w:ascii="Arial" w:hAnsi="Arial" w:cs="Arial"/>
          <w:b/>
          <w:lang w:val="en-GB"/>
        </w:rPr>
      </w:pPr>
    </w:p>
    <w:p w14:paraId="47D260D4" w14:textId="77777777" w:rsidR="00F34DD2" w:rsidRPr="00F20375" w:rsidRDefault="00F34DD2">
      <w:pPr>
        <w:spacing w:after="0" w:line="240" w:lineRule="auto"/>
        <w:rPr>
          <w:rFonts w:ascii="Arial" w:hAnsi="Arial" w:cs="Arial"/>
          <w:b/>
          <w:lang w:val="en-GB"/>
        </w:rPr>
      </w:pPr>
      <w:r w:rsidRPr="00F20375">
        <w:rPr>
          <w:rFonts w:ascii="Arial" w:hAnsi="Arial" w:cs="Arial"/>
          <w:b/>
          <w:lang w:val="en-GB"/>
        </w:rPr>
        <w:br w:type="page"/>
      </w:r>
    </w:p>
    <w:p w14:paraId="6CD98E36" w14:textId="77777777" w:rsidR="00F34DD2" w:rsidRPr="00F20375" w:rsidRDefault="00F34DD2">
      <w:pPr>
        <w:spacing w:after="0" w:line="240" w:lineRule="auto"/>
        <w:rPr>
          <w:rFonts w:ascii="Arial" w:hAnsi="Arial" w:cs="Arial"/>
          <w:b/>
          <w:lang w:val="en-GB"/>
        </w:rPr>
      </w:pPr>
      <w:r w:rsidRPr="00F20375">
        <w:rPr>
          <w:rFonts w:ascii="Arial" w:hAnsi="Arial" w:cs="Arial"/>
          <w:b/>
          <w:lang w:val="en-GB"/>
        </w:rPr>
        <w:lastRenderedPageBreak/>
        <w:t>References:</w:t>
      </w:r>
    </w:p>
    <w:p w14:paraId="7131AEB7" w14:textId="77777777" w:rsidR="00F34DD2" w:rsidRPr="00F20375" w:rsidRDefault="00F34DD2">
      <w:pPr>
        <w:spacing w:after="0" w:line="240" w:lineRule="auto"/>
        <w:rPr>
          <w:rFonts w:ascii="Arial" w:hAnsi="Arial" w:cs="Arial"/>
          <w:b/>
          <w:lang w:val="en-GB"/>
        </w:rPr>
      </w:pPr>
    </w:p>
    <w:p w14:paraId="1A08A17D" w14:textId="1FAF05D1" w:rsidR="00F34DD2" w:rsidRPr="00FD6711" w:rsidRDefault="00F34DD2" w:rsidP="001E3745">
      <w:pPr>
        <w:pStyle w:val="EndNoteBibliography"/>
        <w:ind w:left="720" w:hanging="720"/>
      </w:pPr>
      <w:r w:rsidRPr="00FD6711">
        <w:t>1.</w:t>
      </w:r>
      <w:r w:rsidRPr="00FD6711">
        <w:tab/>
      </w:r>
      <w:r w:rsidR="004F6B59" w:rsidRPr="00492F6C">
        <w:t>Mahler DA, Waterman LA, Ward J</w:t>
      </w:r>
      <w:r w:rsidRPr="00FD6711">
        <w:t>, Mc</w:t>
      </w:r>
      <w:r w:rsidR="001E3745">
        <w:t>Cusker C, ZuWallack R, Baird JC</w:t>
      </w:r>
      <w:r w:rsidRPr="00FD6711">
        <w:t xml:space="preserve">: </w:t>
      </w:r>
      <w:r w:rsidRPr="00FD6711">
        <w:rPr>
          <w:b/>
        </w:rPr>
        <w:t>Validity and responsiveness of the self-administered computerized versions of the baseline and transition dyspnea indexes.</w:t>
      </w:r>
      <w:r w:rsidRPr="00FD6711">
        <w:t xml:space="preserve"> </w:t>
      </w:r>
      <w:r w:rsidRPr="00FD6711">
        <w:rPr>
          <w:i/>
        </w:rPr>
        <w:t xml:space="preserve">Chest </w:t>
      </w:r>
      <w:r w:rsidRPr="00FD6711">
        <w:t xml:space="preserve">2007, </w:t>
      </w:r>
      <w:r w:rsidRPr="00FD6711">
        <w:rPr>
          <w:b/>
        </w:rPr>
        <w:t>132:</w:t>
      </w:r>
      <w:r w:rsidRPr="00FD6711">
        <w:t>1283-1290.</w:t>
      </w:r>
    </w:p>
    <w:p w14:paraId="5827E764" w14:textId="569D6BF3" w:rsidR="00F34DD2" w:rsidRPr="00FD6711" w:rsidRDefault="00F34DD2" w:rsidP="001E3745">
      <w:pPr>
        <w:pStyle w:val="EndNoteBibliography"/>
        <w:ind w:left="720" w:hanging="720"/>
      </w:pPr>
      <w:r w:rsidRPr="00FD6711">
        <w:t>2.</w:t>
      </w:r>
      <w:r w:rsidRPr="00FD6711">
        <w:tab/>
      </w:r>
      <w:r w:rsidR="004F6B59">
        <w:t>Gupta N, Pinto LM, Morogan A</w:t>
      </w:r>
      <w:r w:rsidR="001E3745">
        <w:t>, Bourbeau J</w:t>
      </w:r>
      <w:r w:rsidRPr="00FD6711">
        <w:t xml:space="preserve">: </w:t>
      </w:r>
      <w:r w:rsidRPr="00FD6711">
        <w:rPr>
          <w:b/>
        </w:rPr>
        <w:t>The COPD assessment test: a systematic review.</w:t>
      </w:r>
      <w:r w:rsidRPr="00FD6711">
        <w:t xml:space="preserve"> </w:t>
      </w:r>
      <w:r w:rsidRPr="00FD6711">
        <w:rPr>
          <w:i/>
        </w:rPr>
        <w:t xml:space="preserve">Eur Respir J </w:t>
      </w:r>
      <w:r w:rsidRPr="00FD6711">
        <w:t xml:space="preserve">2014, </w:t>
      </w:r>
      <w:r w:rsidRPr="00FD6711">
        <w:rPr>
          <w:b/>
        </w:rPr>
        <w:t>44:</w:t>
      </w:r>
      <w:r w:rsidRPr="00FD6711">
        <w:t>873-884.</w:t>
      </w:r>
    </w:p>
    <w:p w14:paraId="0DE4BCE6" w14:textId="77777777" w:rsidR="00F34DD2" w:rsidRPr="00FD6711" w:rsidRDefault="00F34DD2" w:rsidP="001E3745">
      <w:pPr>
        <w:pStyle w:val="EndNoteBibliography"/>
        <w:ind w:left="720" w:hanging="720"/>
      </w:pPr>
      <w:r w:rsidRPr="00FD6711">
        <w:t>3.</w:t>
      </w:r>
      <w:r w:rsidRPr="00FD6711">
        <w:tab/>
        <w:t xml:space="preserve">Kon SS, Dilaver D, Mittal M, Nolan CM, Clark AL, Canavan JL, Jones SE, Polkey MI, Man WD: </w:t>
      </w:r>
      <w:r w:rsidRPr="00FD6711">
        <w:rPr>
          <w:b/>
        </w:rPr>
        <w:t>The Clinical COPD Questionnaire: response to pulmonary rehabilitation and minimal clinically important difference.</w:t>
      </w:r>
      <w:r w:rsidRPr="00FD6711">
        <w:t xml:space="preserve"> </w:t>
      </w:r>
      <w:r w:rsidRPr="00FD6711">
        <w:rPr>
          <w:i/>
        </w:rPr>
        <w:t xml:space="preserve">Thorax </w:t>
      </w:r>
      <w:r w:rsidRPr="00FD6711">
        <w:t xml:space="preserve">2014, </w:t>
      </w:r>
      <w:r w:rsidRPr="00FD6711">
        <w:rPr>
          <w:b/>
        </w:rPr>
        <w:t>69:</w:t>
      </w:r>
      <w:r w:rsidRPr="00FD6711">
        <w:t>793-798.</w:t>
      </w:r>
    </w:p>
    <w:p w14:paraId="1B2F87AB" w14:textId="6F97DC56" w:rsidR="00F34DD2" w:rsidRPr="00FD6711" w:rsidRDefault="00F34DD2" w:rsidP="001E3745">
      <w:pPr>
        <w:pStyle w:val="EndNoteBibliography"/>
        <w:ind w:left="720" w:hanging="720"/>
      </w:pPr>
      <w:r w:rsidRPr="00FD6711">
        <w:t>4.</w:t>
      </w:r>
      <w:r w:rsidRPr="00FD6711">
        <w:tab/>
      </w:r>
      <w:r w:rsidRPr="00FD6711">
        <w:rPr>
          <w:b/>
        </w:rPr>
        <w:t xml:space="preserve">Points to consider on municipality issues in clinical trials. Committee for proprietary medicinal products (CPMP).  CPMP/EWP/908/99. </w:t>
      </w:r>
      <w:r w:rsidRPr="00FD6711">
        <w:rPr>
          <w:i/>
        </w:rPr>
        <w:t xml:space="preserve">The European agency for the evaluation of medicinal products Evaluation of medicines for human use </w:t>
      </w:r>
      <w:r w:rsidRPr="00FD6711">
        <w:t>2002</w:t>
      </w:r>
      <w:r w:rsidRPr="00FD6711">
        <w:rPr>
          <w:b/>
        </w:rPr>
        <w:t>:</w:t>
      </w:r>
      <w:r w:rsidRPr="00FD6711">
        <w:t>London. September 19.</w:t>
      </w:r>
    </w:p>
    <w:p w14:paraId="097462DF" w14:textId="77777777" w:rsidR="00F34DD2" w:rsidRPr="00FD6711" w:rsidRDefault="00F34DD2" w:rsidP="001E3745">
      <w:pPr>
        <w:pStyle w:val="EndNoteBibliography"/>
        <w:ind w:left="720" w:hanging="720"/>
      </w:pPr>
      <w:r w:rsidRPr="00FD6711">
        <w:t>5.</w:t>
      </w:r>
      <w:r w:rsidRPr="00FD6711">
        <w:tab/>
        <w:t xml:space="preserve">Chapman KR, Beeh KM, Beier J, Bateman ED, D'Urzo A, Nutbrown R, Henley M, Chen H, Overend T, D'Andrea P: </w:t>
      </w:r>
      <w:r w:rsidRPr="00FD6711">
        <w:rPr>
          <w:b/>
        </w:rPr>
        <w:t>A blinded evaluation of the efficacy and safety of glycopyrronium, a once-daily long-acting muscarinic antagonist, versus tiotropium, in patients with COPD: the GLOW5 study.</w:t>
      </w:r>
      <w:r w:rsidRPr="00FD6711">
        <w:t xml:space="preserve"> </w:t>
      </w:r>
      <w:r w:rsidRPr="00FD6711">
        <w:rPr>
          <w:i/>
        </w:rPr>
        <w:t xml:space="preserve">BMC Pulm Med </w:t>
      </w:r>
      <w:r w:rsidRPr="00FD6711">
        <w:t xml:space="preserve">2014, </w:t>
      </w:r>
      <w:r w:rsidRPr="00FD6711">
        <w:rPr>
          <w:b/>
        </w:rPr>
        <w:t>14:</w:t>
      </w:r>
      <w:r w:rsidRPr="00FD6711">
        <w:t>4.</w:t>
      </w:r>
    </w:p>
    <w:p w14:paraId="5101BDE2" w14:textId="77777777" w:rsidR="00F34DD2" w:rsidRPr="00FD6711" w:rsidRDefault="00F34DD2" w:rsidP="001E3745">
      <w:pPr>
        <w:pStyle w:val="EndNoteBibliography"/>
        <w:ind w:left="720" w:hanging="720"/>
      </w:pPr>
      <w:r w:rsidRPr="00FD6711">
        <w:t>6.</w:t>
      </w:r>
      <w:r w:rsidRPr="00FD6711">
        <w:tab/>
        <w:t xml:space="preserve">Kerwin E, Hebert J, Gallagher N, Martin C, Overend T, Alagappan VK, Lu Y, Banerji D: </w:t>
      </w:r>
      <w:r w:rsidRPr="00FD6711">
        <w:rPr>
          <w:b/>
        </w:rPr>
        <w:t>Efficacy and safety of NVA237 versus placebo and tiotropium in patients with COPD: the GLOW2 study.</w:t>
      </w:r>
      <w:r w:rsidRPr="00FD6711">
        <w:t xml:space="preserve"> </w:t>
      </w:r>
      <w:r w:rsidRPr="00FD6711">
        <w:rPr>
          <w:i/>
        </w:rPr>
        <w:t xml:space="preserve">Eur Respir J </w:t>
      </w:r>
      <w:r w:rsidRPr="00FD6711">
        <w:t xml:space="preserve">2012, </w:t>
      </w:r>
      <w:r w:rsidRPr="00FD6711">
        <w:rPr>
          <w:b/>
        </w:rPr>
        <w:t>40:</w:t>
      </w:r>
      <w:r w:rsidRPr="00FD6711">
        <w:t>1106-1114.</w:t>
      </w:r>
    </w:p>
    <w:p w14:paraId="4ADE5BC5" w14:textId="77777777" w:rsidR="00F34DD2" w:rsidRPr="00FD6711" w:rsidRDefault="00F34DD2" w:rsidP="001E3745">
      <w:pPr>
        <w:pStyle w:val="EndNoteBibliography"/>
        <w:ind w:left="720" w:hanging="720"/>
      </w:pPr>
      <w:r w:rsidRPr="00FD6711">
        <w:t>7.</w:t>
      </w:r>
      <w:r w:rsidRPr="00FD6711">
        <w:tab/>
        <w:t xml:space="preserve">Vogelmeier CF, Bateman ED, Pallante J, Alagappan VK, D'Andrea P, Chen H, Banerji D: </w:t>
      </w:r>
      <w:r w:rsidRPr="00FD6711">
        <w:rPr>
          <w:b/>
        </w:rPr>
        <w:t>Efficacy and safety of once-daily QVA149 compared with twice-daily salmeterol-fluticasone in patients with chronic obstructive pulmonary disease (ILLUMINATE): a randomised, double-blind, parallel group study.</w:t>
      </w:r>
      <w:r w:rsidRPr="00FD6711">
        <w:t xml:space="preserve"> </w:t>
      </w:r>
      <w:r w:rsidRPr="00FD6711">
        <w:rPr>
          <w:i/>
        </w:rPr>
        <w:t xml:space="preserve">Lancet Respir Med </w:t>
      </w:r>
      <w:r w:rsidRPr="00FD6711">
        <w:t xml:space="preserve">2013, </w:t>
      </w:r>
      <w:r w:rsidRPr="00FD6711">
        <w:rPr>
          <w:b/>
        </w:rPr>
        <w:t>1:</w:t>
      </w:r>
      <w:r w:rsidRPr="00FD6711">
        <w:t>51-60.</w:t>
      </w:r>
    </w:p>
    <w:p w14:paraId="4F737825" w14:textId="77777777" w:rsidR="00F34DD2" w:rsidRDefault="00F34DD2">
      <w:pPr>
        <w:spacing w:after="0" w:line="240" w:lineRule="auto"/>
        <w:rPr>
          <w:rFonts w:ascii="Arial" w:hAnsi="Arial" w:cs="Arial"/>
          <w:b/>
          <w:lang w:val="en-GB"/>
        </w:rPr>
      </w:pPr>
      <w:r>
        <w:rPr>
          <w:rFonts w:ascii="Arial" w:hAnsi="Arial" w:cs="Arial"/>
          <w:b/>
          <w:lang w:val="en-GB"/>
        </w:rPr>
        <w:br w:type="page"/>
      </w:r>
    </w:p>
    <w:p w14:paraId="1BD50CA5" w14:textId="75EDBEAB" w:rsidR="00F34DD2" w:rsidRPr="00F20375" w:rsidRDefault="006A7A5D">
      <w:pPr>
        <w:spacing w:after="0" w:line="240" w:lineRule="auto"/>
        <w:rPr>
          <w:rFonts w:ascii="Arial" w:hAnsi="Arial" w:cs="Arial"/>
          <w:b/>
          <w:lang w:val="en-GB"/>
        </w:rPr>
      </w:pPr>
      <w:r>
        <w:rPr>
          <w:rFonts w:ascii="Arial" w:hAnsi="Arial" w:cs="Arial"/>
          <w:b/>
          <w:lang w:val="en-GB"/>
        </w:rPr>
        <w:lastRenderedPageBreak/>
        <w:t xml:space="preserve">S8. </w:t>
      </w:r>
      <w:r w:rsidR="00F34DD2" w:rsidRPr="00F20375">
        <w:rPr>
          <w:rFonts w:ascii="Arial" w:hAnsi="Arial" w:cs="Arial"/>
          <w:b/>
          <w:lang w:val="en-GB"/>
        </w:rPr>
        <w:t>List of Principal Investigators of the CRYSTAL study:</w:t>
      </w:r>
    </w:p>
    <w:p w14:paraId="5752CA51" w14:textId="77777777" w:rsidR="00F34DD2" w:rsidRPr="00F20375" w:rsidRDefault="00F34DD2">
      <w:pPr>
        <w:spacing w:after="0" w:line="240" w:lineRule="auto"/>
        <w:rPr>
          <w:rFonts w:ascii="Arial" w:hAnsi="Arial" w:cs="Arial"/>
          <w:b/>
          <w:lang w:val="en-GB"/>
        </w:rPr>
      </w:pPr>
    </w:p>
    <w:p w14:paraId="1E285DFE" w14:textId="77777777" w:rsidR="00F34DD2" w:rsidRPr="00F20375" w:rsidRDefault="00F34DD2" w:rsidP="001E3745">
      <w:pPr>
        <w:pStyle w:val="ListParagraph"/>
        <w:numPr>
          <w:ilvl w:val="0"/>
          <w:numId w:val="4"/>
        </w:numPr>
        <w:spacing w:before="40" w:after="0" w:line="240" w:lineRule="auto"/>
        <w:rPr>
          <w:rFonts w:ascii="Arial" w:hAnsi="Arial" w:cs="Arial"/>
          <w:b/>
          <w:sz w:val="16"/>
          <w:lang w:val="en-GB"/>
        </w:rPr>
        <w:sectPr w:rsidR="00F34DD2" w:rsidRPr="00F20375" w:rsidSect="00D34919">
          <w:headerReference w:type="default" r:id="rId16"/>
          <w:footerReference w:type="default" r:id="rId17"/>
          <w:pgSz w:w="12240" w:h="15840"/>
          <w:pgMar w:top="1440" w:right="1440" w:bottom="1440" w:left="1440" w:header="720" w:footer="720" w:gutter="0"/>
          <w:lnNumType w:countBy="1"/>
          <w:cols w:space="720"/>
          <w:docGrid w:linePitch="360"/>
        </w:sectPr>
      </w:pPr>
    </w:p>
    <w:p w14:paraId="0DAAA79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Bernhard Forstner, Austria</w:t>
      </w:r>
    </w:p>
    <w:p w14:paraId="66EB851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Dorninger Hans-Peter, Austria</w:t>
      </w:r>
    </w:p>
    <w:p w14:paraId="745EE47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Flicker Martin, Austria</w:t>
      </w:r>
    </w:p>
    <w:p w14:paraId="777023F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Gerhard Köberl, Austria</w:t>
      </w:r>
    </w:p>
    <w:p w14:paraId="241FA5B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Grillenberger Johann, Austria</w:t>
      </w:r>
    </w:p>
    <w:p w14:paraId="6D24931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Huber Alexander, Austria</w:t>
      </w:r>
    </w:p>
    <w:p w14:paraId="2F2B31F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Josef Würtz, Austria</w:t>
      </w:r>
    </w:p>
    <w:p w14:paraId="2727D61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Mahmud Sweilem, Austria</w:t>
      </w:r>
    </w:p>
    <w:p w14:paraId="3E4C637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Messner Jose, Austria</w:t>
      </w:r>
    </w:p>
    <w:p w14:paraId="1391319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Asandei Raluca, Belgium</w:t>
      </w:r>
    </w:p>
    <w:p w14:paraId="4428216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Baldassarre Sandra, Belgium</w:t>
      </w:r>
    </w:p>
    <w:p w14:paraId="52966B6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Bauler Alain, Belgium</w:t>
      </w:r>
    </w:p>
    <w:p w14:paraId="6FA3E38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Beutels Michel, Belgium</w:t>
      </w:r>
    </w:p>
    <w:p w14:paraId="7D5B9A7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Bolly Antoine, Belgium</w:t>
      </w:r>
    </w:p>
    <w:p w14:paraId="3E418F8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Bomans Peter, Belgium</w:t>
      </w:r>
    </w:p>
    <w:p w14:paraId="742C5F8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Butenda Dominique, Belgium</w:t>
      </w:r>
    </w:p>
    <w:p w14:paraId="655A637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Cataldo Didier, Belgium</w:t>
      </w:r>
    </w:p>
    <w:p w14:paraId="57A68B6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Compere Christophe, Belgium</w:t>
      </w:r>
    </w:p>
    <w:p w14:paraId="2B3E804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Corhay Jean-Louis, Belgium</w:t>
      </w:r>
    </w:p>
    <w:p w14:paraId="17CAF9E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Daniël Vantroyen, Belgium</w:t>
      </w:r>
    </w:p>
    <w:p w14:paraId="60E301C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De Fooz Geoffroy, Belgium</w:t>
      </w:r>
    </w:p>
    <w:p w14:paraId="7FC7A20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De Munck Luc, Belgium</w:t>
      </w:r>
    </w:p>
    <w:p w14:paraId="289FE0F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De Saedeleer Bart, Belgium</w:t>
      </w:r>
    </w:p>
    <w:p w14:paraId="1886A92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Delobbe Alain, Belgium</w:t>
      </w:r>
    </w:p>
    <w:p w14:paraId="0114A20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Derijcke Miguel, Belgium</w:t>
      </w:r>
    </w:p>
    <w:p w14:paraId="0F97A98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Eykerman Tom, Belgium</w:t>
      </w:r>
    </w:p>
    <w:p w14:paraId="484E62A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Fievet Frederic, Belgium</w:t>
      </w:r>
    </w:p>
    <w:p w14:paraId="022A724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Fremault Antoine, Belgium</w:t>
      </w:r>
    </w:p>
    <w:p w14:paraId="316EB70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Guy Vereecken, Belgium</w:t>
      </w:r>
    </w:p>
    <w:p w14:paraId="7F6F777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Jan Behets, Belgium</w:t>
      </w:r>
    </w:p>
    <w:p w14:paraId="7246A90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Liistro Giuseppe, Belgium</w:t>
      </w:r>
    </w:p>
    <w:p w14:paraId="1BCF768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Lins Muriel, Belgium</w:t>
      </w:r>
    </w:p>
    <w:p w14:paraId="010375D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Luc Van Zandweghe, Belgium</w:t>
      </w:r>
    </w:p>
    <w:p w14:paraId="7CCD37B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Malysse Ines, Belgium</w:t>
      </w:r>
    </w:p>
    <w:p w14:paraId="67DF233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Marc De Meulemeester, Belgium</w:t>
      </w:r>
    </w:p>
    <w:p w14:paraId="7656381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Martinot Jean-Benoit, Belgium</w:t>
      </w:r>
    </w:p>
    <w:p w14:paraId="64B1A42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Palem Alain, Belgium</w:t>
      </w:r>
    </w:p>
    <w:p w14:paraId="0DF3BDE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Rafaël Verlinden, Belgium</w:t>
      </w:r>
    </w:p>
    <w:p w14:paraId="5AC8BD7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Remels Linda, Belgium</w:t>
      </w:r>
    </w:p>
    <w:p w14:paraId="6219CF8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Sadowska Anna, Belgium</w:t>
      </w:r>
    </w:p>
    <w:p w14:paraId="133A6E1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Stéphane Vandenbemden, Belgium</w:t>
      </w:r>
    </w:p>
    <w:p w14:paraId="439D52B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Vanmaele Luc, Belgium</w:t>
      </w:r>
    </w:p>
    <w:p w14:paraId="057B672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Yohan Balthazar, Belgium</w:t>
      </w:r>
    </w:p>
    <w:p w14:paraId="6A31759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Yvan Calozet, Belgium</w:t>
      </w:r>
    </w:p>
    <w:p w14:paraId="06784E8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Ali Masroor, Czech Republic</w:t>
      </w:r>
    </w:p>
    <w:p w14:paraId="5069B83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Bártů Václava, Czech Republic</w:t>
      </w:r>
    </w:p>
    <w:p w14:paraId="02CCAC5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Brejchová Martina, Czech Republic</w:t>
      </w:r>
    </w:p>
    <w:p w14:paraId="00FB317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Burešová Marie, Czech Republic</w:t>
      </w:r>
    </w:p>
    <w:p w14:paraId="3FA6334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Bursová Jana, Czech Republic</w:t>
      </w:r>
    </w:p>
    <w:p w14:paraId="6609CB0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Chladil Petr, Czech Republic</w:t>
      </w:r>
    </w:p>
    <w:p w14:paraId="20BDD68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Čierná-Peterová Ivana, Czech Republic</w:t>
      </w:r>
    </w:p>
    <w:p w14:paraId="2DDAF75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Čmakalová Martina, Czech Republic</w:t>
      </w:r>
    </w:p>
    <w:p w14:paraId="444FB4B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Davidová Romana, Czech Republic</w:t>
      </w:r>
    </w:p>
    <w:p w14:paraId="40D406A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Dindoš Ján, Czech Republic</w:t>
      </w:r>
    </w:p>
    <w:p w14:paraId="2110F7E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Eliasová Blanka, Czech Republic</w:t>
      </w:r>
    </w:p>
    <w:p w14:paraId="2303700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Filipová Petra, Czech Republic</w:t>
      </w:r>
    </w:p>
    <w:p w14:paraId="55EE645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Hadrava Martin, Czech Republic</w:t>
      </w:r>
    </w:p>
    <w:p w14:paraId="358CFBC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Hanák Vladimír, Czech Republic</w:t>
      </w:r>
    </w:p>
    <w:p w14:paraId="7CA30F4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Holub Stanislav, Czech Republic</w:t>
      </w:r>
    </w:p>
    <w:p w14:paraId="168CF8E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Kašák Viktor, Czech Republic</w:t>
      </w:r>
    </w:p>
    <w:p w14:paraId="3936342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Kociánová Jana, Czech Republic</w:t>
      </w:r>
    </w:p>
    <w:p w14:paraId="6F7B7B6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Kolaříková Renata, Czech Republic</w:t>
      </w:r>
    </w:p>
    <w:p w14:paraId="6F3A2A4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Krejbich František, Czech Republic</w:t>
      </w:r>
    </w:p>
    <w:p w14:paraId="2575F75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Křepelka Jan, Czech Republic</w:t>
      </w:r>
    </w:p>
    <w:p w14:paraId="399E619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Křížová Eva, Czech Republic</w:t>
      </w:r>
    </w:p>
    <w:p w14:paraId="0C13361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Mechlová Charlotta, Czech Republic</w:t>
      </w:r>
    </w:p>
    <w:p w14:paraId="580F3F2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Pavlišová Ilona, Czech Republic</w:t>
      </w:r>
    </w:p>
    <w:p w14:paraId="5BF6FF2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Presperinová Jolana, Czech Republic</w:t>
      </w:r>
    </w:p>
    <w:p w14:paraId="2DA8682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Quadrátová Eva, Czech Republic</w:t>
      </w:r>
    </w:p>
    <w:p w14:paraId="30B0248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Sklenář Milan, Czech Republic</w:t>
      </w:r>
    </w:p>
    <w:p w14:paraId="7075A3F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Veverka Josef, Czech Republic</w:t>
      </w:r>
    </w:p>
    <w:p w14:paraId="6C1FDD3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Woznicová Alexandra, Czech Republic</w:t>
      </w:r>
    </w:p>
    <w:p w14:paraId="1D75B64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Zitková Miluše, Czech Republic</w:t>
      </w:r>
    </w:p>
    <w:p w14:paraId="47DED06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Houmann-Hammer Jacob, Denmark</w:t>
      </w:r>
    </w:p>
    <w:p w14:paraId="49ED0C7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Iuel Gunvor, Denmark</w:t>
      </w:r>
    </w:p>
    <w:p w14:paraId="26048C1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Sørensen Torben, Denmark</w:t>
      </w:r>
    </w:p>
    <w:p w14:paraId="177F648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Torp Claus Rydahl, Denmark</w:t>
      </w:r>
    </w:p>
    <w:p w14:paraId="0D3FCFB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Vinberg Jørgen, Denmark</w:t>
      </w:r>
    </w:p>
    <w:p w14:paraId="6411001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Jõgi Rain, Estonia</w:t>
      </w:r>
    </w:p>
    <w:p w14:paraId="7B3E47C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Kirs Üllar, Estonia</w:t>
      </w:r>
    </w:p>
    <w:p w14:paraId="1F55799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Meren Mari, Estonia</w:t>
      </w:r>
    </w:p>
    <w:p w14:paraId="2D2546F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Samarüütel Priit, Estonia</w:t>
      </w:r>
    </w:p>
    <w:p w14:paraId="0A20D17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Sreitor Zanna, Estonia</w:t>
      </w:r>
    </w:p>
    <w:p w14:paraId="2810AA9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Täht Ingrid, Estonia</w:t>
      </w:r>
    </w:p>
    <w:p w14:paraId="226DD72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Bernady Alain, France</w:t>
      </w:r>
    </w:p>
    <w:p w14:paraId="6AE29FC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Boumedienne Bendehiba, France</w:t>
      </w:r>
    </w:p>
    <w:p w14:paraId="13191F4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Boyer Guy-René, France</w:t>
      </w:r>
    </w:p>
    <w:p w14:paraId="45D22D2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Cantin Thierry, France</w:t>
      </w:r>
    </w:p>
    <w:p w14:paraId="2B1A1D4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Claussner Martine, France</w:t>
      </w:r>
    </w:p>
    <w:p w14:paraId="23E157C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Ducolone Alain, France</w:t>
      </w:r>
    </w:p>
    <w:p w14:paraId="16F0345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Guilleminault Laurent, France</w:t>
      </w:r>
    </w:p>
    <w:p w14:paraId="1815EF4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Herer Bertrand, France</w:t>
      </w:r>
    </w:p>
    <w:p w14:paraId="1C88B38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Larrousse Mathieu, France</w:t>
      </w:r>
    </w:p>
    <w:p w14:paraId="435B57B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Legendre Marc, France</w:t>
      </w:r>
    </w:p>
    <w:p w14:paraId="2241115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Marchand-Adam Sylvain, France</w:t>
      </w:r>
    </w:p>
    <w:p w14:paraId="3543659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Marty Jacques, France</w:t>
      </w:r>
    </w:p>
    <w:p w14:paraId="759C242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Meziane Lahouari, France</w:t>
      </w:r>
    </w:p>
    <w:p w14:paraId="0224842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Pegliasco Hervé, France</w:t>
      </w:r>
    </w:p>
    <w:p w14:paraId="4DEF843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Pigearias Bernard, France</w:t>
      </w:r>
    </w:p>
    <w:p w14:paraId="78B12CD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Tardif Philippe, France</w:t>
      </w:r>
    </w:p>
    <w:p w14:paraId="40114D2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 xml:space="preserve">Thomas Similowski, France </w:t>
      </w:r>
    </w:p>
    <w:p w14:paraId="72C9BB7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Verbert Antoine, France</w:t>
      </w:r>
    </w:p>
    <w:p w14:paraId="402AA0F2" w14:textId="6369874C"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 xml:space="preserve"> Xanthopoulos Athanasios, Germany</w:t>
      </w:r>
    </w:p>
    <w:p w14:paraId="3E6D4B8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Abts Markus, Germany</w:t>
      </w:r>
    </w:p>
    <w:p w14:paraId="01F7CEF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Askar Bader, Germany</w:t>
      </w:r>
    </w:p>
    <w:p w14:paraId="1ACCA24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Balck Katharina, Germany</w:t>
      </w:r>
    </w:p>
    <w:p w14:paraId="377ADDA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Ballenberger Sabine, Germany</w:t>
      </w:r>
    </w:p>
    <w:p w14:paraId="7F97432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Balzer Roland, Germany</w:t>
      </w:r>
    </w:p>
    <w:p w14:paraId="68F86BC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Bäumer Anselm, Germany</w:t>
      </w:r>
    </w:p>
    <w:p w14:paraId="1D4AF90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Beck Ekkehard, Germany</w:t>
      </w:r>
    </w:p>
    <w:p w14:paraId="6040253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Beckmann Bernhard, Germany</w:t>
      </w:r>
    </w:p>
    <w:p w14:paraId="17E04DC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Benduhn Henning, Germany</w:t>
      </w:r>
    </w:p>
    <w:p w14:paraId="131497D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Benedix Andreas, Germany</w:t>
      </w:r>
    </w:p>
    <w:p w14:paraId="181311E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Berger-Roscher Jürgen, Germany</w:t>
      </w:r>
    </w:p>
    <w:p w14:paraId="2EA317E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Bergtholdt Bettina, Germany</w:t>
      </w:r>
    </w:p>
    <w:p w14:paraId="41D9916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Bessler Hartmut, Germany</w:t>
      </w:r>
    </w:p>
    <w:p w14:paraId="52AAE52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Bettig Ute, Germany</w:t>
      </w:r>
    </w:p>
    <w:p w14:paraId="01258B0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Bewig Burkhard, Germany</w:t>
      </w:r>
    </w:p>
    <w:p w14:paraId="1853ED3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Bollmann Lutz, Germany</w:t>
      </w:r>
    </w:p>
    <w:p w14:paraId="66C0A7C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Born Thorsten, Germany</w:t>
      </w:r>
    </w:p>
    <w:p w14:paraId="07F2781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Botzen Ulrich, Germany</w:t>
      </w:r>
    </w:p>
    <w:p w14:paraId="7BF6023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Bourgeois Gerd, Germany</w:t>
      </w:r>
    </w:p>
    <w:p w14:paraId="27C0CFF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Breyer Gerhard, Germany</w:t>
      </w:r>
    </w:p>
    <w:p w14:paraId="2AF7805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Brüggen Hans, Germany</w:t>
      </w:r>
    </w:p>
    <w:p w14:paraId="740441C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Brust Daniel, Germany</w:t>
      </w:r>
    </w:p>
    <w:p w14:paraId="625B7E6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Budweiser Stephan, Germany</w:t>
      </w:r>
    </w:p>
    <w:p w14:paraId="6B0C0D0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Chevts Julia, Germany</w:t>
      </w:r>
    </w:p>
    <w:p w14:paraId="485DA64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Contzen Christel, Germany</w:t>
      </w:r>
    </w:p>
    <w:p w14:paraId="4BC1DE7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Corvinus Christoph, Germany</w:t>
      </w:r>
    </w:p>
    <w:p w14:paraId="67807D2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de Roux Andrés, Germany</w:t>
      </w:r>
    </w:p>
    <w:p w14:paraId="474E400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Deckelmann Regina, Germany</w:t>
      </w:r>
    </w:p>
    <w:p w14:paraId="1FFAED8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Deimling Andreas, Germany</w:t>
      </w:r>
    </w:p>
    <w:p w14:paraId="7876916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Eckhard Johannes-Georg, Germany</w:t>
      </w:r>
    </w:p>
    <w:p w14:paraId="77B616C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Eckhardt Gerald, Germany</w:t>
      </w:r>
    </w:p>
    <w:p w14:paraId="1F95C1C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Einenkel Andreas, Germany</w:t>
      </w:r>
    </w:p>
    <w:p w14:paraId="4F37497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Eisel Erika, Germany</w:t>
      </w:r>
    </w:p>
    <w:p w14:paraId="1709CB6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Eisenschmidt Sven, Germany</w:t>
      </w:r>
    </w:p>
    <w:p w14:paraId="6DCCBCE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Eißfeller Enno, Germany</w:t>
      </w:r>
    </w:p>
    <w:p w14:paraId="6276DFC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Eissing Volker, Germany</w:t>
      </w:r>
    </w:p>
    <w:p w14:paraId="0572A4B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Engelhard Ralf, Germany</w:t>
      </w:r>
    </w:p>
    <w:p w14:paraId="1A24C8E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Esmandar Mohamed, Germany</w:t>
      </w:r>
    </w:p>
    <w:p w14:paraId="103C456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Feldmeyer Frank, Germany</w:t>
      </w:r>
    </w:p>
    <w:p w14:paraId="733E263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Feussner Wolfram, Germany</w:t>
      </w:r>
    </w:p>
    <w:p w14:paraId="324D5B4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Foerster Karin, Germany</w:t>
      </w:r>
    </w:p>
    <w:p w14:paraId="5CB4B04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Franke Christian, Germany</w:t>
      </w:r>
    </w:p>
    <w:p w14:paraId="1ADA7D3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Franz Karl-Heinz, Germany</w:t>
      </w:r>
    </w:p>
    <w:p w14:paraId="4B01708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Fritzsche Andreas, Germany</w:t>
      </w:r>
    </w:p>
    <w:p w14:paraId="1146DFE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Fuchs Florian, Germany</w:t>
      </w:r>
    </w:p>
    <w:p w14:paraId="6709951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Gams Werner, Germany</w:t>
      </w:r>
    </w:p>
    <w:p w14:paraId="75A94ED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Gehling Umberto, Germany</w:t>
      </w:r>
    </w:p>
    <w:p w14:paraId="7B42BD3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Gerbaulet Uwe, Germany</w:t>
      </w:r>
    </w:p>
    <w:p w14:paraId="4A61AD7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Germann Hans, Germany</w:t>
      </w:r>
    </w:p>
    <w:p w14:paraId="20496B6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Gernhold Markus, Germany</w:t>
      </w:r>
    </w:p>
    <w:p w14:paraId="3BAA23D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Geßner Christian, Germany</w:t>
      </w:r>
    </w:p>
    <w:p w14:paraId="092DA54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Ginko Thomas, Germany</w:t>
      </w:r>
    </w:p>
    <w:p w14:paraId="372A7B2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Graf Hans-Josef, Germany</w:t>
      </w:r>
    </w:p>
    <w:p w14:paraId="73C318E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Granops Helge, Germany</w:t>
      </w:r>
    </w:p>
    <w:p w14:paraId="1EA017D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Grigat Christine, Germany</w:t>
      </w:r>
    </w:p>
    <w:p w14:paraId="7EBE469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Grimm-Sachs Vera, Germany</w:t>
      </w:r>
    </w:p>
    <w:p w14:paraId="64A84D9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Groth Gesine, Germany</w:t>
      </w:r>
    </w:p>
    <w:p w14:paraId="27B4FE8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Haase Peter Uwe, Germany</w:t>
      </w:r>
    </w:p>
    <w:p w14:paraId="65948F9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Hagemann Dirk, Germany</w:t>
      </w:r>
    </w:p>
    <w:p w14:paraId="0F55E0A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Hagenow Andreas, Germany</w:t>
      </w:r>
    </w:p>
    <w:p w14:paraId="6C9790F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Hamm Hinrich, Germany</w:t>
      </w:r>
    </w:p>
    <w:p w14:paraId="0DA09BE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Hammerl Peter, Germany</w:t>
      </w:r>
    </w:p>
    <w:p w14:paraId="658A073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lastRenderedPageBreak/>
        <w:t>Hampf Jürgen, Germany</w:t>
      </w:r>
    </w:p>
    <w:p w14:paraId="7B42E2E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Hartung Hans-Christoph, Germany</w:t>
      </w:r>
    </w:p>
    <w:p w14:paraId="50088F2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Heindl Stefan, Germany</w:t>
      </w:r>
    </w:p>
    <w:p w14:paraId="73691BD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Heinze Alexander, Germany</w:t>
      </w:r>
    </w:p>
    <w:p w14:paraId="225E024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Hennig Rudolph, Germany</w:t>
      </w:r>
    </w:p>
    <w:p w14:paraId="0B8A9C0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Herfort Peter, Germany</w:t>
      </w:r>
    </w:p>
    <w:p w14:paraId="5F90E63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Hergdt Gunter, Germany</w:t>
      </w:r>
    </w:p>
    <w:p w14:paraId="54DD1A8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Herold Jürgen, Germany</w:t>
      </w:r>
    </w:p>
    <w:p w14:paraId="4150B17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Herrmann Petra, Germany</w:t>
      </w:r>
    </w:p>
    <w:p w14:paraId="4FB53A6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Heymer Peter, Germany</w:t>
      </w:r>
    </w:p>
    <w:p w14:paraId="768EA49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Hoefer Markus, Germany</w:t>
      </w:r>
    </w:p>
    <w:p w14:paraId="594DE60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Hoffmann Martin, Germany</w:t>
      </w:r>
    </w:p>
    <w:p w14:paraId="1C7EE0B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Hoheisel Gerhard, Germany</w:t>
      </w:r>
    </w:p>
    <w:p w14:paraId="4A802A4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Hüting Reinhard, Germany</w:t>
      </w:r>
    </w:p>
    <w:p w14:paraId="31E265B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Illies Gabriele, Germany</w:t>
      </w:r>
    </w:p>
    <w:p w14:paraId="556516B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Jaeger Burkhard, Germany</w:t>
      </w:r>
    </w:p>
    <w:p w14:paraId="2225404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Jandl Margret, Germany</w:t>
      </w:r>
    </w:p>
    <w:p w14:paraId="0A1F967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Jansen Volker, Germany</w:t>
      </w:r>
    </w:p>
    <w:p w14:paraId="78DB652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Janssen Edgar, Germany</w:t>
      </w:r>
    </w:p>
    <w:p w14:paraId="13C4B64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Jezek Michael, Germany</w:t>
      </w:r>
    </w:p>
    <w:p w14:paraId="7C90A5D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John Matthias, Germany</w:t>
      </w:r>
    </w:p>
    <w:p w14:paraId="54380FB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Jung Thomas, Germany</w:t>
      </w:r>
    </w:p>
    <w:p w14:paraId="05BF9FD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Junggeburth Josef, Germany</w:t>
      </w:r>
    </w:p>
    <w:p w14:paraId="2363FC6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Kaa Armin, Germany</w:t>
      </w:r>
    </w:p>
    <w:p w14:paraId="4DD7F56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Kaiser Anatoli, Germany</w:t>
      </w:r>
    </w:p>
    <w:p w14:paraId="70EF654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Kampschulte Hans-Jörg, Germany</w:t>
      </w:r>
    </w:p>
    <w:p w14:paraId="2B0C8F3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Kanniess Frank, Germany</w:t>
      </w:r>
    </w:p>
    <w:p w14:paraId="1BDDE1C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Kässner Frank, Germany</w:t>
      </w:r>
    </w:p>
    <w:p w14:paraId="2A2C6C9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Kehm Stefan, Germany</w:t>
      </w:r>
    </w:p>
    <w:p w14:paraId="054F6F2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Keller Claus, Germany</w:t>
      </w:r>
    </w:p>
    <w:p w14:paraId="53689DE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Kemmerich Bernd, Germany</w:t>
      </w:r>
    </w:p>
    <w:p w14:paraId="6F7FC77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Khariouzov Andrej, Germany</w:t>
      </w:r>
    </w:p>
    <w:p w14:paraId="1413304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Kleinecke-Pohl Uwe, Germany</w:t>
      </w:r>
    </w:p>
    <w:p w14:paraId="3F3052A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Klünsch Hans-Lothar, Germany</w:t>
      </w:r>
    </w:p>
    <w:p w14:paraId="3BDF033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Knie Alexandra, Germany</w:t>
      </w:r>
    </w:p>
    <w:p w14:paraId="758A4FA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Köchel Annemone, Germany</w:t>
      </w:r>
    </w:p>
    <w:p w14:paraId="561FC11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Korduan Margit, Germany</w:t>
      </w:r>
    </w:p>
    <w:p w14:paraId="1B3F8B5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Kösters Frank, Germany</w:t>
      </w:r>
    </w:p>
    <w:p w14:paraId="6FD239D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Kroegel Claus, Germany</w:t>
      </w:r>
    </w:p>
    <w:p w14:paraId="6F02AD4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Kroell Monika, Germany</w:t>
      </w:r>
    </w:p>
    <w:p w14:paraId="54BE361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Kroenig Matthias, Germany</w:t>
      </w:r>
    </w:p>
    <w:p w14:paraId="202ECEB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Kroker Axel, Germany</w:t>
      </w:r>
    </w:p>
    <w:p w14:paraId="3EBD876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Kropp Maximilian, Germany</w:t>
      </w:r>
    </w:p>
    <w:p w14:paraId="07FFEEA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Krüll Matthias, Germany</w:t>
      </w:r>
    </w:p>
    <w:p w14:paraId="0073690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Kuehne Petra, Germany</w:t>
      </w:r>
    </w:p>
    <w:p w14:paraId="66908AF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Landers Bernhard, Germany</w:t>
      </w:r>
    </w:p>
    <w:p w14:paraId="522F9DF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Laßmann Hendrik, Germany</w:t>
      </w:r>
    </w:p>
    <w:p w14:paraId="07CAE9B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Lehmann Andrei, Germany</w:t>
      </w:r>
    </w:p>
    <w:p w14:paraId="0E73D53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Lenk Ute, Germany</w:t>
      </w:r>
    </w:p>
    <w:p w14:paraId="0CC65A8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Liedtke Michael, Germany</w:t>
      </w:r>
    </w:p>
    <w:p w14:paraId="308B701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Lienert Thomas, Germany</w:t>
      </w:r>
    </w:p>
    <w:p w14:paraId="7058F38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Linnhoff Anneliese, Germany</w:t>
      </w:r>
    </w:p>
    <w:p w14:paraId="1F8390E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Luttermann Matthias, Germany</w:t>
      </w:r>
    </w:p>
    <w:p w14:paraId="155BE34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Marten Irmgard, Germany</w:t>
      </w:r>
    </w:p>
    <w:p w14:paraId="012B45C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Maus Olga, Germany</w:t>
      </w:r>
    </w:p>
    <w:p w14:paraId="7420D07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Meixner Marcus, Germany</w:t>
      </w:r>
    </w:p>
    <w:p w14:paraId="29EA31A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Menke Thomas, Germany</w:t>
      </w:r>
    </w:p>
    <w:p w14:paraId="187FE9E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Mikloweit Petra, Germany</w:t>
      </w:r>
    </w:p>
    <w:p w14:paraId="7E3CFDA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Mozzilli Angelo, Germany</w:t>
      </w:r>
    </w:p>
    <w:p w14:paraId="04DC25D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Müller Hilger, Germany</w:t>
      </w:r>
    </w:p>
    <w:p w14:paraId="0CA3B2A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Nischik Ruth, Germany</w:t>
      </w:r>
    </w:p>
    <w:p w14:paraId="7F09371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Oehlschläger Günther, Germany</w:t>
      </w:r>
    </w:p>
    <w:p w14:paraId="1F941ED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Oelker Jürgen, Germany</w:t>
      </w:r>
    </w:p>
    <w:p w14:paraId="106FE6B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Overlack Axel, Germany</w:t>
      </w:r>
    </w:p>
    <w:p w14:paraId="2FF2AE5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Peldschus Meike, Germany</w:t>
      </w:r>
    </w:p>
    <w:p w14:paraId="0C16C10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Pfeuffer Hans-Peter, Germany</w:t>
      </w:r>
    </w:p>
    <w:p w14:paraId="5FF814B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Piechatzek Richard, Germany</w:t>
      </w:r>
    </w:p>
    <w:p w14:paraId="4B3E9A6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Pitule Hannelore, Germany</w:t>
      </w:r>
    </w:p>
    <w:p w14:paraId="3BB61B9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Plaßmann Georg, Germany</w:t>
      </w:r>
    </w:p>
    <w:p w14:paraId="544C3B5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Polke Klaus, Germany</w:t>
      </w:r>
    </w:p>
    <w:p w14:paraId="0B8DD5F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Rau Thorsten, Germany</w:t>
      </w:r>
    </w:p>
    <w:p w14:paraId="5B556E1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Redlich Ronald, Germany</w:t>
      </w:r>
    </w:p>
    <w:p w14:paraId="776E607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Riegel Antje, Germany</w:t>
      </w:r>
    </w:p>
    <w:p w14:paraId="6078BBA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Safavi Katayoon, Germany</w:t>
      </w:r>
    </w:p>
    <w:p w14:paraId="12C4F06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Sauer Rüdiger, Germany</w:t>
      </w:r>
    </w:p>
    <w:p w14:paraId="28488D3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Schaper Lennart, Germany</w:t>
      </w:r>
    </w:p>
    <w:p w14:paraId="025E6E5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Schaper Martin, Germany</w:t>
      </w:r>
    </w:p>
    <w:p w14:paraId="7BBBE70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Scheer Mathias, Germany</w:t>
      </w:r>
    </w:p>
    <w:p w14:paraId="729A04A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Schenkenberger Isabelle, Germany</w:t>
      </w:r>
    </w:p>
    <w:p w14:paraId="19B2669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Schiffer Clemens, Germany</w:t>
      </w:r>
    </w:p>
    <w:p w14:paraId="6C16B7E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Schilder Cordula, Germany</w:t>
      </w:r>
    </w:p>
    <w:p w14:paraId="3E99D4D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Schlegel Volker, Germany</w:t>
      </w:r>
    </w:p>
    <w:p w14:paraId="2E87E1C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Schlenska Christian, Germany</w:t>
      </w:r>
    </w:p>
    <w:p w14:paraId="2DEC56D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Schmidt Anne-Kathrin, Germany</w:t>
      </w:r>
    </w:p>
    <w:p w14:paraId="5ECB887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Schmidtmann Sören, Germany</w:t>
      </w:r>
    </w:p>
    <w:p w14:paraId="413FE0D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Schmitt Harald, Germany</w:t>
      </w:r>
    </w:p>
    <w:p w14:paraId="4AA1E2F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Schneider Thomas, Germany</w:t>
      </w:r>
    </w:p>
    <w:p w14:paraId="3F8BDF9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Schuermann Wolfgang, Germany</w:t>
      </w:r>
    </w:p>
    <w:p w14:paraId="740C710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Schulz Martin, Germany</w:t>
      </w:r>
    </w:p>
    <w:p w14:paraId="1C57F71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Schulze Jörg, Germany</w:t>
      </w:r>
    </w:p>
    <w:p w14:paraId="75AF5BB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Schwab Tatjana, Germany</w:t>
      </w:r>
    </w:p>
    <w:p w14:paraId="635E48F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Sebert Michael, Germany</w:t>
      </w:r>
    </w:p>
    <w:p w14:paraId="3321B1F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Seese Bernd, Germany</w:t>
      </w:r>
    </w:p>
    <w:p w14:paraId="2EB4940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Seiz Volker, Germany</w:t>
      </w:r>
    </w:p>
    <w:p w14:paraId="60A0188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Sommer Claudia, Germany</w:t>
      </w:r>
    </w:p>
    <w:p w14:paraId="78D9C52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Sommerwerck Urte, Germany</w:t>
      </w:r>
    </w:p>
    <w:p w14:paraId="556DB91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Sorichter Stephan, Germany</w:t>
      </w:r>
    </w:p>
    <w:p w14:paraId="6D62A9A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Spengler Kai-Peter, Germany</w:t>
      </w:r>
    </w:p>
    <w:p w14:paraId="7D1366F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Sperling Karsten, Germany</w:t>
      </w:r>
    </w:p>
    <w:p w14:paraId="6C63443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Spreda Frank, Germany</w:t>
      </w:r>
    </w:p>
    <w:p w14:paraId="373DBEE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Steffen Heiner, Germany</w:t>
      </w:r>
    </w:p>
    <w:p w14:paraId="56D0E58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Steinebach Inga, Germany</w:t>
      </w:r>
    </w:p>
    <w:p w14:paraId="270153F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Steinhauser Ulrich, Germany</w:t>
      </w:r>
    </w:p>
    <w:p w14:paraId="78FE025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Stolpe Christoph, Germany</w:t>
      </w:r>
    </w:p>
    <w:p w14:paraId="43ADA45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Sudhoff Harald, Germany</w:t>
      </w:r>
    </w:p>
    <w:p w14:paraId="77878A4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Sutor Gerd-Christian, Germany</w:t>
      </w:r>
    </w:p>
    <w:p w14:paraId="25D0C7B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Taraben Abdo, Germany</w:t>
      </w:r>
    </w:p>
    <w:p w14:paraId="558AB67C" w14:textId="627856D5"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Trauth Herrmann A, Germany</w:t>
      </w:r>
    </w:p>
    <w:p w14:paraId="4587885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Tyler Kerstin, Germany</w:t>
      </w:r>
    </w:p>
    <w:p w14:paraId="7B855A0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Uebel Peter, Germany</w:t>
      </w:r>
    </w:p>
    <w:p w14:paraId="45DB86C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Uerscheln Johannes, Germany</w:t>
      </w:r>
    </w:p>
    <w:p w14:paraId="11CE37A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Ulmer Joachim, Germany</w:t>
      </w:r>
    </w:p>
    <w:p w14:paraId="2F3A578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Ulrich Thomas, Germany</w:t>
      </w:r>
    </w:p>
    <w:p w14:paraId="6C3C25D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van Bodegom Peter, Germany</w:t>
      </w:r>
    </w:p>
    <w:p w14:paraId="5A8570F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Venske Wolf-Uwe, Germany</w:t>
      </w:r>
    </w:p>
    <w:p w14:paraId="4C4C94B8" w14:textId="3DA81C9E"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lang w:val="de-DE"/>
        </w:rPr>
      </w:pPr>
      <w:r w:rsidRPr="00D94365">
        <w:rPr>
          <w:rFonts w:ascii="Arial" w:hAnsi="Arial" w:cs="Arial"/>
          <w:sz w:val="16"/>
          <w:lang w:val="de-DE"/>
        </w:rPr>
        <w:t>Versen von Lutz-H</w:t>
      </w:r>
      <w:r w:rsidRPr="00D94365">
        <w:rPr>
          <w:rFonts w:ascii="Arial" w:hAnsi="Arial" w:cs="Arial"/>
          <w:sz w:val="16"/>
          <w:szCs w:val="16"/>
          <w:lang w:val="de-DE"/>
        </w:rPr>
        <w:t>,</w:t>
      </w:r>
      <w:r w:rsidRPr="00D94365">
        <w:rPr>
          <w:rFonts w:ascii="Arial" w:hAnsi="Arial" w:cs="Arial"/>
          <w:sz w:val="16"/>
          <w:lang w:val="de-DE"/>
        </w:rPr>
        <w:t xml:space="preserve"> Germany</w:t>
      </w:r>
    </w:p>
    <w:p w14:paraId="30F2258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Vismane Liana, Germany</w:t>
      </w:r>
    </w:p>
    <w:p w14:paraId="54962E8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von Engelhardt Charlotte, Germany</w:t>
      </w:r>
    </w:p>
    <w:p w14:paraId="2083579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Voss-Dirks Hans-Peter, Germany</w:t>
      </w:r>
    </w:p>
    <w:p w14:paraId="69C338C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Wagner Norbert, Germany</w:t>
      </w:r>
    </w:p>
    <w:p w14:paraId="01671C9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Wallenfang Gero, Germany</w:t>
      </w:r>
    </w:p>
    <w:p w14:paraId="6BC099F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Waltert Mathias, Germany</w:t>
      </w:r>
    </w:p>
    <w:p w14:paraId="56DF225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Wartner Bernhardt, Germany</w:t>
      </w:r>
    </w:p>
    <w:p w14:paraId="493492C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Wehgartner-Winkler Sabina, Germany</w:t>
      </w:r>
    </w:p>
    <w:p w14:paraId="00EEF6B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Weimer Joachim, Germany</w:t>
      </w:r>
    </w:p>
    <w:p w14:paraId="6A7AB27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Welss Christof, Germany</w:t>
      </w:r>
    </w:p>
    <w:p w14:paraId="001CD0E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Wende Wolfgang, Germany</w:t>
      </w:r>
    </w:p>
    <w:p w14:paraId="6C87EFA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Wiedeking Burkhard, Germany</w:t>
      </w:r>
    </w:p>
    <w:p w14:paraId="3601FEE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Wiemer Silke, Germany</w:t>
      </w:r>
    </w:p>
    <w:p w14:paraId="059C204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Winkels Frank, Germany</w:t>
      </w:r>
    </w:p>
    <w:p w14:paraId="518E5CF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Winkler Joerg, Germany</w:t>
      </w:r>
    </w:p>
    <w:p w14:paraId="5D924E0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Wößner Rolf, Germany</w:t>
      </w:r>
    </w:p>
    <w:p w14:paraId="50C7F62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Wustmann Thomas, Germany</w:t>
      </w:r>
    </w:p>
    <w:p w14:paraId="223BE67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Wuttke Wanda, Germany</w:t>
      </w:r>
    </w:p>
    <w:p w14:paraId="6F04BC4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Zeisler Karl-Heinz, Germany</w:t>
      </w:r>
    </w:p>
    <w:p w14:paraId="23B76B8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Ziebuhr Susanne, Germany</w:t>
      </w:r>
    </w:p>
    <w:p w14:paraId="4EA4C00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Zingler Wolfram, Germany</w:t>
      </w:r>
    </w:p>
    <w:p w14:paraId="2167D04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Antoniadis Antonis, Greece</w:t>
      </w:r>
    </w:p>
    <w:p w14:paraId="26ADA6F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Katsoulis Konstantinos, Greece</w:t>
      </w:r>
    </w:p>
    <w:p w14:paraId="6EEBC2B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Toumbis Michail, Greece</w:t>
      </w:r>
    </w:p>
    <w:p w14:paraId="65992CD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Bálint Beatrix, Hungary</w:t>
      </w:r>
    </w:p>
    <w:p w14:paraId="405ADA0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Bánvölgyi Aranka, Hungary</w:t>
      </w:r>
    </w:p>
    <w:p w14:paraId="786BEE4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Böcskei Csaba, Hungary</w:t>
      </w:r>
    </w:p>
    <w:p w14:paraId="5FA1E80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Csilla Szabó, Hungary</w:t>
      </w:r>
    </w:p>
    <w:p w14:paraId="614FF9B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Czompó Márta, Hungary</w:t>
      </w:r>
    </w:p>
    <w:p w14:paraId="542C984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Fabian Mariann, Hungary</w:t>
      </w:r>
    </w:p>
    <w:p w14:paraId="4DDAED1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Kerenyi Ildiko, Hungary</w:t>
      </w:r>
    </w:p>
    <w:p w14:paraId="62C5F9D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Márk Zsuzsanna, Hungary</w:t>
      </w:r>
    </w:p>
    <w:p w14:paraId="600DDA2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Papp Márta, Hungary</w:t>
      </w:r>
    </w:p>
    <w:p w14:paraId="0E772DD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Radeczky Éva, Hungary</w:t>
      </w:r>
    </w:p>
    <w:p w14:paraId="0D25530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Rajkay Katalin, Hungary</w:t>
      </w:r>
    </w:p>
    <w:p w14:paraId="6BEE7AB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Sarosi Veronika, Hungary</w:t>
      </w:r>
    </w:p>
    <w:p w14:paraId="36E7D75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Schlezák Judit, Hungary</w:t>
      </w:r>
    </w:p>
    <w:p w14:paraId="773DECD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Szolnoki Erzsébet, Hungary</w:t>
      </w:r>
    </w:p>
    <w:p w14:paraId="1DB4D19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Casserly Brian, Ireland</w:t>
      </w:r>
    </w:p>
    <w:p w14:paraId="3CD8AE7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Fahy Ruairi, Ireland</w:t>
      </w:r>
    </w:p>
    <w:p w14:paraId="5FAA290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O'Callaghan Dermot, Ireland</w:t>
      </w:r>
    </w:p>
    <w:p w14:paraId="1DF4DFE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Adinolfi Luigi Elio, Italy</w:t>
      </w:r>
    </w:p>
    <w:p w14:paraId="563EDCD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Albergati Michele, Italy</w:t>
      </w:r>
    </w:p>
    <w:p w14:paraId="44AAECD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Ballarin Andrea, Italy</w:t>
      </w:r>
    </w:p>
    <w:p w14:paraId="6C4D9C1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Balzano Gianni, Italy</w:t>
      </w:r>
    </w:p>
    <w:p w14:paraId="78694AC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Barbagallo Mario, Italy</w:t>
      </w:r>
    </w:p>
    <w:p w14:paraId="7A67D32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Bellofiore Salvatore, Italy</w:t>
      </w:r>
    </w:p>
    <w:p w14:paraId="7C1D0F1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Berra Daniele, Italy</w:t>
      </w:r>
    </w:p>
    <w:p w14:paraId="01D8793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Bertocco Elisabetta, Italy</w:t>
      </w:r>
    </w:p>
    <w:p w14:paraId="68AEEBB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Bianco Andrea, Italy</w:t>
      </w:r>
    </w:p>
    <w:p w14:paraId="19951F2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Cardaci Vittorio, Italy</w:t>
      </w:r>
    </w:p>
    <w:p w14:paraId="08D7EB1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Catapano Giosuè Angelo, Italy</w:t>
      </w:r>
    </w:p>
    <w:p w14:paraId="5E628A6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Cerini Giuseppe, Italy</w:t>
      </w:r>
    </w:p>
    <w:p w14:paraId="0563677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Ciccarelli Michele, Italy</w:t>
      </w:r>
    </w:p>
    <w:p w14:paraId="5185B50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Corbi Graziamaria, Italy</w:t>
      </w:r>
    </w:p>
    <w:p w14:paraId="117E6AC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Corrao Salvatore, Italy</w:t>
      </w:r>
    </w:p>
    <w:p w14:paraId="39D2B4E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Cosimo Franco, Italy</w:t>
      </w:r>
    </w:p>
    <w:p w14:paraId="6372B14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Fedele Francesco, Italy</w:t>
      </w:r>
    </w:p>
    <w:p w14:paraId="42079C7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lastRenderedPageBreak/>
        <w:t>Fiorentino Giuseppe, Italy</w:t>
      </w:r>
    </w:p>
    <w:p w14:paraId="390ACA3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Gibellino Maria Francesca, Italy</w:t>
      </w:r>
    </w:p>
    <w:p w14:paraId="6DFB736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Giorgio Vincenza, Italy</w:t>
      </w:r>
    </w:p>
    <w:p w14:paraId="6287C3D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Gulotta Carlo, Italy</w:t>
      </w:r>
    </w:p>
    <w:p w14:paraId="0D71AFA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Idotta Giuseppe, Italy</w:t>
      </w:r>
    </w:p>
    <w:p w14:paraId="5D6C869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Launaro Nicola, Italy</w:t>
      </w:r>
    </w:p>
    <w:p w14:paraId="277512E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Lazzari Agli Luigi Arcangelo, Italy</w:t>
      </w:r>
    </w:p>
    <w:p w14:paraId="5163B21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Mariotta Salvatore, Italy</w:t>
      </w:r>
    </w:p>
    <w:p w14:paraId="78B2F0D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Martucci Michele, Italy</w:t>
      </w:r>
    </w:p>
    <w:p w14:paraId="03CE70E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Mastroberardino Michele, Italy</w:t>
      </w:r>
    </w:p>
    <w:p w14:paraId="21CF01A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Mazza Francesco, Italy</w:t>
      </w:r>
    </w:p>
    <w:p w14:paraId="1D7F171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Mirabella Saverio, Italy</w:t>
      </w:r>
    </w:p>
    <w:p w14:paraId="2FA4D83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Monni Maria Cristina, Italy</w:t>
      </w:r>
    </w:p>
    <w:p w14:paraId="6208A00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Morlino Paride, Italy</w:t>
      </w:r>
    </w:p>
    <w:p w14:paraId="7FF0471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Nardini Stefano, Italy</w:t>
      </w:r>
    </w:p>
    <w:p w14:paraId="3FE53F8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Negrin Rolando, Italy</w:t>
      </w:r>
    </w:p>
    <w:p w14:paraId="58C34B8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Ortu Riccardo, Italy</w:t>
      </w:r>
    </w:p>
    <w:p w14:paraId="57345A7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Papale Maria, Italy</w:t>
      </w:r>
    </w:p>
    <w:p w14:paraId="0E7EA54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Papalia Antonella, Italy</w:t>
      </w:r>
    </w:p>
    <w:p w14:paraId="2B98454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Pesci Alberto, Italy</w:t>
      </w:r>
    </w:p>
    <w:p w14:paraId="0BA77C0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Picca Vito, Italy</w:t>
      </w:r>
    </w:p>
    <w:p w14:paraId="334D14D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Pirina Pietro, Italy</w:t>
      </w:r>
    </w:p>
    <w:p w14:paraId="2F2489B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Pistelli Francesco, Italy</w:t>
      </w:r>
    </w:p>
    <w:p w14:paraId="27C3172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Pistolesi Massimo, Italy</w:t>
      </w:r>
    </w:p>
    <w:p w14:paraId="025B1FF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Poletti Venerino, Italy</w:t>
      </w:r>
    </w:p>
    <w:p w14:paraId="7CE4F09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Resta Onofrio, Italy</w:t>
      </w:r>
    </w:p>
    <w:p w14:paraId="75EE7F6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Rottoli Paola, Italy</w:t>
      </w:r>
    </w:p>
    <w:p w14:paraId="5999E21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Sabato Eugenio, Italy</w:t>
      </w:r>
    </w:p>
    <w:p w14:paraId="7F83603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Sanduzzi Zampelli Alessandro, Italy</w:t>
      </w:r>
    </w:p>
    <w:p w14:paraId="6E0E682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Sarzani Riccardo, Italy</w:t>
      </w:r>
    </w:p>
    <w:p w14:paraId="39BF9D0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Scarantino Pasquale, Italy</w:t>
      </w:r>
    </w:p>
    <w:p w14:paraId="06F7FA2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Schillaci Giuseppe, Italy</w:t>
      </w:r>
    </w:p>
    <w:p w14:paraId="724541A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Sciarabba Catalano Giuseppe</w:t>
      </w:r>
    </w:p>
    <w:p w14:paraId="65F46B1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Filippo, Italy</w:t>
      </w:r>
    </w:p>
    <w:p w14:paraId="6CBC95C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Simonassi Claudio, Italy</w:t>
      </w:r>
    </w:p>
    <w:p w14:paraId="19CB30B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Squillante Francesco, Italy</w:t>
      </w:r>
    </w:p>
    <w:p w14:paraId="2318972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Tantucci Claudio, Italy</w:t>
      </w:r>
    </w:p>
    <w:p w14:paraId="016B6F4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Tazza Roberto, Italy</w:t>
      </w:r>
    </w:p>
    <w:p w14:paraId="11982AB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Torlasco Maurizio, Italy</w:t>
      </w:r>
    </w:p>
    <w:p w14:paraId="15AC86D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Torrini Alessandro, Italy</w:t>
      </w:r>
    </w:p>
    <w:p w14:paraId="16BE37A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Trevisan Fiorenza, Italy</w:t>
      </w:r>
    </w:p>
    <w:p w14:paraId="1A6979F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Tursi Francesco, Italy</w:t>
      </w:r>
    </w:p>
    <w:p w14:paraId="5B79B43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Vincenti Rigoletta, Italy</w:t>
      </w:r>
    </w:p>
    <w:p w14:paraId="6703873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Vincenzi Umberto, Italy</w:t>
      </w:r>
    </w:p>
    <w:p w14:paraId="0D68553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Zambotto Franco Maria, Italy</w:t>
      </w:r>
    </w:p>
    <w:p w14:paraId="7699732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Zamprogna Claudio, Italy</w:t>
      </w:r>
    </w:p>
    <w:p w14:paraId="77E348A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Aurika Babjoniseva, Latvia</w:t>
      </w:r>
    </w:p>
    <w:p w14:paraId="656806F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Kroica Iveta, Latvia</w:t>
      </w:r>
    </w:p>
    <w:p w14:paraId="62DFFDC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Lilita Mitrofanova, Latvia</w:t>
      </w:r>
    </w:p>
    <w:p w14:paraId="4617C98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Natalija Visocka, Latvia</w:t>
      </w:r>
    </w:p>
    <w:p w14:paraId="199A50A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Puzule Sarmite, Latvia</w:t>
      </w:r>
    </w:p>
    <w:p w14:paraId="5013E02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Reinholde Ilze, Latvia</w:t>
      </w:r>
    </w:p>
    <w:p w14:paraId="258AB30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Vikmane Inga, Latvia</w:t>
      </w:r>
    </w:p>
    <w:p w14:paraId="5501CC6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Davoliene Inga, Lithuania</w:t>
      </w:r>
    </w:p>
    <w:p w14:paraId="410AAD1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Griskeviciene Violeta, Lithuania</w:t>
      </w:r>
    </w:p>
    <w:p w14:paraId="519EE48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Kiziela Arturas, Lithuania</w:t>
      </w:r>
    </w:p>
    <w:p w14:paraId="57B2107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Matukiene Violeta, Lithuania</w:t>
      </w:r>
    </w:p>
    <w:p w14:paraId="652DB37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Sakalauskas Raimundas, Lithuania</w:t>
      </w:r>
    </w:p>
    <w:p w14:paraId="254BA69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Vaicius Dalius, Lithuania</w:t>
      </w:r>
    </w:p>
    <w:p w14:paraId="6242C31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Vaitkiene Nijole, Lithuania</w:t>
      </w:r>
    </w:p>
    <w:p w14:paraId="3642900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Vebriene Jolita, Lithuania</w:t>
      </w:r>
    </w:p>
    <w:p w14:paraId="329C84D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Volosevic Teresa, Lithuania</w:t>
      </w:r>
    </w:p>
    <w:p w14:paraId="39A0B7D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Båtevik Roy, Norway</w:t>
      </w:r>
    </w:p>
    <w:p w14:paraId="65BAAD5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Holmberg Casper, Norway</w:t>
      </w:r>
    </w:p>
    <w:p w14:paraId="4598DFD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Høynes Kristian, Norway</w:t>
      </w:r>
    </w:p>
    <w:p w14:paraId="14CEF60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Karlsson Thomas, Norway</w:t>
      </w:r>
    </w:p>
    <w:p w14:paraId="62C1E8C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Khorshidi Hossein, Norway</w:t>
      </w:r>
    </w:p>
    <w:p w14:paraId="440BD98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Khusrawi Alamdar, Norway</w:t>
      </w:r>
    </w:p>
    <w:p w14:paraId="15A51BF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Norheim Paal, Norway</w:t>
      </w:r>
    </w:p>
    <w:p w14:paraId="7A2D7E6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Risberg Knut, Norway</w:t>
      </w:r>
    </w:p>
    <w:p w14:paraId="3E56584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Solnør Leidulv, Norway</w:t>
      </w:r>
    </w:p>
    <w:p w14:paraId="1185A48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Asankowicz-Bargiel Beata, Poland</w:t>
      </w:r>
    </w:p>
    <w:p w14:paraId="4F06089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Chorostowska-Wynimko Joanna, Poland</w:t>
      </w:r>
    </w:p>
    <w:p w14:paraId="358372A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Dąbrowiecki Piotr, Poland</w:t>
      </w:r>
    </w:p>
    <w:p w14:paraId="0ED136B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Mróz Robert, Poland</w:t>
      </w:r>
    </w:p>
    <w:p w14:paraId="0B2C2AF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Napora Piotr, Poland</w:t>
      </w:r>
    </w:p>
    <w:p w14:paraId="38786F6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Olechnowicz Dariusz, Poland</w:t>
      </w:r>
    </w:p>
    <w:p w14:paraId="7F5705C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Pulka Grażyna, Poland</w:t>
      </w:r>
    </w:p>
    <w:p w14:paraId="4884AB8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Waszkuć-Golonko Joanna, Poland</w:t>
      </w:r>
    </w:p>
    <w:p w14:paraId="24B65CE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Andre Sandra, Portugal</w:t>
      </w:r>
    </w:p>
    <w:p w14:paraId="0316B62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Cardoso Joao, Portugal</w:t>
      </w:r>
    </w:p>
    <w:p w14:paraId="1955C9E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Catarina Guimarães, Portugal</w:t>
      </w:r>
    </w:p>
    <w:p w14:paraId="0B2FB2C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Drummond Marta, Portugal</w:t>
      </w:r>
    </w:p>
    <w:p w14:paraId="3FEA89E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Ferreira Fernando, Portugal</w:t>
      </w:r>
    </w:p>
    <w:p w14:paraId="23B96EA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Gilberto Teixeira, Portugal</w:t>
      </w:r>
    </w:p>
    <w:p w14:paraId="1BD71A0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Paula Rosa, Portugal</w:t>
      </w:r>
    </w:p>
    <w:p w14:paraId="260DF66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Pires Nuno, Portugal</w:t>
      </w:r>
    </w:p>
    <w:p w14:paraId="00B1A27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Rodrigues Cidalia, Portugal</w:t>
      </w:r>
    </w:p>
    <w:p w14:paraId="39B142D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Berlea Lavinia, Romania</w:t>
      </w:r>
    </w:p>
    <w:p w14:paraId="605DBC4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Macesanu Simona, Romania</w:t>
      </w:r>
    </w:p>
    <w:p w14:paraId="070D898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Mincu Viorica, Romania</w:t>
      </w:r>
    </w:p>
    <w:p w14:paraId="2D61B25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Montia Tatiana, Romania</w:t>
      </w:r>
    </w:p>
    <w:p w14:paraId="1802C90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Savu Angelica, Romania</w:t>
      </w:r>
    </w:p>
    <w:p w14:paraId="3DE8130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Tofolean Doina, Romania</w:t>
      </w:r>
    </w:p>
    <w:p w14:paraId="0B2FA1F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Trailescu Ana Maria, Romania</w:t>
      </w:r>
    </w:p>
    <w:p w14:paraId="3D64EB6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Ungureanu Dragos, Romania</w:t>
      </w:r>
    </w:p>
    <w:p w14:paraId="63A6A4A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Abrosimov Vladimir, Russia</w:t>
      </w:r>
    </w:p>
    <w:p w14:paraId="0B069DC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Astafieva Natalia, Russia</w:t>
      </w:r>
    </w:p>
    <w:p w14:paraId="17DF238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Barbarash Olga, Russia</w:t>
      </w:r>
    </w:p>
    <w:p w14:paraId="6663864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Gantseva Khalida, Russia</w:t>
      </w:r>
    </w:p>
    <w:p w14:paraId="13242D0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Ignatova Galina, Russia</w:t>
      </w:r>
    </w:p>
    <w:p w14:paraId="6DDF9B4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Ilkovich Mikhail, Russia</w:t>
      </w:r>
    </w:p>
    <w:p w14:paraId="36553F7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Irina Irkhina, Russia</w:t>
      </w:r>
    </w:p>
    <w:p w14:paraId="7F71CE4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Nosov Vladimir, Russia</w:t>
      </w:r>
    </w:p>
    <w:p w14:paraId="4C02EC7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Ovcharenko Svetlana, Russia</w:t>
      </w:r>
    </w:p>
    <w:p w14:paraId="273611C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Palyutin Shamil, Russia</w:t>
      </w:r>
    </w:p>
    <w:p w14:paraId="6053FD5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Punin Alexandr, Russia</w:t>
      </w:r>
    </w:p>
    <w:p w14:paraId="112BDA5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Shaporova Natalia, Russia</w:t>
      </w:r>
    </w:p>
    <w:p w14:paraId="5A63F14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Sinopalnikov Alexander, Russia</w:t>
      </w:r>
    </w:p>
    <w:p w14:paraId="472B268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Starovoitova Elena, Russia</w:t>
      </w:r>
    </w:p>
    <w:p w14:paraId="5D72C43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Trofimov Vasilii, Russia</w:t>
      </w:r>
    </w:p>
    <w:p w14:paraId="16DD64E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Vizel Alexander, Russia</w:t>
      </w:r>
    </w:p>
    <w:p w14:paraId="4674578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Zagidullin Shamil, Russia</w:t>
      </w:r>
    </w:p>
    <w:p w14:paraId="784F4BB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Babčáková Emília, Slovakia</w:t>
      </w:r>
    </w:p>
    <w:p w14:paraId="151935C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Frajtová Ľuboslava, Slovakia</w:t>
      </w:r>
    </w:p>
    <w:p w14:paraId="0330DC0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Gremeň Ľudovít, Slovakia</w:t>
      </w:r>
    </w:p>
    <w:p w14:paraId="0476A08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Horváthová Helena, Slovakia</w:t>
      </w:r>
    </w:p>
    <w:p w14:paraId="55F8878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Karakó Pavol, Slovakia</w:t>
      </w:r>
    </w:p>
    <w:p w14:paraId="3A73160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Kavková Denisa, Slovakia</w:t>
      </w:r>
    </w:p>
    <w:p w14:paraId="6C20E19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Kováčiková Lucia, Slovakia</w:t>
      </w:r>
    </w:p>
    <w:p w14:paraId="447BFA0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Kubíková Yveta, Slovakia</w:t>
      </w:r>
    </w:p>
    <w:p w14:paraId="6334E9F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Leščišinová Helena, Slovakia</w:t>
      </w:r>
    </w:p>
    <w:p w14:paraId="7FFF89E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Letonja Saša, Slovenia</w:t>
      </w:r>
    </w:p>
    <w:p w14:paraId="095979F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Lopert Anton, Slovenia</w:t>
      </w:r>
    </w:p>
    <w:p w14:paraId="48A8007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Michaličková Miriam, Slovakia</w:t>
      </w:r>
    </w:p>
    <w:p w14:paraId="7026E75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Plutinský Ján, Slovakia</w:t>
      </w:r>
    </w:p>
    <w:p w14:paraId="1F85D61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Šofranko Martin, Slovakia</w:t>
      </w:r>
    </w:p>
    <w:p w14:paraId="6C72EFF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Szárazová Monika, Slovakia</w:t>
      </w:r>
    </w:p>
    <w:p w14:paraId="106CDF1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Žáčik Miroslav, Slovakia</w:t>
      </w:r>
    </w:p>
    <w:p w14:paraId="3BB7B26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Klobučar Albert, Slovenia</w:t>
      </w:r>
    </w:p>
    <w:p w14:paraId="1143D79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Košnik Mitja, Slovenia</w:t>
      </w:r>
    </w:p>
    <w:p w14:paraId="72B34C5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Alvarez Carlos Jose, Spain</w:t>
      </w:r>
    </w:p>
    <w:p w14:paraId="6385A40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Álvarez Carmen, Spain</w:t>
      </w:r>
    </w:p>
    <w:p w14:paraId="18F2F11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Arzua Delfín, Spain</w:t>
      </w:r>
    </w:p>
    <w:p w14:paraId="3B17066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Barrueco Miguel, Spain</w:t>
      </w:r>
    </w:p>
    <w:p w14:paraId="7D5E30A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Cebrian Jose Joaquin, Spain</w:t>
      </w:r>
    </w:p>
    <w:p w14:paraId="217C70B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Fernández Estrella, Spain</w:t>
      </w:r>
    </w:p>
    <w:p w14:paraId="3DFC3F3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Garcia Jose Ignacio, Spain</w:t>
      </w:r>
    </w:p>
    <w:p w14:paraId="1111358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García José Manuel, Spain</w:t>
      </w:r>
    </w:p>
    <w:p w14:paraId="5C3F907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Garcia-Salmones Mercedes, Spain</w:t>
      </w:r>
    </w:p>
    <w:p w14:paraId="0D966BA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Herrejón Alberto, Spain</w:t>
      </w:r>
    </w:p>
    <w:p w14:paraId="5EAC4BD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Jurado Bernabe, Spain</w:t>
      </w:r>
    </w:p>
    <w:p w14:paraId="12E5779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Lores Luis, Spain</w:t>
      </w:r>
    </w:p>
    <w:p w14:paraId="08293CC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Marin Alizia, Spain</w:t>
      </w:r>
    </w:p>
    <w:p w14:paraId="310CD01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Mateos Caballero Luis, Spain</w:t>
      </w:r>
    </w:p>
    <w:p w14:paraId="5397041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Mayoralas Sagrario, Spain</w:t>
      </w:r>
    </w:p>
    <w:p w14:paraId="638530C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Melchor Rosario, Spain</w:t>
      </w:r>
    </w:p>
    <w:p w14:paraId="07AE6D7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Mir Isabel, Spain</w:t>
      </w:r>
    </w:p>
    <w:p w14:paraId="49AA0FC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Monsó Molas Eduard, Spain</w:t>
      </w:r>
    </w:p>
    <w:p w14:paraId="1C2CED5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Montoliu Rosa, Spain</w:t>
      </w:r>
    </w:p>
    <w:p w14:paraId="0299C91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Naval Sendra Elsa, Spain</w:t>
      </w:r>
    </w:p>
    <w:p w14:paraId="60C56BA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Ordoñez Xavier, Spain</w:t>
      </w:r>
    </w:p>
    <w:p w14:paraId="10C0954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Otriz de Saracho Juan, Spain</w:t>
      </w:r>
    </w:p>
    <w:p w14:paraId="472BB5E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Palop Marta, Spain</w:t>
      </w:r>
    </w:p>
    <w:p w14:paraId="72EF764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Riesco Miranda Juan Antonio, Spain</w:t>
      </w:r>
    </w:p>
    <w:p w14:paraId="679A581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Roca Josep, Spain</w:t>
      </w:r>
    </w:p>
    <w:p w14:paraId="273153D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Rodriguez Álvarez Mar, Spain</w:t>
      </w:r>
    </w:p>
    <w:p w14:paraId="2A69A2B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Rodriguez Esther, Spain</w:t>
      </w:r>
    </w:p>
    <w:p w14:paraId="319410E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Roig Francisco José, Spain</w:t>
      </w:r>
    </w:p>
    <w:p w14:paraId="1858961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Romero Antonio, Spain</w:t>
      </w:r>
    </w:p>
    <w:p w14:paraId="198341C8"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Sala Ernest, Spain</w:t>
      </w:r>
    </w:p>
    <w:p w14:paraId="5B7F636E"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Sánchez Toril Fernando, Spain</w:t>
      </w:r>
    </w:p>
    <w:p w14:paraId="411661A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Serra Batles Joan, Spain</w:t>
      </w:r>
    </w:p>
    <w:p w14:paraId="12AC423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Sevilla Ignacio, Spain</w:t>
      </w:r>
    </w:p>
    <w:p w14:paraId="7574306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Solanas Prats José Vicente, Spain</w:t>
      </w:r>
    </w:p>
    <w:p w14:paraId="0572FBF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Terns Manel, Spain</w:t>
      </w:r>
    </w:p>
    <w:p w14:paraId="27395DC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Tolosana José María, Spain</w:t>
      </w:r>
    </w:p>
    <w:p w14:paraId="5ED0028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Toran Montserrat Pere, Spain</w:t>
      </w:r>
    </w:p>
    <w:p w14:paraId="6CFD96F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Velasco Garrido José Luis, Spain</w:t>
      </w:r>
    </w:p>
    <w:p w14:paraId="5796264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Bleckert Jan, Sweden</w:t>
      </w:r>
    </w:p>
    <w:p w14:paraId="364643E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Curiac Dan, Sweden</w:t>
      </w:r>
    </w:p>
    <w:p w14:paraId="40A71EC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Gillblad Anders, Sweden</w:t>
      </w:r>
    </w:p>
    <w:p w14:paraId="665389E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Jaedig Steen, Sweden</w:t>
      </w:r>
    </w:p>
    <w:p w14:paraId="2DDF7C0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Leonardsson-Hellgren Margareta, Sweden</w:t>
      </w:r>
    </w:p>
    <w:p w14:paraId="71A5E91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lastRenderedPageBreak/>
        <w:t>Luts Anders, Sweden</w:t>
      </w:r>
    </w:p>
    <w:p w14:paraId="04EBFB5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Nilsson Anna, Sweden</w:t>
      </w:r>
    </w:p>
    <w:p w14:paraId="6C14EB8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Nilsson Folke, Sweden</w:t>
      </w:r>
    </w:p>
    <w:p w14:paraId="799C6E1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Romberg Kerstin, Sweden</w:t>
      </w:r>
    </w:p>
    <w:p w14:paraId="013920E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Sjöberg Folke, Sweden</w:t>
      </w:r>
    </w:p>
    <w:p w14:paraId="07AF498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Sloma Andrzej, Sweden</w:t>
      </w:r>
    </w:p>
    <w:p w14:paraId="6AA5A30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Adams Fran, UK</w:t>
      </w:r>
    </w:p>
    <w:p w14:paraId="6F6D2697"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Ainsworth Paul, UK</w:t>
      </w:r>
    </w:p>
    <w:p w14:paraId="496E509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Blagden Mark, UK</w:t>
      </w:r>
    </w:p>
    <w:p w14:paraId="281578C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Bodalia Bhavesh, UK</w:t>
      </w:r>
    </w:p>
    <w:p w14:paraId="5AC6792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Bundy Charlie, UK</w:t>
      </w:r>
    </w:p>
    <w:p w14:paraId="0B229C5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Cahill Tom, UK</w:t>
      </w:r>
    </w:p>
    <w:p w14:paraId="49D59BC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Clark Rebecca, UK</w:t>
      </w:r>
    </w:p>
    <w:p w14:paraId="22C56AF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Craze Andrew, UK</w:t>
      </w:r>
    </w:p>
    <w:p w14:paraId="0AA591D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Crouch Matthew, UK</w:t>
      </w:r>
    </w:p>
    <w:p w14:paraId="0CD8FEF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Davies Emyr, UK</w:t>
      </w:r>
    </w:p>
    <w:p w14:paraId="7BB8ED2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Dixon Peter, UK</w:t>
      </w:r>
    </w:p>
    <w:p w14:paraId="006E618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Durrant Gavin, UK</w:t>
      </w:r>
    </w:p>
    <w:p w14:paraId="259F939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Eavis Patrick, UK</w:t>
      </w:r>
    </w:p>
    <w:p w14:paraId="75ECE54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Feeroz Jaafar, UK</w:t>
      </w:r>
    </w:p>
    <w:p w14:paraId="1C241A8A"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Fuller Liz, UK</w:t>
      </w:r>
    </w:p>
    <w:p w14:paraId="301ADE40"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Fullerton Duncan, UK</w:t>
      </w:r>
    </w:p>
    <w:p w14:paraId="11CD06F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Haddy Caroline, UK</w:t>
      </w:r>
    </w:p>
    <w:p w14:paraId="01919AD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Hall Timothy, UK</w:t>
      </w:r>
    </w:p>
    <w:p w14:paraId="49EDBA7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Harrison Richard, UK</w:t>
      </w:r>
    </w:p>
    <w:p w14:paraId="40164B7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Heer Amardeep, UK</w:t>
      </w:r>
    </w:p>
    <w:p w14:paraId="3259949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Jackson Alan, UK</w:t>
      </w:r>
    </w:p>
    <w:p w14:paraId="31A6D4A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Jackson-Voyzey Ewart, UK</w:t>
      </w:r>
    </w:p>
    <w:p w14:paraId="6837E18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Jeffers Lesley, UK</w:t>
      </w:r>
    </w:p>
    <w:p w14:paraId="42D4DFD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Kenyon Susan, UK</w:t>
      </w:r>
    </w:p>
    <w:p w14:paraId="7B9C6AC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Kerrane Jerome, UK</w:t>
      </w:r>
    </w:p>
    <w:p w14:paraId="3ABA8561"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Konig Dirk, UK</w:t>
      </w:r>
    </w:p>
    <w:p w14:paraId="209BAF95"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Litchfield Jennifer, UK</w:t>
      </w:r>
    </w:p>
    <w:p w14:paraId="0FABBCB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Logie Brian, UK</w:t>
      </w:r>
    </w:p>
    <w:p w14:paraId="4A72E32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Martin Ross, UK</w:t>
      </w:r>
    </w:p>
    <w:p w14:paraId="348093D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McCaldin Michael, UK</w:t>
      </w:r>
    </w:p>
    <w:p w14:paraId="43B3E4E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McEleny Paul, UK</w:t>
      </w:r>
    </w:p>
    <w:p w14:paraId="6760AD22"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Moorcroft Alexander, UK</w:t>
      </w:r>
    </w:p>
    <w:p w14:paraId="02DED4EF"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Naseem Gill, UK</w:t>
      </w:r>
    </w:p>
    <w:p w14:paraId="399B97A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Pepperell Justin, UK</w:t>
      </w:r>
    </w:p>
    <w:p w14:paraId="2116092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Purohit Jaykumar, UK</w:t>
      </w:r>
    </w:p>
    <w:p w14:paraId="65694CE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Reed Rory, UK</w:t>
      </w:r>
    </w:p>
    <w:p w14:paraId="13B8BEF9"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Ryan John, UK</w:t>
      </w:r>
    </w:p>
    <w:p w14:paraId="318303A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Saralaya Dinesh, UK</w:t>
      </w:r>
    </w:p>
    <w:p w14:paraId="0A2F725D"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Sharma Rajiv, UK</w:t>
      </w:r>
    </w:p>
    <w:p w14:paraId="59430DB6"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Simpson David, UK</w:t>
      </w:r>
    </w:p>
    <w:p w14:paraId="7C71D43B"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Smith Andrew, UK</w:t>
      </w:r>
    </w:p>
    <w:p w14:paraId="35E7E8D3"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Symonds Rehan, UK</w:t>
      </w:r>
    </w:p>
    <w:p w14:paraId="1CDBB734"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Turner Wayne, UK</w:t>
      </w:r>
    </w:p>
    <w:p w14:paraId="3410037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Wakeling John, UK</w:t>
      </w:r>
    </w:p>
    <w:p w14:paraId="65626B5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Waldron Michael, UK</w:t>
      </w:r>
    </w:p>
    <w:p w14:paraId="0BBD94EC" w14:textId="77777777" w:rsidR="00F34DD2" w:rsidRPr="00D94365" w:rsidRDefault="00F34DD2" w:rsidP="00AB28A5">
      <w:pPr>
        <w:pStyle w:val="ListParagraph"/>
        <w:numPr>
          <w:ilvl w:val="0"/>
          <w:numId w:val="4"/>
        </w:numPr>
        <w:tabs>
          <w:tab w:val="left" w:pos="180"/>
          <w:tab w:val="left" w:pos="3750"/>
        </w:tabs>
        <w:ind w:left="360" w:right="60" w:hanging="180"/>
        <w:rPr>
          <w:rFonts w:ascii="Arial" w:hAnsi="Arial" w:cs="Arial"/>
          <w:sz w:val="16"/>
          <w:szCs w:val="16"/>
          <w:lang w:val="en-GB"/>
        </w:rPr>
      </w:pPr>
      <w:r w:rsidRPr="00D94365">
        <w:rPr>
          <w:rFonts w:ascii="Arial" w:hAnsi="Arial" w:cs="Arial"/>
          <w:sz w:val="16"/>
          <w:szCs w:val="16"/>
          <w:lang w:val="en-GB"/>
        </w:rPr>
        <w:t>Wright Anthony, UK</w:t>
      </w:r>
    </w:p>
    <w:p w14:paraId="0306D5D0" w14:textId="77777777" w:rsidR="00F34DD2" w:rsidRPr="00F20375" w:rsidRDefault="00F34DD2" w:rsidP="00AB28A5">
      <w:pPr>
        <w:tabs>
          <w:tab w:val="left" w:pos="3750"/>
        </w:tabs>
        <w:spacing w:after="0" w:line="240" w:lineRule="auto"/>
        <w:ind w:hanging="180"/>
        <w:rPr>
          <w:rFonts w:ascii="Arial" w:eastAsia="MS Mincho" w:hAnsi="Arial" w:cs="Arial"/>
          <w:sz w:val="16"/>
          <w:szCs w:val="16"/>
          <w:lang w:val="en-GB" w:eastAsia="zh-CN"/>
        </w:rPr>
      </w:pPr>
    </w:p>
    <w:p w14:paraId="38454941" w14:textId="77777777" w:rsidR="00E75732" w:rsidRPr="00D94365" w:rsidRDefault="00E75732" w:rsidP="00AB28A5">
      <w:pPr>
        <w:tabs>
          <w:tab w:val="left" w:pos="3750"/>
        </w:tabs>
        <w:ind w:hanging="180"/>
      </w:pPr>
    </w:p>
    <w:sectPr w:rsidR="00E75732" w:rsidRPr="00D94365" w:rsidSect="00AB28A5">
      <w:type w:val="continuous"/>
      <w:pgSz w:w="12240" w:h="15840"/>
      <w:pgMar w:top="1440" w:right="450" w:bottom="1440" w:left="540" w:header="720" w:footer="720" w:gutter="0"/>
      <w:cols w:num="3" w:space="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D84C2" w14:textId="77777777" w:rsidR="00901067" w:rsidRDefault="00901067">
      <w:pPr>
        <w:spacing w:after="0" w:line="240" w:lineRule="auto"/>
      </w:pPr>
      <w:r>
        <w:separator/>
      </w:r>
    </w:p>
  </w:endnote>
  <w:endnote w:type="continuationSeparator" w:id="0">
    <w:p w14:paraId="32DBD8B8" w14:textId="77777777" w:rsidR="00901067" w:rsidRDefault="00901067">
      <w:pPr>
        <w:spacing w:after="0" w:line="240" w:lineRule="auto"/>
      </w:pPr>
      <w:r>
        <w:continuationSeparator/>
      </w:r>
    </w:p>
  </w:endnote>
  <w:endnote w:type="continuationNotice" w:id="1">
    <w:p w14:paraId="5DED1F81" w14:textId="77777777" w:rsidR="00901067" w:rsidRDefault="00901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629064"/>
      <w:docPartObj>
        <w:docPartGallery w:val="Page Numbers (Bottom of Page)"/>
        <w:docPartUnique/>
      </w:docPartObj>
    </w:sdtPr>
    <w:sdtEndPr/>
    <w:sdtContent>
      <w:sdt>
        <w:sdtPr>
          <w:id w:val="-1769616900"/>
          <w:docPartObj>
            <w:docPartGallery w:val="Page Numbers (Top of Page)"/>
            <w:docPartUnique/>
          </w:docPartObj>
        </w:sdtPr>
        <w:sdtEndPr/>
        <w:sdtContent>
          <w:p w14:paraId="714B1BE9" w14:textId="77777777" w:rsidR="009913F7" w:rsidRDefault="009913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4CA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4CAD">
              <w:rPr>
                <w:b/>
                <w:bCs/>
                <w:noProof/>
              </w:rPr>
              <w:t>23</w:t>
            </w:r>
            <w:r>
              <w:rPr>
                <w:b/>
                <w:bCs/>
                <w:sz w:val="24"/>
                <w:szCs w:val="24"/>
              </w:rPr>
              <w:fldChar w:fldCharType="end"/>
            </w:r>
          </w:p>
        </w:sdtContent>
      </w:sdt>
    </w:sdtContent>
  </w:sdt>
  <w:p w14:paraId="697A9E92" w14:textId="77777777" w:rsidR="009913F7" w:rsidRDefault="00991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486C0" w14:textId="77777777" w:rsidR="00901067" w:rsidRDefault="00901067">
      <w:pPr>
        <w:spacing w:after="0" w:line="240" w:lineRule="auto"/>
      </w:pPr>
      <w:r>
        <w:separator/>
      </w:r>
    </w:p>
  </w:footnote>
  <w:footnote w:type="continuationSeparator" w:id="0">
    <w:p w14:paraId="1E4A9C45" w14:textId="77777777" w:rsidR="00901067" w:rsidRDefault="00901067">
      <w:pPr>
        <w:spacing w:after="0" w:line="240" w:lineRule="auto"/>
      </w:pPr>
      <w:r>
        <w:continuationSeparator/>
      </w:r>
    </w:p>
  </w:footnote>
  <w:footnote w:type="continuationNotice" w:id="1">
    <w:p w14:paraId="2188AF7A" w14:textId="77777777" w:rsidR="00901067" w:rsidRDefault="009010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446A" w14:textId="7B72C06C" w:rsidR="009913F7" w:rsidRPr="00F20375" w:rsidRDefault="009913F7" w:rsidP="00E35C7C">
    <w:pPr>
      <w:widowControl w:val="0"/>
      <w:spacing w:after="0" w:line="480" w:lineRule="auto"/>
      <w:rPr>
        <w:rFonts w:ascii="Arial" w:hAnsi="Arial" w:cs="Arial"/>
        <w:b/>
        <w:lang w:val="en-GB"/>
      </w:rPr>
    </w:pPr>
    <w:r>
      <w:rPr>
        <w:rFonts w:ascii="Arial" w:hAnsi="Arial" w:cs="Arial"/>
        <w:b/>
        <w:lang w:val="en-GB"/>
      </w:rPr>
      <w:t>Online supplement</w:t>
    </w:r>
  </w:p>
  <w:p w14:paraId="2AA45633" w14:textId="77777777" w:rsidR="009913F7" w:rsidRPr="00E35C7C" w:rsidRDefault="009913F7" w:rsidP="00E35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34D"/>
    <w:multiLevelType w:val="hybridMultilevel"/>
    <w:tmpl w:val="5E8A6704"/>
    <w:lvl w:ilvl="0" w:tplc="1E82E172">
      <w:start w:val="1"/>
      <w:numFmt w:val="bullet"/>
      <w:pStyle w:val="Bullet"/>
      <w:lvlText w:val=""/>
      <w:lvlJc w:val="left"/>
      <w:pPr>
        <w:ind w:left="720" w:hanging="360"/>
      </w:pPr>
      <w:rPr>
        <w:rFonts w:ascii="Symbol" w:hAnsi="Symbol" w:hint="default"/>
        <w:sz w:val="20"/>
      </w:rPr>
    </w:lvl>
    <w:lvl w:ilvl="1" w:tplc="925C720E">
      <w:start w:val="1"/>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83B5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4F3F9E"/>
    <w:multiLevelType w:val="multilevel"/>
    <w:tmpl w:val="C14AE15E"/>
    <w:lvl w:ilvl="0">
      <w:start w:val="1"/>
      <w:numFmt w:val="decimal"/>
      <w:lvlText w:val="%1."/>
      <w:lvlJc w:val="left"/>
      <w:pPr>
        <w:ind w:left="360" w:hanging="360"/>
      </w:pPr>
      <w:rPr>
        <w:rFonts w:hint="default"/>
      </w:rPr>
    </w:lvl>
    <w:lvl w:ilvl="1">
      <w:start w:val="2"/>
      <w:numFmt w:val="decimal"/>
      <w:lvlText w:val="%2."/>
      <w:lvlJc w:val="left"/>
      <w:pPr>
        <w:ind w:left="720" w:hanging="72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450FD1"/>
    <w:multiLevelType w:val="hybridMultilevel"/>
    <w:tmpl w:val="077C7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42F49"/>
    <w:multiLevelType w:val="multilevel"/>
    <w:tmpl w:val="0409001F"/>
    <w:styleLink w:val="Style3"/>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DC75E1"/>
    <w:multiLevelType w:val="multilevel"/>
    <w:tmpl w:val="E74048E8"/>
    <w:lvl w:ilvl="0">
      <w:start w:val="1"/>
      <w:numFmt w:val="decimal"/>
      <w:lvlText w:val="%1."/>
      <w:lvlJc w:val="left"/>
      <w:pPr>
        <w:ind w:left="360" w:hanging="360"/>
      </w:pPr>
      <w:rPr>
        <w:rFonts w:hint="default"/>
      </w:rPr>
    </w:lvl>
    <w:lvl w:ilvl="1">
      <w:start w:val="1"/>
      <w:numFmt w:val="decimal"/>
      <w:lvlText w:val="S%2."/>
      <w:lvlJc w:val="left"/>
      <w:pPr>
        <w:ind w:left="720" w:hanging="72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93C2B"/>
    <w:multiLevelType w:val="multilevel"/>
    <w:tmpl w:val="E45428FA"/>
    <w:lvl w:ilvl="0">
      <w:start w:val="8"/>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B451513"/>
    <w:multiLevelType w:val="multilevel"/>
    <w:tmpl w:val="C14AE15E"/>
    <w:styleLink w:val="Style1"/>
    <w:lvl w:ilvl="0">
      <w:start w:val="4"/>
      <w:numFmt w:val="decimal"/>
      <w:lvlText w:val="%1."/>
      <w:lvlJc w:val="left"/>
      <w:pPr>
        <w:ind w:left="360" w:hanging="360"/>
      </w:pPr>
      <w:rPr>
        <w:rFonts w:hint="default"/>
      </w:rPr>
    </w:lvl>
    <w:lvl w:ilvl="1">
      <w:start w:val="2"/>
      <w:numFmt w:val="decimal"/>
      <w:lvlText w:val="%2."/>
      <w:lvlJc w:val="left"/>
      <w:pPr>
        <w:ind w:left="720" w:hanging="72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842C24"/>
    <w:multiLevelType w:val="hybridMultilevel"/>
    <w:tmpl w:val="4C22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E3797"/>
    <w:multiLevelType w:val="multilevel"/>
    <w:tmpl w:val="A874FB90"/>
    <w:styleLink w:val="Style4"/>
    <w:lvl w:ilvl="0">
      <w:start w:val="2"/>
      <w:numFmt w:val="decimal"/>
      <w:lvlText w:val="%1."/>
      <w:lvlJc w:val="left"/>
      <w:pPr>
        <w:ind w:left="360" w:hanging="360"/>
      </w:pPr>
      <w:rPr>
        <w:rFonts w:hint="default"/>
      </w:rPr>
    </w:lvl>
    <w:lvl w:ilvl="1">
      <w:start w:val="1"/>
      <w:numFmt w:val="decimal"/>
      <w:lvlText w:val="S%2.1"/>
      <w:lvlJc w:val="left"/>
      <w:pPr>
        <w:ind w:left="792" w:hanging="432"/>
      </w:pPr>
      <w:rPr>
        <w:rFonts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70307BC"/>
    <w:multiLevelType w:val="hybridMultilevel"/>
    <w:tmpl w:val="AD424EE4"/>
    <w:lvl w:ilvl="0" w:tplc="F8A223DC">
      <w:start w:val="1"/>
      <w:numFmt w:val="decimal"/>
      <w:lvlText w:val="%1."/>
      <w:lvlJc w:val="left"/>
      <w:pPr>
        <w:tabs>
          <w:tab w:val="num" w:pos="720"/>
        </w:tabs>
        <w:ind w:left="720" w:hanging="360"/>
      </w:pPr>
      <w:rPr>
        <w:rFonts w:cs="Times New Roman"/>
      </w:rPr>
    </w:lvl>
    <w:lvl w:ilvl="1" w:tplc="0D7EDE00">
      <w:start w:val="1"/>
      <w:numFmt w:val="lowerLetter"/>
      <w:lvlText w:val="%2."/>
      <w:lvlJc w:val="left"/>
      <w:pPr>
        <w:tabs>
          <w:tab w:val="num" w:pos="1440"/>
        </w:tabs>
        <w:ind w:left="1440" w:hanging="360"/>
      </w:pPr>
      <w:rPr>
        <w:rFonts w:cs="Times New Roman"/>
      </w:rPr>
    </w:lvl>
    <w:lvl w:ilvl="2" w:tplc="353A798C" w:tentative="1">
      <w:start w:val="1"/>
      <w:numFmt w:val="decimal"/>
      <w:lvlText w:val="%3."/>
      <w:lvlJc w:val="left"/>
      <w:pPr>
        <w:tabs>
          <w:tab w:val="num" w:pos="2160"/>
        </w:tabs>
        <w:ind w:left="2160" w:hanging="360"/>
      </w:pPr>
      <w:rPr>
        <w:rFonts w:cs="Times New Roman"/>
      </w:rPr>
    </w:lvl>
    <w:lvl w:ilvl="3" w:tplc="69509BB6" w:tentative="1">
      <w:start w:val="1"/>
      <w:numFmt w:val="decimal"/>
      <w:lvlText w:val="%4."/>
      <w:lvlJc w:val="left"/>
      <w:pPr>
        <w:tabs>
          <w:tab w:val="num" w:pos="2880"/>
        </w:tabs>
        <w:ind w:left="2880" w:hanging="360"/>
      </w:pPr>
      <w:rPr>
        <w:rFonts w:cs="Times New Roman"/>
      </w:rPr>
    </w:lvl>
    <w:lvl w:ilvl="4" w:tplc="FE0EE2F4" w:tentative="1">
      <w:start w:val="1"/>
      <w:numFmt w:val="decimal"/>
      <w:lvlText w:val="%5."/>
      <w:lvlJc w:val="left"/>
      <w:pPr>
        <w:tabs>
          <w:tab w:val="num" w:pos="3600"/>
        </w:tabs>
        <w:ind w:left="3600" w:hanging="360"/>
      </w:pPr>
      <w:rPr>
        <w:rFonts w:cs="Times New Roman"/>
      </w:rPr>
    </w:lvl>
    <w:lvl w:ilvl="5" w:tplc="289EA058" w:tentative="1">
      <w:start w:val="1"/>
      <w:numFmt w:val="decimal"/>
      <w:lvlText w:val="%6."/>
      <w:lvlJc w:val="left"/>
      <w:pPr>
        <w:tabs>
          <w:tab w:val="num" w:pos="4320"/>
        </w:tabs>
        <w:ind w:left="4320" w:hanging="360"/>
      </w:pPr>
      <w:rPr>
        <w:rFonts w:cs="Times New Roman"/>
      </w:rPr>
    </w:lvl>
    <w:lvl w:ilvl="6" w:tplc="D41E2A24" w:tentative="1">
      <w:start w:val="1"/>
      <w:numFmt w:val="decimal"/>
      <w:lvlText w:val="%7."/>
      <w:lvlJc w:val="left"/>
      <w:pPr>
        <w:tabs>
          <w:tab w:val="num" w:pos="5040"/>
        </w:tabs>
        <w:ind w:left="5040" w:hanging="360"/>
      </w:pPr>
      <w:rPr>
        <w:rFonts w:cs="Times New Roman"/>
      </w:rPr>
    </w:lvl>
    <w:lvl w:ilvl="7" w:tplc="F050C84A" w:tentative="1">
      <w:start w:val="1"/>
      <w:numFmt w:val="decimal"/>
      <w:lvlText w:val="%8."/>
      <w:lvlJc w:val="left"/>
      <w:pPr>
        <w:tabs>
          <w:tab w:val="num" w:pos="5760"/>
        </w:tabs>
        <w:ind w:left="5760" w:hanging="360"/>
      </w:pPr>
      <w:rPr>
        <w:rFonts w:cs="Times New Roman"/>
      </w:rPr>
    </w:lvl>
    <w:lvl w:ilvl="8" w:tplc="41BC1A7E" w:tentative="1">
      <w:start w:val="1"/>
      <w:numFmt w:val="decimal"/>
      <w:lvlText w:val="%9."/>
      <w:lvlJc w:val="left"/>
      <w:pPr>
        <w:tabs>
          <w:tab w:val="num" w:pos="6480"/>
        </w:tabs>
        <w:ind w:left="6480" w:hanging="360"/>
      </w:pPr>
      <w:rPr>
        <w:rFonts w:cs="Times New Roman"/>
      </w:rPr>
    </w:lvl>
  </w:abstractNum>
  <w:num w:numId="1">
    <w:abstractNumId w:val="0"/>
  </w:num>
  <w:num w:numId="2">
    <w:abstractNumId w:val="10"/>
  </w:num>
  <w:num w:numId="3">
    <w:abstractNumId w:val="6"/>
  </w:num>
  <w:num w:numId="4">
    <w:abstractNumId w:val="3"/>
  </w:num>
  <w:num w:numId="5">
    <w:abstractNumId w:val="8"/>
  </w:num>
  <w:num w:numId="6">
    <w:abstractNumId w:val="5"/>
  </w:num>
  <w:num w:numId="7">
    <w:abstractNumId w:val="2"/>
  </w:num>
  <w:num w:numId="8">
    <w:abstractNumId w:val="7"/>
  </w:num>
  <w:num w:numId="9">
    <w:abstractNumId w:val="1"/>
  </w:num>
  <w:num w:numId="10">
    <w:abstractNumId w:val="4"/>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34DD2"/>
    <w:rsid w:val="00000C97"/>
    <w:rsid w:val="00004E25"/>
    <w:rsid w:val="00007176"/>
    <w:rsid w:val="00010721"/>
    <w:rsid w:val="00011928"/>
    <w:rsid w:val="000120D0"/>
    <w:rsid w:val="000155BD"/>
    <w:rsid w:val="00016910"/>
    <w:rsid w:val="00023BE8"/>
    <w:rsid w:val="00024012"/>
    <w:rsid w:val="00025300"/>
    <w:rsid w:val="0002703F"/>
    <w:rsid w:val="00031078"/>
    <w:rsid w:val="00034423"/>
    <w:rsid w:val="00034F77"/>
    <w:rsid w:val="00040354"/>
    <w:rsid w:val="00040879"/>
    <w:rsid w:val="0004123B"/>
    <w:rsid w:val="00041352"/>
    <w:rsid w:val="0004154A"/>
    <w:rsid w:val="00043CC1"/>
    <w:rsid w:val="00043D49"/>
    <w:rsid w:val="00044E0E"/>
    <w:rsid w:val="000456B6"/>
    <w:rsid w:val="00045AAC"/>
    <w:rsid w:val="00047668"/>
    <w:rsid w:val="000501F7"/>
    <w:rsid w:val="0005059C"/>
    <w:rsid w:val="00052BB7"/>
    <w:rsid w:val="000533A7"/>
    <w:rsid w:val="00054B4A"/>
    <w:rsid w:val="0005505B"/>
    <w:rsid w:val="00057082"/>
    <w:rsid w:val="00057516"/>
    <w:rsid w:val="000579B9"/>
    <w:rsid w:val="00061A1E"/>
    <w:rsid w:val="00063411"/>
    <w:rsid w:val="00064BE2"/>
    <w:rsid w:val="00065E19"/>
    <w:rsid w:val="000661A0"/>
    <w:rsid w:val="00067B7D"/>
    <w:rsid w:val="00071B85"/>
    <w:rsid w:val="00075C55"/>
    <w:rsid w:val="00076C5D"/>
    <w:rsid w:val="00077C23"/>
    <w:rsid w:val="000868EE"/>
    <w:rsid w:val="00087161"/>
    <w:rsid w:val="00087965"/>
    <w:rsid w:val="00091395"/>
    <w:rsid w:val="00091AF3"/>
    <w:rsid w:val="0009310F"/>
    <w:rsid w:val="00094ADF"/>
    <w:rsid w:val="00094E8B"/>
    <w:rsid w:val="000959C6"/>
    <w:rsid w:val="00096427"/>
    <w:rsid w:val="000A2361"/>
    <w:rsid w:val="000A586A"/>
    <w:rsid w:val="000A5D27"/>
    <w:rsid w:val="000A707A"/>
    <w:rsid w:val="000A794E"/>
    <w:rsid w:val="000B4833"/>
    <w:rsid w:val="000B6830"/>
    <w:rsid w:val="000C0F08"/>
    <w:rsid w:val="000C2297"/>
    <w:rsid w:val="000C33E5"/>
    <w:rsid w:val="000C362F"/>
    <w:rsid w:val="000C433B"/>
    <w:rsid w:val="000C4FE8"/>
    <w:rsid w:val="000D2648"/>
    <w:rsid w:val="000D3CD6"/>
    <w:rsid w:val="000E0E2F"/>
    <w:rsid w:val="000E3123"/>
    <w:rsid w:val="000E32D5"/>
    <w:rsid w:val="000E438D"/>
    <w:rsid w:val="000E466F"/>
    <w:rsid w:val="000E6854"/>
    <w:rsid w:val="000F0B90"/>
    <w:rsid w:val="000F3129"/>
    <w:rsid w:val="000F4208"/>
    <w:rsid w:val="000F6DE1"/>
    <w:rsid w:val="00100A58"/>
    <w:rsid w:val="00100FCA"/>
    <w:rsid w:val="00102A59"/>
    <w:rsid w:val="00104388"/>
    <w:rsid w:val="0010570D"/>
    <w:rsid w:val="00106D0A"/>
    <w:rsid w:val="00107826"/>
    <w:rsid w:val="00110707"/>
    <w:rsid w:val="00110EC1"/>
    <w:rsid w:val="001116B7"/>
    <w:rsid w:val="00112125"/>
    <w:rsid w:val="00114E06"/>
    <w:rsid w:val="00116884"/>
    <w:rsid w:val="001212AA"/>
    <w:rsid w:val="00122A8A"/>
    <w:rsid w:val="00124387"/>
    <w:rsid w:val="00124B95"/>
    <w:rsid w:val="001268E5"/>
    <w:rsid w:val="00127517"/>
    <w:rsid w:val="0012754C"/>
    <w:rsid w:val="00132FCE"/>
    <w:rsid w:val="001336FD"/>
    <w:rsid w:val="00135934"/>
    <w:rsid w:val="00135E34"/>
    <w:rsid w:val="00141962"/>
    <w:rsid w:val="00145A8E"/>
    <w:rsid w:val="00146E22"/>
    <w:rsid w:val="00147753"/>
    <w:rsid w:val="00147883"/>
    <w:rsid w:val="00150179"/>
    <w:rsid w:val="00150732"/>
    <w:rsid w:val="00161581"/>
    <w:rsid w:val="00161607"/>
    <w:rsid w:val="00163125"/>
    <w:rsid w:val="00165A18"/>
    <w:rsid w:val="00165E6B"/>
    <w:rsid w:val="00167269"/>
    <w:rsid w:val="001674CF"/>
    <w:rsid w:val="00171AD6"/>
    <w:rsid w:val="00176C72"/>
    <w:rsid w:val="00177109"/>
    <w:rsid w:val="001776BD"/>
    <w:rsid w:val="00180307"/>
    <w:rsid w:val="001825E9"/>
    <w:rsid w:val="0018743C"/>
    <w:rsid w:val="00187FAD"/>
    <w:rsid w:val="00190E3C"/>
    <w:rsid w:val="00193873"/>
    <w:rsid w:val="00194C4C"/>
    <w:rsid w:val="00196972"/>
    <w:rsid w:val="001A0124"/>
    <w:rsid w:val="001A0E93"/>
    <w:rsid w:val="001A1380"/>
    <w:rsid w:val="001A16A1"/>
    <w:rsid w:val="001A16EE"/>
    <w:rsid w:val="001A2215"/>
    <w:rsid w:val="001A27B8"/>
    <w:rsid w:val="001A2CEC"/>
    <w:rsid w:val="001A42EC"/>
    <w:rsid w:val="001A5405"/>
    <w:rsid w:val="001A6E80"/>
    <w:rsid w:val="001B013C"/>
    <w:rsid w:val="001B02F1"/>
    <w:rsid w:val="001B0B45"/>
    <w:rsid w:val="001B790D"/>
    <w:rsid w:val="001C1600"/>
    <w:rsid w:val="001C2277"/>
    <w:rsid w:val="001C3D94"/>
    <w:rsid w:val="001C582F"/>
    <w:rsid w:val="001C6027"/>
    <w:rsid w:val="001C6D15"/>
    <w:rsid w:val="001C703C"/>
    <w:rsid w:val="001D39DE"/>
    <w:rsid w:val="001D4735"/>
    <w:rsid w:val="001D47D7"/>
    <w:rsid w:val="001D5858"/>
    <w:rsid w:val="001D6746"/>
    <w:rsid w:val="001D6B35"/>
    <w:rsid w:val="001D7F00"/>
    <w:rsid w:val="001E296E"/>
    <w:rsid w:val="001E3745"/>
    <w:rsid w:val="001E675B"/>
    <w:rsid w:val="001E762C"/>
    <w:rsid w:val="001F1E4D"/>
    <w:rsid w:val="00201347"/>
    <w:rsid w:val="002017A4"/>
    <w:rsid w:val="00203292"/>
    <w:rsid w:val="00203A33"/>
    <w:rsid w:val="0020456B"/>
    <w:rsid w:val="00205AA1"/>
    <w:rsid w:val="0020782F"/>
    <w:rsid w:val="00212A32"/>
    <w:rsid w:val="00214E6B"/>
    <w:rsid w:val="002162D4"/>
    <w:rsid w:val="00223F0A"/>
    <w:rsid w:val="00224295"/>
    <w:rsid w:val="00231159"/>
    <w:rsid w:val="00233C3E"/>
    <w:rsid w:val="0023441C"/>
    <w:rsid w:val="00235E1B"/>
    <w:rsid w:val="00236B46"/>
    <w:rsid w:val="00240570"/>
    <w:rsid w:val="00240BCA"/>
    <w:rsid w:val="0024248A"/>
    <w:rsid w:val="00245D0D"/>
    <w:rsid w:val="00246247"/>
    <w:rsid w:val="00247064"/>
    <w:rsid w:val="002476CA"/>
    <w:rsid w:val="00251227"/>
    <w:rsid w:val="00253C54"/>
    <w:rsid w:val="002553B0"/>
    <w:rsid w:val="00255A97"/>
    <w:rsid w:val="00255D98"/>
    <w:rsid w:val="00255DF7"/>
    <w:rsid w:val="00255EDE"/>
    <w:rsid w:val="0025671B"/>
    <w:rsid w:val="002577B1"/>
    <w:rsid w:val="00257AA7"/>
    <w:rsid w:val="00257FF2"/>
    <w:rsid w:val="0026376D"/>
    <w:rsid w:val="002641BD"/>
    <w:rsid w:val="00264235"/>
    <w:rsid w:val="002652BC"/>
    <w:rsid w:val="002675B9"/>
    <w:rsid w:val="002701A2"/>
    <w:rsid w:val="00272275"/>
    <w:rsid w:val="00272E30"/>
    <w:rsid w:val="00273268"/>
    <w:rsid w:val="00281C5D"/>
    <w:rsid w:val="00282267"/>
    <w:rsid w:val="00286401"/>
    <w:rsid w:val="00291066"/>
    <w:rsid w:val="00291722"/>
    <w:rsid w:val="00291963"/>
    <w:rsid w:val="00292125"/>
    <w:rsid w:val="00293A00"/>
    <w:rsid w:val="00293CB8"/>
    <w:rsid w:val="00294371"/>
    <w:rsid w:val="00295734"/>
    <w:rsid w:val="00297446"/>
    <w:rsid w:val="002A0E8A"/>
    <w:rsid w:val="002A31E0"/>
    <w:rsid w:val="002A508F"/>
    <w:rsid w:val="002A5DCA"/>
    <w:rsid w:val="002B4E76"/>
    <w:rsid w:val="002B5809"/>
    <w:rsid w:val="002C2CD6"/>
    <w:rsid w:val="002D0115"/>
    <w:rsid w:val="002D16A5"/>
    <w:rsid w:val="002D38BB"/>
    <w:rsid w:val="002D392F"/>
    <w:rsid w:val="002D3973"/>
    <w:rsid w:val="002D39DC"/>
    <w:rsid w:val="002D3D94"/>
    <w:rsid w:val="002D42AC"/>
    <w:rsid w:val="002D45A8"/>
    <w:rsid w:val="002D542A"/>
    <w:rsid w:val="002D753B"/>
    <w:rsid w:val="002D7FDF"/>
    <w:rsid w:val="002E0592"/>
    <w:rsid w:val="002E1F74"/>
    <w:rsid w:val="002E2C5F"/>
    <w:rsid w:val="002E3C65"/>
    <w:rsid w:val="002F30E7"/>
    <w:rsid w:val="002F381C"/>
    <w:rsid w:val="002F3CF5"/>
    <w:rsid w:val="002F43CC"/>
    <w:rsid w:val="002F4B7F"/>
    <w:rsid w:val="002F69B4"/>
    <w:rsid w:val="0030078D"/>
    <w:rsid w:val="003024CE"/>
    <w:rsid w:val="00302C28"/>
    <w:rsid w:val="003033D4"/>
    <w:rsid w:val="00303600"/>
    <w:rsid w:val="00305F17"/>
    <w:rsid w:val="00306ABB"/>
    <w:rsid w:val="00306ED4"/>
    <w:rsid w:val="003077F1"/>
    <w:rsid w:val="0030791F"/>
    <w:rsid w:val="003164F0"/>
    <w:rsid w:val="00321070"/>
    <w:rsid w:val="00322AAC"/>
    <w:rsid w:val="00322F7D"/>
    <w:rsid w:val="00325778"/>
    <w:rsid w:val="00325917"/>
    <w:rsid w:val="00326257"/>
    <w:rsid w:val="00326D1E"/>
    <w:rsid w:val="003275EB"/>
    <w:rsid w:val="003333F9"/>
    <w:rsid w:val="003341CA"/>
    <w:rsid w:val="00335545"/>
    <w:rsid w:val="00335B23"/>
    <w:rsid w:val="00336FA5"/>
    <w:rsid w:val="00346EE9"/>
    <w:rsid w:val="00347020"/>
    <w:rsid w:val="00347F24"/>
    <w:rsid w:val="00350BB8"/>
    <w:rsid w:val="00351871"/>
    <w:rsid w:val="00352388"/>
    <w:rsid w:val="00353E2A"/>
    <w:rsid w:val="00354DFA"/>
    <w:rsid w:val="00354F75"/>
    <w:rsid w:val="00355446"/>
    <w:rsid w:val="00356EC4"/>
    <w:rsid w:val="003611E2"/>
    <w:rsid w:val="00361992"/>
    <w:rsid w:val="00364ADC"/>
    <w:rsid w:val="00364C22"/>
    <w:rsid w:val="00371A56"/>
    <w:rsid w:val="00371C72"/>
    <w:rsid w:val="003724C2"/>
    <w:rsid w:val="0037250C"/>
    <w:rsid w:val="003728F1"/>
    <w:rsid w:val="00372D29"/>
    <w:rsid w:val="00374AC0"/>
    <w:rsid w:val="003754D0"/>
    <w:rsid w:val="0037595F"/>
    <w:rsid w:val="00377A43"/>
    <w:rsid w:val="00377F05"/>
    <w:rsid w:val="00380B41"/>
    <w:rsid w:val="00381A94"/>
    <w:rsid w:val="00381BD6"/>
    <w:rsid w:val="00382E0C"/>
    <w:rsid w:val="00386CD8"/>
    <w:rsid w:val="00387286"/>
    <w:rsid w:val="00387E36"/>
    <w:rsid w:val="003901F4"/>
    <w:rsid w:val="00390ECF"/>
    <w:rsid w:val="00391515"/>
    <w:rsid w:val="003928AC"/>
    <w:rsid w:val="00392E7D"/>
    <w:rsid w:val="00393860"/>
    <w:rsid w:val="003958B6"/>
    <w:rsid w:val="0039620B"/>
    <w:rsid w:val="0039699D"/>
    <w:rsid w:val="003A3E9B"/>
    <w:rsid w:val="003A6870"/>
    <w:rsid w:val="003B4E9D"/>
    <w:rsid w:val="003B718F"/>
    <w:rsid w:val="003C09DB"/>
    <w:rsid w:val="003C1F33"/>
    <w:rsid w:val="003C2193"/>
    <w:rsid w:val="003C2485"/>
    <w:rsid w:val="003C2511"/>
    <w:rsid w:val="003C3406"/>
    <w:rsid w:val="003C3E6C"/>
    <w:rsid w:val="003C689A"/>
    <w:rsid w:val="003C6E10"/>
    <w:rsid w:val="003C7956"/>
    <w:rsid w:val="003D3338"/>
    <w:rsid w:val="003D41DA"/>
    <w:rsid w:val="003D5590"/>
    <w:rsid w:val="003D563A"/>
    <w:rsid w:val="003D7D33"/>
    <w:rsid w:val="003D7F40"/>
    <w:rsid w:val="003E116F"/>
    <w:rsid w:val="003E1525"/>
    <w:rsid w:val="003E1AC8"/>
    <w:rsid w:val="003E2F4C"/>
    <w:rsid w:val="003E4F34"/>
    <w:rsid w:val="003E54A3"/>
    <w:rsid w:val="003E7995"/>
    <w:rsid w:val="003F1B28"/>
    <w:rsid w:val="003F230B"/>
    <w:rsid w:val="003F2532"/>
    <w:rsid w:val="003F341D"/>
    <w:rsid w:val="003F6118"/>
    <w:rsid w:val="003F6E53"/>
    <w:rsid w:val="0040292A"/>
    <w:rsid w:val="00402BC3"/>
    <w:rsid w:val="00403CC0"/>
    <w:rsid w:val="00405E4C"/>
    <w:rsid w:val="004062AD"/>
    <w:rsid w:val="00406BFF"/>
    <w:rsid w:val="00410407"/>
    <w:rsid w:val="004116FD"/>
    <w:rsid w:val="00412749"/>
    <w:rsid w:val="0041342B"/>
    <w:rsid w:val="004153AA"/>
    <w:rsid w:val="0041745C"/>
    <w:rsid w:val="00417A22"/>
    <w:rsid w:val="004216EF"/>
    <w:rsid w:val="0042280E"/>
    <w:rsid w:val="004233FD"/>
    <w:rsid w:val="00424F01"/>
    <w:rsid w:val="004252DE"/>
    <w:rsid w:val="00426BF9"/>
    <w:rsid w:val="0043055F"/>
    <w:rsid w:val="00431B9E"/>
    <w:rsid w:val="00433098"/>
    <w:rsid w:val="00433418"/>
    <w:rsid w:val="00434EC7"/>
    <w:rsid w:val="00435F55"/>
    <w:rsid w:val="00437D98"/>
    <w:rsid w:val="00441B11"/>
    <w:rsid w:val="00447382"/>
    <w:rsid w:val="0045517A"/>
    <w:rsid w:val="00457B66"/>
    <w:rsid w:val="00462D79"/>
    <w:rsid w:val="00462F34"/>
    <w:rsid w:val="00465138"/>
    <w:rsid w:val="00467F99"/>
    <w:rsid w:val="004701BD"/>
    <w:rsid w:val="00470C74"/>
    <w:rsid w:val="004723BD"/>
    <w:rsid w:val="0047399B"/>
    <w:rsid w:val="00473C11"/>
    <w:rsid w:val="0047595E"/>
    <w:rsid w:val="00475AE4"/>
    <w:rsid w:val="004767C7"/>
    <w:rsid w:val="0047701D"/>
    <w:rsid w:val="004771A3"/>
    <w:rsid w:val="00477D62"/>
    <w:rsid w:val="00480DCB"/>
    <w:rsid w:val="00482BD1"/>
    <w:rsid w:val="004834A0"/>
    <w:rsid w:val="004838DD"/>
    <w:rsid w:val="00484114"/>
    <w:rsid w:val="004847FB"/>
    <w:rsid w:val="004857F8"/>
    <w:rsid w:val="00487676"/>
    <w:rsid w:val="00492F6C"/>
    <w:rsid w:val="00493340"/>
    <w:rsid w:val="00493790"/>
    <w:rsid w:val="00496889"/>
    <w:rsid w:val="004A253F"/>
    <w:rsid w:val="004A269C"/>
    <w:rsid w:val="004A311D"/>
    <w:rsid w:val="004A6836"/>
    <w:rsid w:val="004A7F8C"/>
    <w:rsid w:val="004B1E96"/>
    <w:rsid w:val="004B4296"/>
    <w:rsid w:val="004B526C"/>
    <w:rsid w:val="004B6517"/>
    <w:rsid w:val="004B6C55"/>
    <w:rsid w:val="004B7041"/>
    <w:rsid w:val="004B7511"/>
    <w:rsid w:val="004C03A9"/>
    <w:rsid w:val="004C2E52"/>
    <w:rsid w:val="004C71CE"/>
    <w:rsid w:val="004D2ADC"/>
    <w:rsid w:val="004D4E37"/>
    <w:rsid w:val="004D5BC3"/>
    <w:rsid w:val="004D6BCB"/>
    <w:rsid w:val="004D770F"/>
    <w:rsid w:val="004D7A22"/>
    <w:rsid w:val="004E27C9"/>
    <w:rsid w:val="004E4F83"/>
    <w:rsid w:val="004F05C1"/>
    <w:rsid w:val="004F13FA"/>
    <w:rsid w:val="004F2362"/>
    <w:rsid w:val="004F3CCD"/>
    <w:rsid w:val="004F4D81"/>
    <w:rsid w:val="004F5B75"/>
    <w:rsid w:val="004F6B59"/>
    <w:rsid w:val="004F73D7"/>
    <w:rsid w:val="004F7D06"/>
    <w:rsid w:val="005005C0"/>
    <w:rsid w:val="00501F19"/>
    <w:rsid w:val="00503774"/>
    <w:rsid w:val="005062B5"/>
    <w:rsid w:val="0050632D"/>
    <w:rsid w:val="005120FB"/>
    <w:rsid w:val="00514668"/>
    <w:rsid w:val="0051507D"/>
    <w:rsid w:val="0051560A"/>
    <w:rsid w:val="005170C7"/>
    <w:rsid w:val="0051759A"/>
    <w:rsid w:val="00517988"/>
    <w:rsid w:val="0052216D"/>
    <w:rsid w:val="005226A3"/>
    <w:rsid w:val="0052676B"/>
    <w:rsid w:val="005334C7"/>
    <w:rsid w:val="005410EA"/>
    <w:rsid w:val="00542DFD"/>
    <w:rsid w:val="0054728D"/>
    <w:rsid w:val="00550B27"/>
    <w:rsid w:val="00550FFA"/>
    <w:rsid w:val="005516B1"/>
    <w:rsid w:val="00554B5A"/>
    <w:rsid w:val="00554CF9"/>
    <w:rsid w:val="0055553E"/>
    <w:rsid w:val="005564AC"/>
    <w:rsid w:val="00561BDE"/>
    <w:rsid w:val="00561C7C"/>
    <w:rsid w:val="00562282"/>
    <w:rsid w:val="005674EB"/>
    <w:rsid w:val="00570BAC"/>
    <w:rsid w:val="0057225E"/>
    <w:rsid w:val="00572966"/>
    <w:rsid w:val="005733D5"/>
    <w:rsid w:val="00573805"/>
    <w:rsid w:val="00574F1C"/>
    <w:rsid w:val="00581124"/>
    <w:rsid w:val="00581231"/>
    <w:rsid w:val="0058320C"/>
    <w:rsid w:val="0058442E"/>
    <w:rsid w:val="00585AC4"/>
    <w:rsid w:val="005907E2"/>
    <w:rsid w:val="00592228"/>
    <w:rsid w:val="005962AD"/>
    <w:rsid w:val="005A1EB3"/>
    <w:rsid w:val="005A2FBB"/>
    <w:rsid w:val="005A5753"/>
    <w:rsid w:val="005A57C2"/>
    <w:rsid w:val="005A7C37"/>
    <w:rsid w:val="005B114B"/>
    <w:rsid w:val="005B16B9"/>
    <w:rsid w:val="005B73D0"/>
    <w:rsid w:val="005C3249"/>
    <w:rsid w:val="005C510F"/>
    <w:rsid w:val="005C5F22"/>
    <w:rsid w:val="005D1E51"/>
    <w:rsid w:val="005D25B5"/>
    <w:rsid w:val="005D2D98"/>
    <w:rsid w:val="005D718B"/>
    <w:rsid w:val="005D741D"/>
    <w:rsid w:val="005E0841"/>
    <w:rsid w:val="005E2FFE"/>
    <w:rsid w:val="005E3518"/>
    <w:rsid w:val="005F0007"/>
    <w:rsid w:val="005F015C"/>
    <w:rsid w:val="005F4683"/>
    <w:rsid w:val="005F4FBC"/>
    <w:rsid w:val="006004DD"/>
    <w:rsid w:val="00601E1D"/>
    <w:rsid w:val="00605496"/>
    <w:rsid w:val="0061083A"/>
    <w:rsid w:val="00612D96"/>
    <w:rsid w:val="006140F7"/>
    <w:rsid w:val="00620988"/>
    <w:rsid w:val="00622169"/>
    <w:rsid w:val="006226A0"/>
    <w:rsid w:val="00622D9F"/>
    <w:rsid w:val="0062371B"/>
    <w:rsid w:val="00633E33"/>
    <w:rsid w:val="00634188"/>
    <w:rsid w:val="006358E6"/>
    <w:rsid w:val="006367EE"/>
    <w:rsid w:val="0064098F"/>
    <w:rsid w:val="006415C3"/>
    <w:rsid w:val="0064418F"/>
    <w:rsid w:val="00644850"/>
    <w:rsid w:val="00645A6D"/>
    <w:rsid w:val="00646A6A"/>
    <w:rsid w:val="00650D81"/>
    <w:rsid w:val="00651C59"/>
    <w:rsid w:val="00651FC8"/>
    <w:rsid w:val="00654EBB"/>
    <w:rsid w:val="006608D9"/>
    <w:rsid w:val="006624C6"/>
    <w:rsid w:val="006627B5"/>
    <w:rsid w:val="00663350"/>
    <w:rsid w:val="00663AB3"/>
    <w:rsid w:val="00663B14"/>
    <w:rsid w:val="00670F73"/>
    <w:rsid w:val="006719E5"/>
    <w:rsid w:val="006724D5"/>
    <w:rsid w:val="00673688"/>
    <w:rsid w:val="0067477D"/>
    <w:rsid w:val="00674AED"/>
    <w:rsid w:val="006757D3"/>
    <w:rsid w:val="0067672E"/>
    <w:rsid w:val="00681159"/>
    <w:rsid w:val="00683660"/>
    <w:rsid w:val="00685836"/>
    <w:rsid w:val="00687679"/>
    <w:rsid w:val="00691721"/>
    <w:rsid w:val="0069316C"/>
    <w:rsid w:val="00695AD8"/>
    <w:rsid w:val="006973B1"/>
    <w:rsid w:val="00697F4C"/>
    <w:rsid w:val="006A12E0"/>
    <w:rsid w:val="006A13B1"/>
    <w:rsid w:val="006A2073"/>
    <w:rsid w:val="006A2254"/>
    <w:rsid w:val="006A3021"/>
    <w:rsid w:val="006A54CA"/>
    <w:rsid w:val="006A5713"/>
    <w:rsid w:val="006A68EC"/>
    <w:rsid w:val="006A6DE1"/>
    <w:rsid w:val="006A73A8"/>
    <w:rsid w:val="006A7A5D"/>
    <w:rsid w:val="006B20B3"/>
    <w:rsid w:val="006B24C7"/>
    <w:rsid w:val="006B282D"/>
    <w:rsid w:val="006B3685"/>
    <w:rsid w:val="006B53AC"/>
    <w:rsid w:val="006B70C8"/>
    <w:rsid w:val="006C0297"/>
    <w:rsid w:val="006C2098"/>
    <w:rsid w:val="006C29F4"/>
    <w:rsid w:val="006C2FA3"/>
    <w:rsid w:val="006C43F9"/>
    <w:rsid w:val="006C68D1"/>
    <w:rsid w:val="006D05A4"/>
    <w:rsid w:val="006D16AD"/>
    <w:rsid w:val="006D63AA"/>
    <w:rsid w:val="006E0D48"/>
    <w:rsid w:val="006E21D5"/>
    <w:rsid w:val="006E3D72"/>
    <w:rsid w:val="006E794F"/>
    <w:rsid w:val="006F019E"/>
    <w:rsid w:val="006F0FB2"/>
    <w:rsid w:val="006F147C"/>
    <w:rsid w:val="006F1A8F"/>
    <w:rsid w:val="006F4696"/>
    <w:rsid w:val="006F757C"/>
    <w:rsid w:val="00700F79"/>
    <w:rsid w:val="00701022"/>
    <w:rsid w:val="007024C4"/>
    <w:rsid w:val="007025E1"/>
    <w:rsid w:val="00702606"/>
    <w:rsid w:val="00705D70"/>
    <w:rsid w:val="00706C63"/>
    <w:rsid w:val="007115CE"/>
    <w:rsid w:val="00711A59"/>
    <w:rsid w:val="00711EA8"/>
    <w:rsid w:val="00713DF7"/>
    <w:rsid w:val="00714DE0"/>
    <w:rsid w:val="00714F2E"/>
    <w:rsid w:val="007173A1"/>
    <w:rsid w:val="0072394A"/>
    <w:rsid w:val="0072591C"/>
    <w:rsid w:val="00730006"/>
    <w:rsid w:val="007323B0"/>
    <w:rsid w:val="0073306E"/>
    <w:rsid w:val="007365EB"/>
    <w:rsid w:val="00741999"/>
    <w:rsid w:val="007452A7"/>
    <w:rsid w:val="007468D6"/>
    <w:rsid w:val="00747C3C"/>
    <w:rsid w:val="00751349"/>
    <w:rsid w:val="0075165B"/>
    <w:rsid w:val="0075462A"/>
    <w:rsid w:val="007547EA"/>
    <w:rsid w:val="007558C3"/>
    <w:rsid w:val="007574B6"/>
    <w:rsid w:val="00757B94"/>
    <w:rsid w:val="00761225"/>
    <w:rsid w:val="007628A5"/>
    <w:rsid w:val="007707AE"/>
    <w:rsid w:val="00771ABA"/>
    <w:rsid w:val="00772237"/>
    <w:rsid w:val="0077385A"/>
    <w:rsid w:val="0077642D"/>
    <w:rsid w:val="007771B9"/>
    <w:rsid w:val="007803E3"/>
    <w:rsid w:val="00783E81"/>
    <w:rsid w:val="00791BC6"/>
    <w:rsid w:val="007A1863"/>
    <w:rsid w:val="007A3491"/>
    <w:rsid w:val="007A4B20"/>
    <w:rsid w:val="007A4DFB"/>
    <w:rsid w:val="007B18C3"/>
    <w:rsid w:val="007B4279"/>
    <w:rsid w:val="007B4DCE"/>
    <w:rsid w:val="007B75A1"/>
    <w:rsid w:val="007C01F5"/>
    <w:rsid w:val="007C0A52"/>
    <w:rsid w:val="007C2263"/>
    <w:rsid w:val="007C43C1"/>
    <w:rsid w:val="007C6FA6"/>
    <w:rsid w:val="007D04B9"/>
    <w:rsid w:val="007D0D35"/>
    <w:rsid w:val="007D2514"/>
    <w:rsid w:val="007D3094"/>
    <w:rsid w:val="007D328F"/>
    <w:rsid w:val="007D3A2F"/>
    <w:rsid w:val="007D3FE3"/>
    <w:rsid w:val="007D4AAF"/>
    <w:rsid w:val="007D6884"/>
    <w:rsid w:val="007D7E95"/>
    <w:rsid w:val="007E09CD"/>
    <w:rsid w:val="007E0BA0"/>
    <w:rsid w:val="007E2218"/>
    <w:rsid w:val="007E3CDC"/>
    <w:rsid w:val="007E5DA6"/>
    <w:rsid w:val="007E5E0F"/>
    <w:rsid w:val="007F5970"/>
    <w:rsid w:val="008009D3"/>
    <w:rsid w:val="008018B1"/>
    <w:rsid w:val="0080194E"/>
    <w:rsid w:val="0080349D"/>
    <w:rsid w:val="008035A3"/>
    <w:rsid w:val="00803A72"/>
    <w:rsid w:val="00803D5E"/>
    <w:rsid w:val="00804067"/>
    <w:rsid w:val="00804A1C"/>
    <w:rsid w:val="00804B7D"/>
    <w:rsid w:val="00804CD3"/>
    <w:rsid w:val="00805F35"/>
    <w:rsid w:val="008073E5"/>
    <w:rsid w:val="00810646"/>
    <w:rsid w:val="008138B9"/>
    <w:rsid w:val="00813E65"/>
    <w:rsid w:val="00816E91"/>
    <w:rsid w:val="00817A9E"/>
    <w:rsid w:val="00820EF8"/>
    <w:rsid w:val="008219C8"/>
    <w:rsid w:val="00823AF8"/>
    <w:rsid w:val="00824A10"/>
    <w:rsid w:val="0082600F"/>
    <w:rsid w:val="00830B9D"/>
    <w:rsid w:val="00830BE5"/>
    <w:rsid w:val="008326EC"/>
    <w:rsid w:val="00834321"/>
    <w:rsid w:val="008348CE"/>
    <w:rsid w:val="00835408"/>
    <w:rsid w:val="00835C00"/>
    <w:rsid w:val="00837DCD"/>
    <w:rsid w:val="00842726"/>
    <w:rsid w:val="008428C3"/>
    <w:rsid w:val="008440E0"/>
    <w:rsid w:val="008474B2"/>
    <w:rsid w:val="00850864"/>
    <w:rsid w:val="00851CF1"/>
    <w:rsid w:val="00851F35"/>
    <w:rsid w:val="00854830"/>
    <w:rsid w:val="00856907"/>
    <w:rsid w:val="00856A36"/>
    <w:rsid w:val="00856D68"/>
    <w:rsid w:val="00860185"/>
    <w:rsid w:val="0086301E"/>
    <w:rsid w:val="0086584B"/>
    <w:rsid w:val="008667FE"/>
    <w:rsid w:val="008721F3"/>
    <w:rsid w:val="008729BC"/>
    <w:rsid w:val="00873A2C"/>
    <w:rsid w:val="00881747"/>
    <w:rsid w:val="00882707"/>
    <w:rsid w:val="00883AE5"/>
    <w:rsid w:val="00883FF7"/>
    <w:rsid w:val="008844BC"/>
    <w:rsid w:val="00884748"/>
    <w:rsid w:val="00884EC9"/>
    <w:rsid w:val="0088598D"/>
    <w:rsid w:val="008866CF"/>
    <w:rsid w:val="008868E0"/>
    <w:rsid w:val="00887392"/>
    <w:rsid w:val="00892A9C"/>
    <w:rsid w:val="00892C5C"/>
    <w:rsid w:val="00893144"/>
    <w:rsid w:val="008947D3"/>
    <w:rsid w:val="008953B0"/>
    <w:rsid w:val="00895785"/>
    <w:rsid w:val="008963A0"/>
    <w:rsid w:val="00897453"/>
    <w:rsid w:val="00897FC0"/>
    <w:rsid w:val="008A026A"/>
    <w:rsid w:val="008A46F8"/>
    <w:rsid w:val="008A5410"/>
    <w:rsid w:val="008A5E60"/>
    <w:rsid w:val="008A69E4"/>
    <w:rsid w:val="008A73C2"/>
    <w:rsid w:val="008B0F1C"/>
    <w:rsid w:val="008B2857"/>
    <w:rsid w:val="008B3F20"/>
    <w:rsid w:val="008B3F9E"/>
    <w:rsid w:val="008B3FEA"/>
    <w:rsid w:val="008B514B"/>
    <w:rsid w:val="008B65C3"/>
    <w:rsid w:val="008C016D"/>
    <w:rsid w:val="008C1499"/>
    <w:rsid w:val="008C23CE"/>
    <w:rsid w:val="008C2D21"/>
    <w:rsid w:val="008C44A3"/>
    <w:rsid w:val="008C4AB3"/>
    <w:rsid w:val="008C5C10"/>
    <w:rsid w:val="008D196F"/>
    <w:rsid w:val="008D1AF2"/>
    <w:rsid w:val="008D3E87"/>
    <w:rsid w:val="008D439B"/>
    <w:rsid w:val="008E0CEB"/>
    <w:rsid w:val="008E0F5F"/>
    <w:rsid w:val="008E214A"/>
    <w:rsid w:val="008E2B46"/>
    <w:rsid w:val="008E3832"/>
    <w:rsid w:val="008E45AC"/>
    <w:rsid w:val="008E6F4A"/>
    <w:rsid w:val="008F671B"/>
    <w:rsid w:val="008F6825"/>
    <w:rsid w:val="00901067"/>
    <w:rsid w:val="00903CB6"/>
    <w:rsid w:val="00903CC8"/>
    <w:rsid w:val="00907CFC"/>
    <w:rsid w:val="00910343"/>
    <w:rsid w:val="00912EF6"/>
    <w:rsid w:val="00913A0B"/>
    <w:rsid w:val="00916A57"/>
    <w:rsid w:val="00923501"/>
    <w:rsid w:val="00924589"/>
    <w:rsid w:val="0092720F"/>
    <w:rsid w:val="00930011"/>
    <w:rsid w:val="00930328"/>
    <w:rsid w:val="009322E4"/>
    <w:rsid w:val="0093318E"/>
    <w:rsid w:val="00933471"/>
    <w:rsid w:val="009337F8"/>
    <w:rsid w:val="00933FD6"/>
    <w:rsid w:val="009343DC"/>
    <w:rsid w:val="009349B3"/>
    <w:rsid w:val="00935357"/>
    <w:rsid w:val="0093626A"/>
    <w:rsid w:val="009379D8"/>
    <w:rsid w:val="0094050B"/>
    <w:rsid w:val="00941660"/>
    <w:rsid w:val="00943096"/>
    <w:rsid w:val="009445CA"/>
    <w:rsid w:val="00945510"/>
    <w:rsid w:val="00945A7B"/>
    <w:rsid w:val="00951FC6"/>
    <w:rsid w:val="0095242B"/>
    <w:rsid w:val="00952C83"/>
    <w:rsid w:val="00952CCA"/>
    <w:rsid w:val="00952EDE"/>
    <w:rsid w:val="00953491"/>
    <w:rsid w:val="0095422F"/>
    <w:rsid w:val="00954978"/>
    <w:rsid w:val="00954DC3"/>
    <w:rsid w:val="00957054"/>
    <w:rsid w:val="00960B80"/>
    <w:rsid w:val="00961FD9"/>
    <w:rsid w:val="00962C90"/>
    <w:rsid w:val="00964E06"/>
    <w:rsid w:val="00964F35"/>
    <w:rsid w:val="0096528A"/>
    <w:rsid w:val="0096572A"/>
    <w:rsid w:val="00965B72"/>
    <w:rsid w:val="0096776A"/>
    <w:rsid w:val="00967E29"/>
    <w:rsid w:val="00971323"/>
    <w:rsid w:val="009716DE"/>
    <w:rsid w:val="0097192D"/>
    <w:rsid w:val="00974CEF"/>
    <w:rsid w:val="00977F67"/>
    <w:rsid w:val="00983EA1"/>
    <w:rsid w:val="00985649"/>
    <w:rsid w:val="00986C0D"/>
    <w:rsid w:val="00987432"/>
    <w:rsid w:val="0099078E"/>
    <w:rsid w:val="009912E5"/>
    <w:rsid w:val="009913F7"/>
    <w:rsid w:val="00991ABD"/>
    <w:rsid w:val="00993212"/>
    <w:rsid w:val="0099395D"/>
    <w:rsid w:val="009978F9"/>
    <w:rsid w:val="009A2CDE"/>
    <w:rsid w:val="009B22B2"/>
    <w:rsid w:val="009B2ACD"/>
    <w:rsid w:val="009C02F0"/>
    <w:rsid w:val="009C38BB"/>
    <w:rsid w:val="009C6B54"/>
    <w:rsid w:val="009C7330"/>
    <w:rsid w:val="009C78B4"/>
    <w:rsid w:val="009D1338"/>
    <w:rsid w:val="009D246A"/>
    <w:rsid w:val="009D2DA4"/>
    <w:rsid w:val="009D31DE"/>
    <w:rsid w:val="009D3D3C"/>
    <w:rsid w:val="009D5F06"/>
    <w:rsid w:val="009D64BC"/>
    <w:rsid w:val="009E0FFB"/>
    <w:rsid w:val="009E1630"/>
    <w:rsid w:val="009E3CCB"/>
    <w:rsid w:val="009E4141"/>
    <w:rsid w:val="009E4BC4"/>
    <w:rsid w:val="009E5609"/>
    <w:rsid w:val="009E600E"/>
    <w:rsid w:val="009E6626"/>
    <w:rsid w:val="009F0012"/>
    <w:rsid w:val="009F127D"/>
    <w:rsid w:val="009F1998"/>
    <w:rsid w:val="009F2BA5"/>
    <w:rsid w:val="009F33EE"/>
    <w:rsid w:val="009F3C2B"/>
    <w:rsid w:val="009F500F"/>
    <w:rsid w:val="009F714E"/>
    <w:rsid w:val="00A0158F"/>
    <w:rsid w:val="00A035BF"/>
    <w:rsid w:val="00A10AD2"/>
    <w:rsid w:val="00A14640"/>
    <w:rsid w:val="00A15901"/>
    <w:rsid w:val="00A16329"/>
    <w:rsid w:val="00A16C30"/>
    <w:rsid w:val="00A17E07"/>
    <w:rsid w:val="00A20283"/>
    <w:rsid w:val="00A207EC"/>
    <w:rsid w:val="00A21B0E"/>
    <w:rsid w:val="00A22DF9"/>
    <w:rsid w:val="00A23C97"/>
    <w:rsid w:val="00A241AD"/>
    <w:rsid w:val="00A248A3"/>
    <w:rsid w:val="00A25856"/>
    <w:rsid w:val="00A30F1F"/>
    <w:rsid w:val="00A32E04"/>
    <w:rsid w:val="00A32E3F"/>
    <w:rsid w:val="00A3773B"/>
    <w:rsid w:val="00A413D4"/>
    <w:rsid w:val="00A423FE"/>
    <w:rsid w:val="00A4259A"/>
    <w:rsid w:val="00A4299D"/>
    <w:rsid w:val="00A4534E"/>
    <w:rsid w:val="00A454C4"/>
    <w:rsid w:val="00A45BB2"/>
    <w:rsid w:val="00A46EAC"/>
    <w:rsid w:val="00A47B4C"/>
    <w:rsid w:val="00A5001B"/>
    <w:rsid w:val="00A508E7"/>
    <w:rsid w:val="00A50DFE"/>
    <w:rsid w:val="00A515D3"/>
    <w:rsid w:val="00A5255A"/>
    <w:rsid w:val="00A54E23"/>
    <w:rsid w:val="00A601C5"/>
    <w:rsid w:val="00A606F9"/>
    <w:rsid w:val="00A612F2"/>
    <w:rsid w:val="00A61951"/>
    <w:rsid w:val="00A61B4B"/>
    <w:rsid w:val="00A64E82"/>
    <w:rsid w:val="00A6589F"/>
    <w:rsid w:val="00A70DBD"/>
    <w:rsid w:val="00A70E88"/>
    <w:rsid w:val="00A74FA4"/>
    <w:rsid w:val="00A74FD0"/>
    <w:rsid w:val="00A7752B"/>
    <w:rsid w:val="00A80706"/>
    <w:rsid w:val="00A8590F"/>
    <w:rsid w:val="00A863FA"/>
    <w:rsid w:val="00A87B79"/>
    <w:rsid w:val="00A9009F"/>
    <w:rsid w:val="00A95B05"/>
    <w:rsid w:val="00A95E02"/>
    <w:rsid w:val="00A96379"/>
    <w:rsid w:val="00A977A5"/>
    <w:rsid w:val="00AA0513"/>
    <w:rsid w:val="00AA2302"/>
    <w:rsid w:val="00AA39AC"/>
    <w:rsid w:val="00AA5A91"/>
    <w:rsid w:val="00AA67B0"/>
    <w:rsid w:val="00AA70A0"/>
    <w:rsid w:val="00AA7964"/>
    <w:rsid w:val="00AB0746"/>
    <w:rsid w:val="00AB20C2"/>
    <w:rsid w:val="00AB2512"/>
    <w:rsid w:val="00AB28A5"/>
    <w:rsid w:val="00AB4128"/>
    <w:rsid w:val="00AB426A"/>
    <w:rsid w:val="00AB5EF4"/>
    <w:rsid w:val="00AC084A"/>
    <w:rsid w:val="00AC22F8"/>
    <w:rsid w:val="00AC4CE7"/>
    <w:rsid w:val="00AD0321"/>
    <w:rsid w:val="00AD4F5A"/>
    <w:rsid w:val="00AD7A1C"/>
    <w:rsid w:val="00AE0CA8"/>
    <w:rsid w:val="00AE183E"/>
    <w:rsid w:val="00AE3199"/>
    <w:rsid w:val="00AE3E85"/>
    <w:rsid w:val="00AE4C65"/>
    <w:rsid w:val="00AF595F"/>
    <w:rsid w:val="00AF5974"/>
    <w:rsid w:val="00AF6313"/>
    <w:rsid w:val="00AF6C81"/>
    <w:rsid w:val="00B07CA5"/>
    <w:rsid w:val="00B102CE"/>
    <w:rsid w:val="00B109CA"/>
    <w:rsid w:val="00B10D2D"/>
    <w:rsid w:val="00B1260D"/>
    <w:rsid w:val="00B20803"/>
    <w:rsid w:val="00B21956"/>
    <w:rsid w:val="00B279ED"/>
    <w:rsid w:val="00B27C54"/>
    <w:rsid w:val="00B30421"/>
    <w:rsid w:val="00B30E7B"/>
    <w:rsid w:val="00B30FBD"/>
    <w:rsid w:val="00B318AF"/>
    <w:rsid w:val="00B32928"/>
    <w:rsid w:val="00B3715A"/>
    <w:rsid w:val="00B373F7"/>
    <w:rsid w:val="00B37DB0"/>
    <w:rsid w:val="00B452CE"/>
    <w:rsid w:val="00B47CAE"/>
    <w:rsid w:val="00B51036"/>
    <w:rsid w:val="00B52468"/>
    <w:rsid w:val="00B54558"/>
    <w:rsid w:val="00B5510E"/>
    <w:rsid w:val="00B55B61"/>
    <w:rsid w:val="00B569B8"/>
    <w:rsid w:val="00B5758E"/>
    <w:rsid w:val="00B57DDB"/>
    <w:rsid w:val="00B57E25"/>
    <w:rsid w:val="00B6190F"/>
    <w:rsid w:val="00B61CB3"/>
    <w:rsid w:val="00B62B09"/>
    <w:rsid w:val="00B6375F"/>
    <w:rsid w:val="00B63BA5"/>
    <w:rsid w:val="00B64561"/>
    <w:rsid w:val="00B64689"/>
    <w:rsid w:val="00B64885"/>
    <w:rsid w:val="00B65AC1"/>
    <w:rsid w:val="00B67E00"/>
    <w:rsid w:val="00B71DBE"/>
    <w:rsid w:val="00B749AB"/>
    <w:rsid w:val="00B808BA"/>
    <w:rsid w:val="00B80F4D"/>
    <w:rsid w:val="00B81589"/>
    <w:rsid w:val="00B8246A"/>
    <w:rsid w:val="00B82A5D"/>
    <w:rsid w:val="00B849F0"/>
    <w:rsid w:val="00B8789B"/>
    <w:rsid w:val="00B87DEA"/>
    <w:rsid w:val="00B915B4"/>
    <w:rsid w:val="00B9364B"/>
    <w:rsid w:val="00BA3480"/>
    <w:rsid w:val="00BA70E7"/>
    <w:rsid w:val="00BB121F"/>
    <w:rsid w:val="00BB4BA7"/>
    <w:rsid w:val="00BB66A3"/>
    <w:rsid w:val="00BC3B75"/>
    <w:rsid w:val="00BC4E63"/>
    <w:rsid w:val="00BC5E56"/>
    <w:rsid w:val="00BC64DB"/>
    <w:rsid w:val="00BC73DA"/>
    <w:rsid w:val="00BD31F7"/>
    <w:rsid w:val="00BD363C"/>
    <w:rsid w:val="00BD455A"/>
    <w:rsid w:val="00BD7E49"/>
    <w:rsid w:val="00BE0803"/>
    <w:rsid w:val="00BF5278"/>
    <w:rsid w:val="00BF717E"/>
    <w:rsid w:val="00BF75E4"/>
    <w:rsid w:val="00C04655"/>
    <w:rsid w:val="00C0481A"/>
    <w:rsid w:val="00C05421"/>
    <w:rsid w:val="00C07BE0"/>
    <w:rsid w:val="00C10415"/>
    <w:rsid w:val="00C1693E"/>
    <w:rsid w:val="00C17A9D"/>
    <w:rsid w:val="00C21907"/>
    <w:rsid w:val="00C2291A"/>
    <w:rsid w:val="00C2792C"/>
    <w:rsid w:val="00C3194C"/>
    <w:rsid w:val="00C32394"/>
    <w:rsid w:val="00C3301F"/>
    <w:rsid w:val="00C34F9D"/>
    <w:rsid w:val="00C3558E"/>
    <w:rsid w:val="00C36D47"/>
    <w:rsid w:val="00C37016"/>
    <w:rsid w:val="00C3723E"/>
    <w:rsid w:val="00C37BF7"/>
    <w:rsid w:val="00C401F8"/>
    <w:rsid w:val="00C41117"/>
    <w:rsid w:val="00C416E2"/>
    <w:rsid w:val="00C457CF"/>
    <w:rsid w:val="00C53468"/>
    <w:rsid w:val="00C5389B"/>
    <w:rsid w:val="00C56561"/>
    <w:rsid w:val="00C5767B"/>
    <w:rsid w:val="00C64379"/>
    <w:rsid w:val="00C6514B"/>
    <w:rsid w:val="00C67708"/>
    <w:rsid w:val="00C76E7B"/>
    <w:rsid w:val="00C820F8"/>
    <w:rsid w:val="00C86BA1"/>
    <w:rsid w:val="00C8791B"/>
    <w:rsid w:val="00C87AEB"/>
    <w:rsid w:val="00C87BC1"/>
    <w:rsid w:val="00C924D9"/>
    <w:rsid w:val="00C946AC"/>
    <w:rsid w:val="00C960D6"/>
    <w:rsid w:val="00C96E42"/>
    <w:rsid w:val="00CA29D1"/>
    <w:rsid w:val="00CA53A3"/>
    <w:rsid w:val="00CB0293"/>
    <w:rsid w:val="00CB1C08"/>
    <w:rsid w:val="00CB3180"/>
    <w:rsid w:val="00CB37A5"/>
    <w:rsid w:val="00CB3CB2"/>
    <w:rsid w:val="00CB4BA2"/>
    <w:rsid w:val="00CB5FD0"/>
    <w:rsid w:val="00CB66C1"/>
    <w:rsid w:val="00CC1058"/>
    <w:rsid w:val="00CC1ECE"/>
    <w:rsid w:val="00CC3A9C"/>
    <w:rsid w:val="00CC45C6"/>
    <w:rsid w:val="00CC56C1"/>
    <w:rsid w:val="00CC5A90"/>
    <w:rsid w:val="00CD13A3"/>
    <w:rsid w:val="00CD267C"/>
    <w:rsid w:val="00CD594A"/>
    <w:rsid w:val="00CD65FE"/>
    <w:rsid w:val="00CD79C8"/>
    <w:rsid w:val="00CE0478"/>
    <w:rsid w:val="00CE29D9"/>
    <w:rsid w:val="00CE3A9B"/>
    <w:rsid w:val="00CE4042"/>
    <w:rsid w:val="00CE44AD"/>
    <w:rsid w:val="00CE7531"/>
    <w:rsid w:val="00CF176F"/>
    <w:rsid w:val="00CF61EB"/>
    <w:rsid w:val="00D02866"/>
    <w:rsid w:val="00D03A12"/>
    <w:rsid w:val="00D11C82"/>
    <w:rsid w:val="00D133DD"/>
    <w:rsid w:val="00D13A56"/>
    <w:rsid w:val="00D16214"/>
    <w:rsid w:val="00D16D34"/>
    <w:rsid w:val="00D201ED"/>
    <w:rsid w:val="00D2192C"/>
    <w:rsid w:val="00D22A9B"/>
    <w:rsid w:val="00D23D73"/>
    <w:rsid w:val="00D26364"/>
    <w:rsid w:val="00D26D34"/>
    <w:rsid w:val="00D33F2D"/>
    <w:rsid w:val="00D34919"/>
    <w:rsid w:val="00D37D87"/>
    <w:rsid w:val="00D4223A"/>
    <w:rsid w:val="00D42333"/>
    <w:rsid w:val="00D441FB"/>
    <w:rsid w:val="00D4486F"/>
    <w:rsid w:val="00D454B6"/>
    <w:rsid w:val="00D4740A"/>
    <w:rsid w:val="00D52CC8"/>
    <w:rsid w:val="00D55660"/>
    <w:rsid w:val="00D556C3"/>
    <w:rsid w:val="00D6044B"/>
    <w:rsid w:val="00D6069F"/>
    <w:rsid w:val="00D62198"/>
    <w:rsid w:val="00D63107"/>
    <w:rsid w:val="00D67489"/>
    <w:rsid w:val="00D67BC8"/>
    <w:rsid w:val="00D67CB9"/>
    <w:rsid w:val="00D70416"/>
    <w:rsid w:val="00D7121F"/>
    <w:rsid w:val="00D71484"/>
    <w:rsid w:val="00D73F47"/>
    <w:rsid w:val="00D75F03"/>
    <w:rsid w:val="00D80229"/>
    <w:rsid w:val="00D814B1"/>
    <w:rsid w:val="00D8257D"/>
    <w:rsid w:val="00D825E6"/>
    <w:rsid w:val="00D84B92"/>
    <w:rsid w:val="00D85BB1"/>
    <w:rsid w:val="00D8702E"/>
    <w:rsid w:val="00D8730D"/>
    <w:rsid w:val="00D87C70"/>
    <w:rsid w:val="00D9021F"/>
    <w:rsid w:val="00D90B81"/>
    <w:rsid w:val="00D90BB2"/>
    <w:rsid w:val="00D90C33"/>
    <w:rsid w:val="00D90E65"/>
    <w:rsid w:val="00D91051"/>
    <w:rsid w:val="00D92607"/>
    <w:rsid w:val="00D938C5"/>
    <w:rsid w:val="00D93F63"/>
    <w:rsid w:val="00D9410A"/>
    <w:rsid w:val="00D94365"/>
    <w:rsid w:val="00D951A5"/>
    <w:rsid w:val="00D96369"/>
    <w:rsid w:val="00DA21A9"/>
    <w:rsid w:val="00DA2830"/>
    <w:rsid w:val="00DA2B6A"/>
    <w:rsid w:val="00DA3EEC"/>
    <w:rsid w:val="00DA795E"/>
    <w:rsid w:val="00DB09DC"/>
    <w:rsid w:val="00DB43B9"/>
    <w:rsid w:val="00DB4D7D"/>
    <w:rsid w:val="00DB5AA1"/>
    <w:rsid w:val="00DB65B6"/>
    <w:rsid w:val="00DB7FAB"/>
    <w:rsid w:val="00DC015D"/>
    <w:rsid w:val="00DC05BD"/>
    <w:rsid w:val="00DC1280"/>
    <w:rsid w:val="00DC2311"/>
    <w:rsid w:val="00DC3CB6"/>
    <w:rsid w:val="00DC66A1"/>
    <w:rsid w:val="00DC6FB9"/>
    <w:rsid w:val="00DC72FF"/>
    <w:rsid w:val="00DD2962"/>
    <w:rsid w:val="00DD3017"/>
    <w:rsid w:val="00DD58C3"/>
    <w:rsid w:val="00DE1C67"/>
    <w:rsid w:val="00DE2689"/>
    <w:rsid w:val="00DE2FEA"/>
    <w:rsid w:val="00DE38F2"/>
    <w:rsid w:val="00DE46DB"/>
    <w:rsid w:val="00DE61E0"/>
    <w:rsid w:val="00DE62F1"/>
    <w:rsid w:val="00DE6352"/>
    <w:rsid w:val="00DE647F"/>
    <w:rsid w:val="00DF023B"/>
    <w:rsid w:val="00DF1408"/>
    <w:rsid w:val="00DF4BDE"/>
    <w:rsid w:val="00DF7443"/>
    <w:rsid w:val="00E0009B"/>
    <w:rsid w:val="00E015EA"/>
    <w:rsid w:val="00E017AB"/>
    <w:rsid w:val="00E01B23"/>
    <w:rsid w:val="00E02554"/>
    <w:rsid w:val="00E03395"/>
    <w:rsid w:val="00E065A2"/>
    <w:rsid w:val="00E1007E"/>
    <w:rsid w:val="00E12790"/>
    <w:rsid w:val="00E12ABF"/>
    <w:rsid w:val="00E12C24"/>
    <w:rsid w:val="00E15407"/>
    <w:rsid w:val="00E156DB"/>
    <w:rsid w:val="00E172C6"/>
    <w:rsid w:val="00E2278C"/>
    <w:rsid w:val="00E24EB2"/>
    <w:rsid w:val="00E2598B"/>
    <w:rsid w:val="00E26948"/>
    <w:rsid w:val="00E30D5A"/>
    <w:rsid w:val="00E32FBC"/>
    <w:rsid w:val="00E334B2"/>
    <w:rsid w:val="00E34178"/>
    <w:rsid w:val="00E341DD"/>
    <w:rsid w:val="00E35C7C"/>
    <w:rsid w:val="00E37403"/>
    <w:rsid w:val="00E37DDB"/>
    <w:rsid w:val="00E40F08"/>
    <w:rsid w:val="00E41835"/>
    <w:rsid w:val="00E441E3"/>
    <w:rsid w:val="00E46778"/>
    <w:rsid w:val="00E468EB"/>
    <w:rsid w:val="00E47CD2"/>
    <w:rsid w:val="00E502CC"/>
    <w:rsid w:val="00E506D8"/>
    <w:rsid w:val="00E5373E"/>
    <w:rsid w:val="00E5443A"/>
    <w:rsid w:val="00E55A3B"/>
    <w:rsid w:val="00E57D38"/>
    <w:rsid w:val="00E57E2B"/>
    <w:rsid w:val="00E600C4"/>
    <w:rsid w:val="00E61DA6"/>
    <w:rsid w:val="00E626AE"/>
    <w:rsid w:val="00E671C6"/>
    <w:rsid w:val="00E6736B"/>
    <w:rsid w:val="00E67DFC"/>
    <w:rsid w:val="00E706D3"/>
    <w:rsid w:val="00E72948"/>
    <w:rsid w:val="00E72A3A"/>
    <w:rsid w:val="00E734F2"/>
    <w:rsid w:val="00E7351A"/>
    <w:rsid w:val="00E74E73"/>
    <w:rsid w:val="00E75732"/>
    <w:rsid w:val="00E76063"/>
    <w:rsid w:val="00E8004D"/>
    <w:rsid w:val="00E80A3E"/>
    <w:rsid w:val="00E80AB3"/>
    <w:rsid w:val="00E81474"/>
    <w:rsid w:val="00E84A5A"/>
    <w:rsid w:val="00E856F9"/>
    <w:rsid w:val="00E863C8"/>
    <w:rsid w:val="00E86BA0"/>
    <w:rsid w:val="00E90BF6"/>
    <w:rsid w:val="00E91A71"/>
    <w:rsid w:val="00E92ED0"/>
    <w:rsid w:val="00E93940"/>
    <w:rsid w:val="00E94DE2"/>
    <w:rsid w:val="00E95CD8"/>
    <w:rsid w:val="00EA1ADB"/>
    <w:rsid w:val="00EA1C98"/>
    <w:rsid w:val="00EA2599"/>
    <w:rsid w:val="00EA62DA"/>
    <w:rsid w:val="00EA67E7"/>
    <w:rsid w:val="00EA7FC7"/>
    <w:rsid w:val="00EB1334"/>
    <w:rsid w:val="00EB187C"/>
    <w:rsid w:val="00EB2AF6"/>
    <w:rsid w:val="00EB648E"/>
    <w:rsid w:val="00EC25ED"/>
    <w:rsid w:val="00EC7712"/>
    <w:rsid w:val="00EC7772"/>
    <w:rsid w:val="00ED024E"/>
    <w:rsid w:val="00ED2F66"/>
    <w:rsid w:val="00ED4413"/>
    <w:rsid w:val="00ED556F"/>
    <w:rsid w:val="00ED6EE5"/>
    <w:rsid w:val="00EE4CAD"/>
    <w:rsid w:val="00EE5DF6"/>
    <w:rsid w:val="00EE6AEF"/>
    <w:rsid w:val="00EE731E"/>
    <w:rsid w:val="00EF1CA5"/>
    <w:rsid w:val="00EF262E"/>
    <w:rsid w:val="00EF7539"/>
    <w:rsid w:val="00F000FC"/>
    <w:rsid w:val="00F002EF"/>
    <w:rsid w:val="00F02297"/>
    <w:rsid w:val="00F03CCA"/>
    <w:rsid w:val="00F04F05"/>
    <w:rsid w:val="00F06680"/>
    <w:rsid w:val="00F07247"/>
    <w:rsid w:val="00F07DC9"/>
    <w:rsid w:val="00F10D1E"/>
    <w:rsid w:val="00F1120D"/>
    <w:rsid w:val="00F1317D"/>
    <w:rsid w:val="00F146B2"/>
    <w:rsid w:val="00F16CD3"/>
    <w:rsid w:val="00F17224"/>
    <w:rsid w:val="00F201A1"/>
    <w:rsid w:val="00F20375"/>
    <w:rsid w:val="00F2463F"/>
    <w:rsid w:val="00F24B9A"/>
    <w:rsid w:val="00F3029C"/>
    <w:rsid w:val="00F32687"/>
    <w:rsid w:val="00F32E25"/>
    <w:rsid w:val="00F34DD2"/>
    <w:rsid w:val="00F34E82"/>
    <w:rsid w:val="00F3670A"/>
    <w:rsid w:val="00F370CF"/>
    <w:rsid w:val="00F37ADD"/>
    <w:rsid w:val="00F37B21"/>
    <w:rsid w:val="00F42B58"/>
    <w:rsid w:val="00F43BC8"/>
    <w:rsid w:val="00F44927"/>
    <w:rsid w:val="00F459D8"/>
    <w:rsid w:val="00F45CC3"/>
    <w:rsid w:val="00F5298E"/>
    <w:rsid w:val="00F53F0E"/>
    <w:rsid w:val="00F550C3"/>
    <w:rsid w:val="00F56598"/>
    <w:rsid w:val="00F609A0"/>
    <w:rsid w:val="00F635D4"/>
    <w:rsid w:val="00F648E9"/>
    <w:rsid w:val="00F66B3D"/>
    <w:rsid w:val="00F67B77"/>
    <w:rsid w:val="00F7020E"/>
    <w:rsid w:val="00F703AE"/>
    <w:rsid w:val="00F714E0"/>
    <w:rsid w:val="00F71B25"/>
    <w:rsid w:val="00F748E2"/>
    <w:rsid w:val="00F76486"/>
    <w:rsid w:val="00F76CCA"/>
    <w:rsid w:val="00F77365"/>
    <w:rsid w:val="00F80F2F"/>
    <w:rsid w:val="00F83483"/>
    <w:rsid w:val="00F8489C"/>
    <w:rsid w:val="00F84B5E"/>
    <w:rsid w:val="00F84C03"/>
    <w:rsid w:val="00F85231"/>
    <w:rsid w:val="00F87698"/>
    <w:rsid w:val="00F90EFE"/>
    <w:rsid w:val="00F91767"/>
    <w:rsid w:val="00F93818"/>
    <w:rsid w:val="00F94BB8"/>
    <w:rsid w:val="00F94DDB"/>
    <w:rsid w:val="00F9635F"/>
    <w:rsid w:val="00FA0AAA"/>
    <w:rsid w:val="00FA3C92"/>
    <w:rsid w:val="00FA5898"/>
    <w:rsid w:val="00FA7A5D"/>
    <w:rsid w:val="00FA7D36"/>
    <w:rsid w:val="00FB418B"/>
    <w:rsid w:val="00FB4D8C"/>
    <w:rsid w:val="00FB62FD"/>
    <w:rsid w:val="00FB64E9"/>
    <w:rsid w:val="00FB695E"/>
    <w:rsid w:val="00FC2399"/>
    <w:rsid w:val="00FC39AA"/>
    <w:rsid w:val="00FC3D72"/>
    <w:rsid w:val="00FC6C61"/>
    <w:rsid w:val="00FC6F8F"/>
    <w:rsid w:val="00FD0A15"/>
    <w:rsid w:val="00FD0A5F"/>
    <w:rsid w:val="00FD1FB5"/>
    <w:rsid w:val="00FD4444"/>
    <w:rsid w:val="00FD7608"/>
    <w:rsid w:val="00FE143C"/>
    <w:rsid w:val="00FE3D2F"/>
    <w:rsid w:val="00FE676D"/>
    <w:rsid w:val="00FE6E4D"/>
    <w:rsid w:val="00FF0A5D"/>
    <w:rsid w:val="00FF1718"/>
    <w:rsid w:val="00FF2170"/>
    <w:rsid w:val="00FF2197"/>
    <w:rsid w:val="00FF3E7D"/>
    <w:rsid w:val="00FF4F15"/>
    <w:rsid w:val="00FF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6DBF"/>
  <w15:chartTrackingRefBased/>
  <w15:docId w15:val="{C29903AF-D1D5-4F46-8859-DEE9CBFE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45"/>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9"/>
    <w:qFormat/>
    <w:rsid w:val="00F34DD2"/>
    <w:pPr>
      <w:keepNext/>
      <w:keepLines/>
      <w:spacing w:before="480" w:after="0"/>
      <w:outlineLvl w:val="0"/>
    </w:pPr>
    <w:rPr>
      <w:rFonts w:ascii="Cambria" w:eastAsia="Times New Roman" w:hAnsi="Cambria"/>
      <w:b/>
      <w:bCs/>
      <w:color w:val="365F91"/>
      <w:sz w:val="28"/>
      <w:szCs w:val="28"/>
    </w:rPr>
  </w:style>
  <w:style w:type="paragraph" w:styleId="Heading2">
    <w:name w:val="heading 2"/>
    <w:aliases w:val="Subheading 1"/>
    <w:basedOn w:val="Normal"/>
    <w:next w:val="Normal"/>
    <w:link w:val="Heading2Char"/>
    <w:uiPriority w:val="99"/>
    <w:qFormat/>
    <w:rsid w:val="00F34DD2"/>
    <w:pPr>
      <w:outlineLvl w:val="1"/>
    </w:pPr>
    <w:rPr>
      <w:rFonts w:ascii="Arial" w:eastAsia="Times New Roman" w:hAnsi="Arial" w:cs="Arial"/>
      <w:color w:val="0070C0"/>
      <w:sz w:val="24"/>
      <w:lang w:val="en-GB" w:eastAsia="de-DE"/>
    </w:rPr>
  </w:style>
  <w:style w:type="paragraph" w:styleId="Heading3">
    <w:name w:val="heading 3"/>
    <w:basedOn w:val="Normal"/>
    <w:next w:val="Normal"/>
    <w:link w:val="Heading3Char"/>
    <w:uiPriority w:val="99"/>
    <w:qFormat/>
    <w:rsid w:val="00F34DD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F34DD2"/>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4DD2"/>
    <w:rPr>
      <w:rFonts w:ascii="Cambria" w:eastAsia="Times New Roman" w:hAnsi="Cambria" w:cs="Times New Roman"/>
      <w:b/>
      <w:bCs/>
      <w:color w:val="365F91"/>
      <w:sz w:val="28"/>
      <w:szCs w:val="28"/>
    </w:rPr>
  </w:style>
  <w:style w:type="character" w:customStyle="1" w:styleId="Heading2Char">
    <w:name w:val="Heading 2 Char"/>
    <w:aliases w:val="Subheading 1 Char"/>
    <w:basedOn w:val="DefaultParagraphFont"/>
    <w:link w:val="Heading2"/>
    <w:uiPriority w:val="99"/>
    <w:rsid w:val="00F34DD2"/>
    <w:rPr>
      <w:rFonts w:eastAsia="Times New Roman"/>
      <w:color w:val="0070C0"/>
      <w:sz w:val="24"/>
      <w:szCs w:val="22"/>
      <w:lang w:val="en-GB" w:eastAsia="de-DE"/>
    </w:rPr>
  </w:style>
  <w:style w:type="character" w:customStyle="1" w:styleId="Heading3Char">
    <w:name w:val="Heading 3 Char"/>
    <w:basedOn w:val="DefaultParagraphFont"/>
    <w:link w:val="Heading3"/>
    <w:uiPriority w:val="99"/>
    <w:rsid w:val="00F34DD2"/>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9"/>
    <w:rsid w:val="00F34DD2"/>
    <w:rPr>
      <w:rFonts w:ascii="Cambria" w:eastAsia="Times New Roman" w:hAnsi="Cambria" w:cs="Times New Roman"/>
      <w:i/>
      <w:iCs/>
      <w:color w:val="365F91"/>
      <w:sz w:val="22"/>
      <w:szCs w:val="22"/>
    </w:rPr>
  </w:style>
  <w:style w:type="paragraph" w:customStyle="1" w:styleId="Bullet">
    <w:name w:val="Bullet"/>
    <w:basedOn w:val="Normal"/>
    <w:link w:val="BulletChar"/>
    <w:uiPriority w:val="99"/>
    <w:rsid w:val="00F34DD2"/>
    <w:pPr>
      <w:numPr>
        <w:numId w:val="1"/>
      </w:numPr>
    </w:pPr>
    <w:rPr>
      <w:rFonts w:ascii="Arial" w:hAnsi="Arial" w:cs="Arial"/>
      <w:noProof/>
      <w:lang w:val="en-GB" w:eastAsia="de-DE"/>
    </w:rPr>
  </w:style>
  <w:style w:type="character" w:customStyle="1" w:styleId="BulletChar">
    <w:name w:val="Bullet Char"/>
    <w:basedOn w:val="DefaultParagraphFont"/>
    <w:link w:val="Bullet"/>
    <w:uiPriority w:val="99"/>
    <w:locked/>
    <w:rsid w:val="00F34DD2"/>
    <w:rPr>
      <w:rFonts w:eastAsia="Calibri"/>
      <w:noProof/>
      <w:sz w:val="22"/>
      <w:szCs w:val="22"/>
      <w:lang w:val="en-GB" w:eastAsia="de-DE"/>
    </w:rPr>
  </w:style>
  <w:style w:type="character" w:styleId="CommentReference">
    <w:name w:val="annotation reference"/>
    <w:basedOn w:val="DefaultParagraphFont"/>
    <w:uiPriority w:val="99"/>
    <w:semiHidden/>
    <w:rsid w:val="00F34DD2"/>
    <w:rPr>
      <w:rFonts w:cs="Times New Roman"/>
      <w:sz w:val="16"/>
      <w:szCs w:val="16"/>
    </w:rPr>
  </w:style>
  <w:style w:type="paragraph" w:styleId="CommentText">
    <w:name w:val="annotation text"/>
    <w:basedOn w:val="Normal"/>
    <w:link w:val="CommentTextChar"/>
    <w:uiPriority w:val="99"/>
    <w:semiHidden/>
    <w:rsid w:val="00F34DD2"/>
    <w:pPr>
      <w:spacing w:line="240" w:lineRule="auto"/>
    </w:pPr>
    <w:rPr>
      <w:sz w:val="20"/>
      <w:szCs w:val="20"/>
    </w:rPr>
  </w:style>
  <w:style w:type="character" w:customStyle="1" w:styleId="CommentTextChar">
    <w:name w:val="Comment Text Char"/>
    <w:basedOn w:val="DefaultParagraphFont"/>
    <w:link w:val="CommentText"/>
    <w:uiPriority w:val="99"/>
    <w:semiHidden/>
    <w:rsid w:val="00F34DD2"/>
    <w:rPr>
      <w:rFonts w:ascii="Calibri" w:eastAsia="Calibri" w:hAnsi="Calibri" w:cs="Times New Roman"/>
    </w:rPr>
  </w:style>
  <w:style w:type="paragraph" w:styleId="BalloonText">
    <w:name w:val="Balloon Text"/>
    <w:basedOn w:val="Normal"/>
    <w:link w:val="BalloonTextChar"/>
    <w:uiPriority w:val="99"/>
    <w:semiHidden/>
    <w:rsid w:val="00F34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DD2"/>
    <w:rPr>
      <w:rFonts w:ascii="Segoe UI" w:eastAsia="Calibri" w:hAnsi="Segoe UI" w:cs="Segoe UI"/>
      <w:sz w:val="18"/>
      <w:szCs w:val="18"/>
    </w:rPr>
  </w:style>
  <w:style w:type="paragraph" w:styleId="ListParagraph">
    <w:name w:val="List Paragraph"/>
    <w:basedOn w:val="Normal"/>
    <w:link w:val="ListParagraphChar"/>
    <w:uiPriority w:val="34"/>
    <w:qFormat/>
    <w:rsid w:val="00F34DD2"/>
    <w:pPr>
      <w:ind w:left="720"/>
      <w:contextualSpacing/>
    </w:pPr>
  </w:style>
  <w:style w:type="paragraph" w:styleId="NormalWeb">
    <w:name w:val="Normal (Web)"/>
    <w:basedOn w:val="Normal"/>
    <w:uiPriority w:val="99"/>
    <w:rsid w:val="00F34DD2"/>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rsid w:val="00F34DD2"/>
    <w:rPr>
      <w:b/>
      <w:bCs/>
      <w:lang w:val="en-GB"/>
    </w:rPr>
  </w:style>
  <w:style w:type="character" w:customStyle="1" w:styleId="CommentSubjectChar">
    <w:name w:val="Comment Subject Char"/>
    <w:basedOn w:val="CommentTextChar"/>
    <w:link w:val="CommentSubject"/>
    <w:uiPriority w:val="99"/>
    <w:semiHidden/>
    <w:rsid w:val="00F34DD2"/>
    <w:rPr>
      <w:rFonts w:ascii="Calibri" w:eastAsia="Calibri" w:hAnsi="Calibri" w:cs="Times New Roman"/>
      <w:b/>
      <w:bCs/>
      <w:lang w:val="en-GB"/>
    </w:rPr>
  </w:style>
  <w:style w:type="table" w:styleId="TableGrid">
    <w:name w:val="Table Grid"/>
    <w:basedOn w:val="TableNormal"/>
    <w:uiPriority w:val="99"/>
    <w:rsid w:val="00F34DD2"/>
    <w:pPr>
      <w:spacing w:after="0" w:line="240" w:lineRule="auto"/>
    </w:pPr>
    <w:rPr>
      <w:rFonts w:ascii="Calibri" w:eastAsia="Calibri"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4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DD2"/>
    <w:rPr>
      <w:rFonts w:ascii="Calibri" w:eastAsia="Calibri" w:hAnsi="Calibri" w:cs="Times New Roman"/>
      <w:sz w:val="22"/>
      <w:szCs w:val="22"/>
    </w:rPr>
  </w:style>
  <w:style w:type="paragraph" w:styleId="Footer">
    <w:name w:val="footer"/>
    <w:basedOn w:val="Normal"/>
    <w:link w:val="FooterChar"/>
    <w:uiPriority w:val="99"/>
    <w:rsid w:val="00F3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DD2"/>
    <w:rPr>
      <w:rFonts w:ascii="Calibri" w:eastAsia="Calibri" w:hAnsi="Calibri" w:cs="Times New Roman"/>
      <w:sz w:val="22"/>
      <w:szCs w:val="22"/>
    </w:rPr>
  </w:style>
  <w:style w:type="paragraph" w:styleId="Revision">
    <w:name w:val="Revision"/>
    <w:hidden/>
    <w:uiPriority w:val="99"/>
    <w:semiHidden/>
    <w:rsid w:val="001E3745"/>
    <w:pPr>
      <w:spacing w:after="0" w:line="240" w:lineRule="auto"/>
    </w:pPr>
    <w:rPr>
      <w:rFonts w:ascii="Calibri" w:eastAsia="Calibri" w:hAnsi="Calibri" w:cs="Times New Roman"/>
      <w:sz w:val="22"/>
      <w:szCs w:val="22"/>
      <w:lang w:val="en-GB"/>
    </w:rPr>
  </w:style>
  <w:style w:type="character" w:styleId="Hyperlink">
    <w:name w:val="Hyperlink"/>
    <w:basedOn w:val="DefaultParagraphFont"/>
    <w:uiPriority w:val="99"/>
    <w:rsid w:val="00F34DD2"/>
    <w:rPr>
      <w:rFonts w:cs="Times New Roman"/>
      <w:color w:val="0000FF"/>
      <w:u w:val="single"/>
    </w:rPr>
  </w:style>
  <w:style w:type="character" w:customStyle="1" w:styleId="apple-converted-space">
    <w:name w:val="apple-converted-space"/>
    <w:basedOn w:val="DefaultParagraphFont"/>
    <w:uiPriority w:val="99"/>
    <w:rsid w:val="00F34DD2"/>
    <w:rPr>
      <w:rFonts w:cs="Times New Roman"/>
    </w:rPr>
  </w:style>
  <w:style w:type="character" w:styleId="Emphasis">
    <w:name w:val="Emphasis"/>
    <w:basedOn w:val="DefaultParagraphFont"/>
    <w:uiPriority w:val="99"/>
    <w:qFormat/>
    <w:rsid w:val="00F34DD2"/>
    <w:rPr>
      <w:rFonts w:cs="Times New Roman"/>
      <w:i/>
      <w:iCs/>
    </w:rPr>
  </w:style>
  <w:style w:type="paragraph" w:customStyle="1" w:styleId="EndNoteBibliography">
    <w:name w:val="EndNote Bibliography"/>
    <w:basedOn w:val="Normal"/>
    <w:link w:val="EndNoteBibliographyChar"/>
    <w:uiPriority w:val="99"/>
    <w:rsid w:val="00F34DD2"/>
    <w:pPr>
      <w:spacing w:before="40" w:after="0" w:line="240" w:lineRule="auto"/>
    </w:pPr>
    <w:rPr>
      <w:rFonts w:eastAsia="MS Mincho"/>
      <w:noProof/>
      <w:szCs w:val="20"/>
      <w:lang w:eastAsia="zh-CN"/>
    </w:rPr>
  </w:style>
  <w:style w:type="character" w:customStyle="1" w:styleId="EndNoteBibliographyChar">
    <w:name w:val="EndNote Bibliography Char"/>
    <w:basedOn w:val="DefaultParagraphFont"/>
    <w:link w:val="EndNoteBibliography"/>
    <w:uiPriority w:val="99"/>
    <w:locked/>
    <w:rsid w:val="00F34DD2"/>
    <w:rPr>
      <w:rFonts w:ascii="Calibri" w:eastAsia="MS Mincho" w:hAnsi="Calibri" w:cs="Times New Roman"/>
      <w:noProof/>
      <w:sz w:val="22"/>
      <w:lang w:eastAsia="zh-CN"/>
    </w:rPr>
  </w:style>
  <w:style w:type="paragraph" w:customStyle="1" w:styleId="EndNoteBibliographyTitle">
    <w:name w:val="EndNote Bibliography Title"/>
    <w:basedOn w:val="Normal"/>
    <w:link w:val="EndNoteBibliographyTitleChar"/>
    <w:uiPriority w:val="99"/>
    <w:rsid w:val="00F34DD2"/>
    <w:pPr>
      <w:spacing w:after="0"/>
      <w:jc w:val="center"/>
    </w:pPr>
    <w:rPr>
      <w:noProof/>
    </w:rPr>
  </w:style>
  <w:style w:type="character" w:customStyle="1" w:styleId="EndNoteBibliographyTitleChar">
    <w:name w:val="EndNote Bibliography Title Char"/>
    <w:basedOn w:val="DefaultParagraphFont"/>
    <w:link w:val="EndNoteBibliographyTitle"/>
    <w:uiPriority w:val="99"/>
    <w:locked/>
    <w:rsid w:val="00F34DD2"/>
    <w:rPr>
      <w:rFonts w:ascii="Calibri" w:eastAsia="Calibri" w:hAnsi="Calibri" w:cs="Times New Roman"/>
      <w:noProof/>
      <w:sz w:val="22"/>
      <w:szCs w:val="22"/>
    </w:rPr>
  </w:style>
  <w:style w:type="character" w:customStyle="1" w:styleId="ListParagraphChar">
    <w:name w:val="List Paragraph Char"/>
    <w:basedOn w:val="DefaultParagraphFont"/>
    <w:link w:val="ListParagraph"/>
    <w:uiPriority w:val="34"/>
    <w:locked/>
    <w:rsid w:val="00F34DD2"/>
    <w:rPr>
      <w:rFonts w:ascii="Calibri" w:eastAsia="Calibri" w:hAnsi="Calibri" w:cs="Times New Roman"/>
      <w:sz w:val="22"/>
      <w:szCs w:val="22"/>
    </w:rPr>
  </w:style>
  <w:style w:type="table" w:customStyle="1" w:styleId="PlainTable31">
    <w:name w:val="Plain Table 31"/>
    <w:uiPriority w:val="99"/>
    <w:rsid w:val="00F34DD2"/>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TableGridLight1">
    <w:name w:val="Table Grid Light1"/>
    <w:basedOn w:val="TableNormal"/>
    <w:uiPriority w:val="40"/>
    <w:rsid w:val="00F34DD2"/>
    <w:pPr>
      <w:spacing w:after="0" w:line="240" w:lineRule="auto"/>
    </w:pPr>
    <w:rPr>
      <w:rFonts w:ascii="Calibri" w:eastAsia="Calibri" w:hAnsi="Calibri" w:cs="Times New Roman"/>
      <w:sz w:val="22"/>
      <w:szCs w:val="22"/>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F34DD2"/>
    <w:pPr>
      <w:spacing w:after="0" w:line="240" w:lineRule="auto"/>
    </w:pPr>
    <w:rPr>
      <w:rFonts w:ascii="Calibri" w:eastAsia="Calibri" w:hAnsi="Calibri" w:cs="Times New Roman"/>
      <w:sz w:val="22"/>
      <w:szCs w:val="22"/>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F34DD2"/>
  </w:style>
  <w:style w:type="numbering" w:customStyle="1" w:styleId="Style1">
    <w:name w:val="Style1"/>
    <w:uiPriority w:val="99"/>
    <w:rsid w:val="00F34DD2"/>
    <w:pPr>
      <w:numPr>
        <w:numId w:val="8"/>
      </w:numPr>
    </w:pPr>
  </w:style>
  <w:style w:type="numbering" w:customStyle="1" w:styleId="Style2">
    <w:name w:val="Style2"/>
    <w:uiPriority w:val="99"/>
    <w:rsid w:val="00F34DD2"/>
    <w:pPr>
      <w:numPr>
        <w:numId w:val="9"/>
      </w:numPr>
    </w:pPr>
  </w:style>
  <w:style w:type="numbering" w:customStyle="1" w:styleId="Style3">
    <w:name w:val="Style3"/>
    <w:uiPriority w:val="99"/>
    <w:rsid w:val="00F34DD2"/>
    <w:pPr>
      <w:numPr>
        <w:numId w:val="10"/>
      </w:numPr>
    </w:pPr>
  </w:style>
  <w:style w:type="numbering" w:customStyle="1" w:styleId="Style4">
    <w:name w:val="Style4"/>
    <w:uiPriority w:val="99"/>
    <w:rsid w:val="00F34DD2"/>
    <w:pPr>
      <w:numPr>
        <w:numId w:val="11"/>
      </w:numPr>
    </w:pPr>
  </w:style>
  <w:style w:type="table" w:styleId="TableGridLight">
    <w:name w:val="Grid Table Light"/>
    <w:basedOn w:val="TableNormal"/>
    <w:uiPriority w:val="40"/>
    <w:rsid w:val="001E3745"/>
    <w:pPr>
      <w:spacing w:after="0" w:line="240" w:lineRule="auto"/>
    </w:pPr>
    <w:rPr>
      <w:rFonts w:ascii="Calibri" w:eastAsia="Calibri" w:hAnsi="Calibri" w:cs="Times New Roman"/>
      <w:sz w:val="22"/>
      <w:szCs w:val="22"/>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E3745"/>
    <w:pPr>
      <w:spacing w:after="0" w:line="240" w:lineRule="auto"/>
    </w:pPr>
    <w:rPr>
      <w:rFonts w:ascii="Calibri" w:eastAsia="Calibri" w:hAnsi="Calibri" w:cs="Times New Roman"/>
      <w:sz w:val="22"/>
      <w:szCs w:val="22"/>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804">
      <w:bodyDiv w:val="1"/>
      <w:marLeft w:val="0"/>
      <w:marRight w:val="0"/>
      <w:marTop w:val="0"/>
      <w:marBottom w:val="0"/>
      <w:divBdr>
        <w:top w:val="none" w:sz="0" w:space="0" w:color="auto"/>
        <w:left w:val="none" w:sz="0" w:space="0" w:color="auto"/>
        <w:bottom w:val="none" w:sz="0" w:space="0" w:color="auto"/>
        <w:right w:val="none" w:sz="0" w:space="0" w:color="auto"/>
      </w:divBdr>
    </w:div>
    <w:div w:id="141578735">
      <w:bodyDiv w:val="1"/>
      <w:marLeft w:val="0"/>
      <w:marRight w:val="0"/>
      <w:marTop w:val="0"/>
      <w:marBottom w:val="0"/>
      <w:divBdr>
        <w:top w:val="none" w:sz="0" w:space="0" w:color="auto"/>
        <w:left w:val="none" w:sz="0" w:space="0" w:color="auto"/>
        <w:bottom w:val="none" w:sz="0" w:space="0" w:color="auto"/>
        <w:right w:val="none" w:sz="0" w:space="0" w:color="auto"/>
      </w:divBdr>
    </w:div>
    <w:div w:id="662465322">
      <w:bodyDiv w:val="1"/>
      <w:marLeft w:val="0"/>
      <w:marRight w:val="0"/>
      <w:marTop w:val="0"/>
      <w:marBottom w:val="0"/>
      <w:divBdr>
        <w:top w:val="none" w:sz="0" w:space="0" w:color="auto"/>
        <w:left w:val="none" w:sz="0" w:space="0" w:color="auto"/>
        <w:bottom w:val="none" w:sz="0" w:space="0" w:color="auto"/>
        <w:right w:val="none" w:sz="0" w:space="0" w:color="auto"/>
      </w:divBdr>
    </w:div>
    <w:div w:id="729577023">
      <w:bodyDiv w:val="1"/>
      <w:marLeft w:val="0"/>
      <w:marRight w:val="0"/>
      <w:marTop w:val="0"/>
      <w:marBottom w:val="0"/>
      <w:divBdr>
        <w:top w:val="none" w:sz="0" w:space="0" w:color="auto"/>
        <w:left w:val="none" w:sz="0" w:space="0" w:color="auto"/>
        <w:bottom w:val="none" w:sz="0" w:space="0" w:color="auto"/>
        <w:right w:val="none" w:sz="0" w:space="0" w:color="auto"/>
      </w:divBdr>
    </w:div>
    <w:div w:id="1049647936">
      <w:bodyDiv w:val="1"/>
      <w:marLeft w:val="0"/>
      <w:marRight w:val="0"/>
      <w:marTop w:val="0"/>
      <w:marBottom w:val="0"/>
      <w:divBdr>
        <w:top w:val="none" w:sz="0" w:space="0" w:color="auto"/>
        <w:left w:val="none" w:sz="0" w:space="0" w:color="auto"/>
        <w:bottom w:val="none" w:sz="0" w:space="0" w:color="auto"/>
        <w:right w:val="none" w:sz="0" w:space="0" w:color="auto"/>
      </w:divBdr>
    </w:div>
    <w:div w:id="1269384884">
      <w:bodyDiv w:val="1"/>
      <w:marLeft w:val="0"/>
      <w:marRight w:val="0"/>
      <w:marTop w:val="0"/>
      <w:marBottom w:val="0"/>
      <w:divBdr>
        <w:top w:val="none" w:sz="0" w:space="0" w:color="auto"/>
        <w:left w:val="none" w:sz="0" w:space="0" w:color="auto"/>
        <w:bottom w:val="none" w:sz="0" w:space="0" w:color="auto"/>
        <w:right w:val="none" w:sz="0" w:space="0" w:color="auto"/>
      </w:divBdr>
    </w:div>
    <w:div w:id="1432313446">
      <w:marLeft w:val="0"/>
      <w:marRight w:val="0"/>
      <w:marTop w:val="0"/>
      <w:marBottom w:val="0"/>
      <w:divBdr>
        <w:top w:val="none" w:sz="0" w:space="0" w:color="auto"/>
        <w:left w:val="none" w:sz="0" w:space="0" w:color="auto"/>
        <w:bottom w:val="none" w:sz="0" w:space="0" w:color="auto"/>
        <w:right w:val="none" w:sz="0" w:space="0" w:color="auto"/>
      </w:divBdr>
    </w:div>
    <w:div w:id="1432313447">
      <w:marLeft w:val="0"/>
      <w:marRight w:val="0"/>
      <w:marTop w:val="0"/>
      <w:marBottom w:val="0"/>
      <w:divBdr>
        <w:top w:val="none" w:sz="0" w:space="0" w:color="auto"/>
        <w:left w:val="none" w:sz="0" w:space="0" w:color="auto"/>
        <w:bottom w:val="none" w:sz="0" w:space="0" w:color="auto"/>
        <w:right w:val="none" w:sz="0" w:space="0" w:color="auto"/>
      </w:divBdr>
      <w:divsChild>
        <w:div w:id="1432313543">
          <w:marLeft w:val="0"/>
          <w:marRight w:val="0"/>
          <w:marTop w:val="0"/>
          <w:marBottom w:val="0"/>
          <w:divBdr>
            <w:top w:val="none" w:sz="0" w:space="0" w:color="auto"/>
            <w:left w:val="none" w:sz="0" w:space="0" w:color="auto"/>
            <w:bottom w:val="none" w:sz="0" w:space="0" w:color="auto"/>
            <w:right w:val="none" w:sz="0" w:space="0" w:color="auto"/>
          </w:divBdr>
          <w:divsChild>
            <w:div w:id="1432313501">
              <w:marLeft w:val="0"/>
              <w:marRight w:val="0"/>
              <w:marTop w:val="0"/>
              <w:marBottom w:val="0"/>
              <w:divBdr>
                <w:top w:val="none" w:sz="0" w:space="0" w:color="auto"/>
                <w:left w:val="none" w:sz="0" w:space="0" w:color="auto"/>
                <w:bottom w:val="none" w:sz="0" w:space="0" w:color="auto"/>
                <w:right w:val="none" w:sz="0" w:space="0" w:color="auto"/>
              </w:divBdr>
              <w:divsChild>
                <w:div w:id="1432313509">
                  <w:marLeft w:val="150"/>
                  <w:marRight w:val="150"/>
                  <w:marTop w:val="0"/>
                  <w:marBottom w:val="0"/>
                  <w:divBdr>
                    <w:top w:val="none" w:sz="0" w:space="0" w:color="auto"/>
                    <w:left w:val="none" w:sz="0" w:space="0" w:color="auto"/>
                    <w:bottom w:val="none" w:sz="0" w:space="0" w:color="auto"/>
                    <w:right w:val="none" w:sz="0" w:space="0" w:color="auto"/>
                  </w:divBdr>
                  <w:divsChild>
                    <w:div w:id="1432313474">
                      <w:marLeft w:val="0"/>
                      <w:marRight w:val="0"/>
                      <w:marTop w:val="0"/>
                      <w:marBottom w:val="0"/>
                      <w:divBdr>
                        <w:top w:val="none" w:sz="0" w:space="0" w:color="auto"/>
                        <w:left w:val="none" w:sz="0" w:space="0" w:color="auto"/>
                        <w:bottom w:val="none" w:sz="0" w:space="0" w:color="auto"/>
                        <w:right w:val="none" w:sz="0" w:space="0" w:color="auto"/>
                      </w:divBdr>
                      <w:divsChild>
                        <w:div w:id="1432313515">
                          <w:marLeft w:val="0"/>
                          <w:marRight w:val="0"/>
                          <w:marTop w:val="0"/>
                          <w:marBottom w:val="0"/>
                          <w:divBdr>
                            <w:top w:val="none" w:sz="0" w:space="0" w:color="auto"/>
                            <w:left w:val="none" w:sz="0" w:space="0" w:color="auto"/>
                            <w:bottom w:val="none" w:sz="0" w:space="0" w:color="auto"/>
                            <w:right w:val="none" w:sz="0" w:space="0" w:color="auto"/>
                          </w:divBdr>
                          <w:divsChild>
                            <w:div w:id="1432313521">
                              <w:marLeft w:val="0"/>
                              <w:marRight w:val="0"/>
                              <w:marTop w:val="0"/>
                              <w:marBottom w:val="0"/>
                              <w:divBdr>
                                <w:top w:val="none" w:sz="0" w:space="0" w:color="auto"/>
                                <w:left w:val="none" w:sz="0" w:space="0" w:color="auto"/>
                                <w:bottom w:val="none" w:sz="0" w:space="0" w:color="auto"/>
                                <w:right w:val="none" w:sz="0" w:space="0" w:color="auto"/>
                              </w:divBdr>
                              <w:divsChild>
                                <w:div w:id="1432313542">
                                  <w:marLeft w:val="0"/>
                                  <w:marRight w:val="0"/>
                                  <w:marTop w:val="0"/>
                                  <w:marBottom w:val="0"/>
                                  <w:divBdr>
                                    <w:top w:val="none" w:sz="0" w:space="0" w:color="auto"/>
                                    <w:left w:val="none" w:sz="0" w:space="0" w:color="auto"/>
                                    <w:bottom w:val="none" w:sz="0" w:space="0" w:color="auto"/>
                                    <w:right w:val="none" w:sz="0" w:space="0" w:color="auto"/>
                                  </w:divBdr>
                                  <w:divsChild>
                                    <w:div w:id="1432313539">
                                      <w:marLeft w:val="0"/>
                                      <w:marRight w:val="0"/>
                                      <w:marTop w:val="0"/>
                                      <w:marBottom w:val="0"/>
                                      <w:divBdr>
                                        <w:top w:val="none" w:sz="0" w:space="0" w:color="auto"/>
                                        <w:left w:val="none" w:sz="0" w:space="0" w:color="auto"/>
                                        <w:bottom w:val="none" w:sz="0" w:space="0" w:color="auto"/>
                                        <w:right w:val="none" w:sz="0" w:space="0" w:color="auto"/>
                                      </w:divBdr>
                                      <w:divsChild>
                                        <w:div w:id="1432313452">
                                          <w:marLeft w:val="0"/>
                                          <w:marRight w:val="0"/>
                                          <w:marTop w:val="0"/>
                                          <w:marBottom w:val="0"/>
                                          <w:divBdr>
                                            <w:top w:val="none" w:sz="0" w:space="0" w:color="auto"/>
                                            <w:left w:val="none" w:sz="0" w:space="0" w:color="auto"/>
                                            <w:bottom w:val="none" w:sz="0" w:space="0" w:color="auto"/>
                                            <w:right w:val="none" w:sz="0" w:space="0" w:color="auto"/>
                                          </w:divBdr>
                                          <w:divsChild>
                                            <w:div w:id="1432313522">
                                              <w:marLeft w:val="0"/>
                                              <w:marRight w:val="0"/>
                                              <w:marTop w:val="0"/>
                                              <w:marBottom w:val="0"/>
                                              <w:divBdr>
                                                <w:top w:val="none" w:sz="0" w:space="0" w:color="auto"/>
                                                <w:left w:val="none" w:sz="0" w:space="0" w:color="auto"/>
                                                <w:bottom w:val="none" w:sz="0" w:space="0" w:color="auto"/>
                                                <w:right w:val="none" w:sz="0" w:space="0" w:color="auto"/>
                                              </w:divBdr>
                                              <w:divsChild>
                                                <w:div w:id="1432313449">
                                                  <w:marLeft w:val="0"/>
                                                  <w:marRight w:val="0"/>
                                                  <w:marTop w:val="0"/>
                                                  <w:marBottom w:val="0"/>
                                                  <w:divBdr>
                                                    <w:top w:val="none" w:sz="0" w:space="0" w:color="auto"/>
                                                    <w:left w:val="none" w:sz="0" w:space="0" w:color="auto"/>
                                                    <w:bottom w:val="none" w:sz="0" w:space="0" w:color="auto"/>
                                                    <w:right w:val="none" w:sz="0" w:space="0" w:color="auto"/>
                                                  </w:divBdr>
                                                  <w:divsChild>
                                                    <w:div w:id="1432313541">
                                                      <w:marLeft w:val="0"/>
                                                      <w:marRight w:val="0"/>
                                                      <w:marTop w:val="0"/>
                                                      <w:marBottom w:val="0"/>
                                                      <w:divBdr>
                                                        <w:top w:val="none" w:sz="0" w:space="0" w:color="auto"/>
                                                        <w:left w:val="none" w:sz="0" w:space="0" w:color="auto"/>
                                                        <w:bottom w:val="none" w:sz="0" w:space="0" w:color="auto"/>
                                                        <w:right w:val="none" w:sz="0" w:space="0" w:color="auto"/>
                                                      </w:divBdr>
                                                      <w:divsChild>
                                                        <w:div w:id="1432313457">
                                                          <w:marLeft w:val="0"/>
                                                          <w:marRight w:val="0"/>
                                                          <w:marTop w:val="0"/>
                                                          <w:marBottom w:val="150"/>
                                                          <w:divBdr>
                                                            <w:top w:val="none" w:sz="0" w:space="0" w:color="auto"/>
                                                            <w:left w:val="none" w:sz="0" w:space="0" w:color="auto"/>
                                                            <w:bottom w:val="none" w:sz="0" w:space="0" w:color="auto"/>
                                                            <w:right w:val="none" w:sz="0" w:space="0" w:color="auto"/>
                                                          </w:divBdr>
                                                          <w:divsChild>
                                                            <w:div w:id="1432313540">
                                                              <w:marLeft w:val="0"/>
                                                              <w:marRight w:val="0"/>
                                                              <w:marTop w:val="0"/>
                                                              <w:marBottom w:val="0"/>
                                                              <w:divBdr>
                                                                <w:top w:val="none" w:sz="0" w:space="0" w:color="auto"/>
                                                                <w:left w:val="none" w:sz="0" w:space="0" w:color="auto"/>
                                                                <w:bottom w:val="none" w:sz="0" w:space="0" w:color="auto"/>
                                                                <w:right w:val="none" w:sz="0" w:space="0" w:color="auto"/>
                                                              </w:divBdr>
                                                              <w:divsChild>
                                                                <w:div w:id="1432313458">
                                                                  <w:marLeft w:val="0"/>
                                                                  <w:marRight w:val="0"/>
                                                                  <w:marTop w:val="0"/>
                                                                  <w:marBottom w:val="0"/>
                                                                  <w:divBdr>
                                                                    <w:top w:val="none" w:sz="0" w:space="0" w:color="auto"/>
                                                                    <w:left w:val="none" w:sz="0" w:space="0" w:color="auto"/>
                                                                    <w:bottom w:val="none" w:sz="0" w:space="0" w:color="auto"/>
                                                                    <w:right w:val="none" w:sz="0" w:space="0" w:color="auto"/>
                                                                  </w:divBdr>
                                                                  <w:divsChild>
                                                                    <w:div w:id="1432313465">
                                                                      <w:marLeft w:val="0"/>
                                                                      <w:marRight w:val="0"/>
                                                                      <w:marTop w:val="0"/>
                                                                      <w:marBottom w:val="0"/>
                                                                      <w:divBdr>
                                                                        <w:top w:val="none" w:sz="0" w:space="0" w:color="auto"/>
                                                                        <w:left w:val="none" w:sz="0" w:space="0" w:color="auto"/>
                                                                        <w:bottom w:val="none" w:sz="0" w:space="0" w:color="auto"/>
                                                                        <w:right w:val="none" w:sz="0" w:space="0" w:color="auto"/>
                                                                      </w:divBdr>
                                                                      <w:divsChild>
                                                                        <w:div w:id="1432313506">
                                                                          <w:marLeft w:val="0"/>
                                                                          <w:marRight w:val="0"/>
                                                                          <w:marTop w:val="0"/>
                                                                          <w:marBottom w:val="0"/>
                                                                          <w:divBdr>
                                                                            <w:top w:val="none" w:sz="0" w:space="0" w:color="auto"/>
                                                                            <w:left w:val="none" w:sz="0" w:space="0" w:color="auto"/>
                                                                            <w:bottom w:val="none" w:sz="0" w:space="0" w:color="auto"/>
                                                                            <w:right w:val="none" w:sz="0" w:space="0" w:color="auto"/>
                                                                          </w:divBdr>
                                                                          <w:divsChild>
                                                                            <w:div w:id="1432313504">
                                                                              <w:marLeft w:val="0"/>
                                                                              <w:marRight w:val="0"/>
                                                                              <w:marTop w:val="0"/>
                                                                              <w:marBottom w:val="0"/>
                                                                              <w:divBdr>
                                                                                <w:top w:val="none" w:sz="0" w:space="0" w:color="auto"/>
                                                                                <w:left w:val="none" w:sz="0" w:space="0" w:color="auto"/>
                                                                                <w:bottom w:val="none" w:sz="0" w:space="0" w:color="auto"/>
                                                                                <w:right w:val="none" w:sz="0" w:space="0" w:color="auto"/>
                                                                              </w:divBdr>
                                                                              <w:divsChild>
                                                                                <w:div w:id="1432313487">
                                                                                  <w:marLeft w:val="0"/>
                                                                                  <w:marRight w:val="0"/>
                                                                                  <w:marTop w:val="0"/>
                                                                                  <w:marBottom w:val="0"/>
                                                                                  <w:divBdr>
                                                                                    <w:top w:val="none" w:sz="0" w:space="0" w:color="auto"/>
                                                                                    <w:left w:val="none" w:sz="0" w:space="0" w:color="auto"/>
                                                                                    <w:bottom w:val="none" w:sz="0" w:space="0" w:color="auto"/>
                                                                                    <w:right w:val="none" w:sz="0" w:space="0" w:color="auto"/>
                                                                                  </w:divBdr>
                                                                                  <w:divsChild>
                                                                                    <w:div w:id="1432313480">
                                                                                      <w:marLeft w:val="0"/>
                                                                                      <w:marRight w:val="0"/>
                                                                                      <w:marTop w:val="0"/>
                                                                                      <w:marBottom w:val="0"/>
                                                                                      <w:divBdr>
                                                                                        <w:top w:val="none" w:sz="0" w:space="0" w:color="auto"/>
                                                                                        <w:left w:val="none" w:sz="0" w:space="0" w:color="auto"/>
                                                                                        <w:bottom w:val="none" w:sz="0" w:space="0" w:color="auto"/>
                                                                                        <w:right w:val="none" w:sz="0" w:space="0" w:color="auto"/>
                                                                                      </w:divBdr>
                                                                                      <w:divsChild>
                                                                                        <w:div w:id="1432313523">
                                                                                          <w:marLeft w:val="0"/>
                                                                                          <w:marRight w:val="0"/>
                                                                                          <w:marTop w:val="0"/>
                                                                                          <w:marBottom w:val="150"/>
                                                                                          <w:divBdr>
                                                                                            <w:top w:val="none" w:sz="0" w:space="0" w:color="auto"/>
                                                                                            <w:left w:val="none" w:sz="0" w:space="0" w:color="auto"/>
                                                                                            <w:bottom w:val="none" w:sz="0" w:space="0" w:color="auto"/>
                                                                                            <w:right w:val="none" w:sz="0" w:space="0" w:color="auto"/>
                                                                                          </w:divBdr>
                                                                                          <w:divsChild>
                                                                                            <w:div w:id="1432313470">
                                                                                              <w:marLeft w:val="0"/>
                                                                                              <w:marRight w:val="0"/>
                                                                                              <w:marTop w:val="0"/>
                                                                                              <w:marBottom w:val="0"/>
                                                                                              <w:divBdr>
                                                                                                <w:top w:val="none" w:sz="0" w:space="0" w:color="auto"/>
                                                                                                <w:left w:val="none" w:sz="0" w:space="0" w:color="auto"/>
                                                                                                <w:bottom w:val="none" w:sz="0" w:space="0" w:color="auto"/>
                                                                                                <w:right w:val="none" w:sz="0" w:space="0" w:color="auto"/>
                                                                                              </w:divBdr>
                                                                                              <w:divsChild>
                                                                                                <w:div w:id="1432313469">
                                                                                                  <w:marLeft w:val="0"/>
                                                                                                  <w:marRight w:val="0"/>
                                                                                                  <w:marTop w:val="0"/>
                                                                                                  <w:marBottom w:val="0"/>
                                                                                                  <w:divBdr>
                                                                                                    <w:top w:val="none" w:sz="0" w:space="0" w:color="auto"/>
                                                                                                    <w:left w:val="none" w:sz="0" w:space="0" w:color="auto"/>
                                                                                                    <w:bottom w:val="none" w:sz="0" w:space="0" w:color="auto"/>
                                                                                                    <w:right w:val="none" w:sz="0" w:space="0" w:color="auto"/>
                                                                                                  </w:divBdr>
                                                                                                  <w:divsChild>
                                                                                                    <w:div w:id="1432313486">
                                                                                                      <w:marLeft w:val="0"/>
                                                                                                      <w:marRight w:val="0"/>
                                                                                                      <w:marTop w:val="0"/>
                                                                                                      <w:marBottom w:val="0"/>
                                                                                                      <w:divBdr>
                                                                                                        <w:top w:val="none" w:sz="0" w:space="0" w:color="auto"/>
                                                                                                        <w:left w:val="none" w:sz="0" w:space="0" w:color="auto"/>
                                                                                                        <w:bottom w:val="none" w:sz="0" w:space="0" w:color="auto"/>
                                                                                                        <w:right w:val="none" w:sz="0" w:space="0" w:color="auto"/>
                                                                                                      </w:divBdr>
                                                                                                      <w:divsChild>
                                                                                                        <w:div w:id="1432313525">
                                                                                                          <w:marLeft w:val="0"/>
                                                                                                          <w:marRight w:val="0"/>
                                                                                                          <w:marTop w:val="0"/>
                                                                                                          <w:marBottom w:val="0"/>
                                                                                                          <w:divBdr>
                                                                                                            <w:top w:val="none" w:sz="0" w:space="0" w:color="auto"/>
                                                                                                            <w:left w:val="none" w:sz="0" w:space="0" w:color="auto"/>
                                                                                                            <w:bottom w:val="none" w:sz="0" w:space="0" w:color="auto"/>
                                                                                                            <w:right w:val="none" w:sz="0" w:space="0" w:color="auto"/>
                                                                                                          </w:divBdr>
                                                                                                          <w:divsChild>
                                                                                                            <w:div w:id="1432313459">
                                                                                                              <w:marLeft w:val="0"/>
                                                                                                              <w:marRight w:val="0"/>
                                                                                                              <w:marTop w:val="0"/>
                                                                                                              <w:marBottom w:val="0"/>
                                                                                                              <w:divBdr>
                                                                                                                <w:top w:val="none" w:sz="0" w:space="0" w:color="auto"/>
                                                                                                                <w:left w:val="none" w:sz="0" w:space="0" w:color="auto"/>
                                                                                                                <w:bottom w:val="none" w:sz="0" w:space="0" w:color="auto"/>
                                                                                                                <w:right w:val="none" w:sz="0" w:space="0" w:color="auto"/>
                                                                                                              </w:divBdr>
                                                                                                              <w:divsChild>
                                                                                                                <w:div w:id="1432313514">
                                                                                                                  <w:marLeft w:val="0"/>
                                                                                                                  <w:marRight w:val="0"/>
                                                                                                                  <w:marTop w:val="0"/>
                                                                                                                  <w:marBottom w:val="0"/>
                                                                                                                  <w:divBdr>
                                                                                                                    <w:top w:val="none" w:sz="0" w:space="0" w:color="auto"/>
                                                                                                                    <w:left w:val="none" w:sz="0" w:space="0" w:color="auto"/>
                                                                                                                    <w:bottom w:val="none" w:sz="0" w:space="0" w:color="auto"/>
                                                                                                                    <w:right w:val="none" w:sz="0" w:space="0" w:color="auto"/>
                                                                                                                  </w:divBdr>
                                                                                                                  <w:divsChild>
                                                                                                                    <w:div w:id="1432313503">
                                                                                                                      <w:marLeft w:val="0"/>
                                                                                                                      <w:marRight w:val="0"/>
                                                                                                                      <w:marTop w:val="0"/>
                                                                                                                      <w:marBottom w:val="0"/>
                                                                                                                      <w:divBdr>
                                                                                                                        <w:top w:val="none" w:sz="0" w:space="0" w:color="auto"/>
                                                                                                                        <w:left w:val="none" w:sz="0" w:space="0" w:color="auto"/>
                                                                                                                        <w:bottom w:val="none" w:sz="0" w:space="0" w:color="auto"/>
                                                                                                                        <w:right w:val="none" w:sz="0" w:space="0" w:color="auto"/>
                                                                                                                      </w:divBdr>
                                                                                                                      <w:divsChild>
                                                                                                                        <w:div w:id="14323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313448">
      <w:marLeft w:val="0"/>
      <w:marRight w:val="0"/>
      <w:marTop w:val="0"/>
      <w:marBottom w:val="0"/>
      <w:divBdr>
        <w:top w:val="none" w:sz="0" w:space="0" w:color="auto"/>
        <w:left w:val="none" w:sz="0" w:space="0" w:color="auto"/>
        <w:bottom w:val="none" w:sz="0" w:space="0" w:color="auto"/>
        <w:right w:val="none" w:sz="0" w:space="0" w:color="auto"/>
      </w:divBdr>
    </w:div>
    <w:div w:id="1432313450">
      <w:marLeft w:val="0"/>
      <w:marRight w:val="0"/>
      <w:marTop w:val="0"/>
      <w:marBottom w:val="0"/>
      <w:divBdr>
        <w:top w:val="none" w:sz="0" w:space="0" w:color="auto"/>
        <w:left w:val="none" w:sz="0" w:space="0" w:color="auto"/>
        <w:bottom w:val="none" w:sz="0" w:space="0" w:color="auto"/>
        <w:right w:val="none" w:sz="0" w:space="0" w:color="auto"/>
      </w:divBdr>
    </w:div>
    <w:div w:id="1432313451">
      <w:marLeft w:val="0"/>
      <w:marRight w:val="0"/>
      <w:marTop w:val="0"/>
      <w:marBottom w:val="0"/>
      <w:divBdr>
        <w:top w:val="none" w:sz="0" w:space="0" w:color="auto"/>
        <w:left w:val="none" w:sz="0" w:space="0" w:color="auto"/>
        <w:bottom w:val="none" w:sz="0" w:space="0" w:color="auto"/>
        <w:right w:val="none" w:sz="0" w:space="0" w:color="auto"/>
      </w:divBdr>
    </w:div>
    <w:div w:id="1432313453">
      <w:marLeft w:val="0"/>
      <w:marRight w:val="0"/>
      <w:marTop w:val="0"/>
      <w:marBottom w:val="0"/>
      <w:divBdr>
        <w:top w:val="none" w:sz="0" w:space="0" w:color="auto"/>
        <w:left w:val="none" w:sz="0" w:space="0" w:color="auto"/>
        <w:bottom w:val="none" w:sz="0" w:space="0" w:color="auto"/>
        <w:right w:val="none" w:sz="0" w:space="0" w:color="auto"/>
      </w:divBdr>
      <w:divsChild>
        <w:div w:id="1432313471">
          <w:marLeft w:val="360"/>
          <w:marRight w:val="0"/>
          <w:marTop w:val="120"/>
          <w:marBottom w:val="0"/>
          <w:divBdr>
            <w:top w:val="none" w:sz="0" w:space="0" w:color="auto"/>
            <w:left w:val="none" w:sz="0" w:space="0" w:color="auto"/>
            <w:bottom w:val="none" w:sz="0" w:space="0" w:color="auto"/>
            <w:right w:val="none" w:sz="0" w:space="0" w:color="auto"/>
          </w:divBdr>
        </w:div>
        <w:div w:id="1432313494">
          <w:marLeft w:val="360"/>
          <w:marRight w:val="0"/>
          <w:marTop w:val="120"/>
          <w:marBottom w:val="0"/>
          <w:divBdr>
            <w:top w:val="none" w:sz="0" w:space="0" w:color="auto"/>
            <w:left w:val="none" w:sz="0" w:space="0" w:color="auto"/>
            <w:bottom w:val="none" w:sz="0" w:space="0" w:color="auto"/>
            <w:right w:val="none" w:sz="0" w:space="0" w:color="auto"/>
          </w:divBdr>
        </w:div>
        <w:div w:id="1432313535">
          <w:marLeft w:val="360"/>
          <w:marRight w:val="0"/>
          <w:marTop w:val="120"/>
          <w:marBottom w:val="0"/>
          <w:divBdr>
            <w:top w:val="none" w:sz="0" w:space="0" w:color="auto"/>
            <w:left w:val="none" w:sz="0" w:space="0" w:color="auto"/>
            <w:bottom w:val="none" w:sz="0" w:space="0" w:color="auto"/>
            <w:right w:val="none" w:sz="0" w:space="0" w:color="auto"/>
          </w:divBdr>
        </w:div>
        <w:div w:id="1432313536">
          <w:marLeft w:val="360"/>
          <w:marRight w:val="0"/>
          <w:marTop w:val="120"/>
          <w:marBottom w:val="0"/>
          <w:divBdr>
            <w:top w:val="none" w:sz="0" w:space="0" w:color="auto"/>
            <w:left w:val="none" w:sz="0" w:space="0" w:color="auto"/>
            <w:bottom w:val="none" w:sz="0" w:space="0" w:color="auto"/>
            <w:right w:val="none" w:sz="0" w:space="0" w:color="auto"/>
          </w:divBdr>
        </w:div>
      </w:divsChild>
    </w:div>
    <w:div w:id="1432313454">
      <w:marLeft w:val="0"/>
      <w:marRight w:val="0"/>
      <w:marTop w:val="0"/>
      <w:marBottom w:val="0"/>
      <w:divBdr>
        <w:top w:val="none" w:sz="0" w:space="0" w:color="auto"/>
        <w:left w:val="none" w:sz="0" w:space="0" w:color="auto"/>
        <w:bottom w:val="none" w:sz="0" w:space="0" w:color="auto"/>
        <w:right w:val="none" w:sz="0" w:space="0" w:color="auto"/>
      </w:divBdr>
    </w:div>
    <w:div w:id="1432313455">
      <w:marLeft w:val="0"/>
      <w:marRight w:val="0"/>
      <w:marTop w:val="0"/>
      <w:marBottom w:val="0"/>
      <w:divBdr>
        <w:top w:val="none" w:sz="0" w:space="0" w:color="auto"/>
        <w:left w:val="none" w:sz="0" w:space="0" w:color="auto"/>
        <w:bottom w:val="none" w:sz="0" w:space="0" w:color="auto"/>
        <w:right w:val="none" w:sz="0" w:space="0" w:color="auto"/>
      </w:divBdr>
    </w:div>
    <w:div w:id="1432313456">
      <w:marLeft w:val="0"/>
      <w:marRight w:val="0"/>
      <w:marTop w:val="0"/>
      <w:marBottom w:val="0"/>
      <w:divBdr>
        <w:top w:val="none" w:sz="0" w:space="0" w:color="auto"/>
        <w:left w:val="none" w:sz="0" w:space="0" w:color="auto"/>
        <w:bottom w:val="none" w:sz="0" w:space="0" w:color="auto"/>
        <w:right w:val="none" w:sz="0" w:space="0" w:color="auto"/>
      </w:divBdr>
    </w:div>
    <w:div w:id="1432313460">
      <w:marLeft w:val="0"/>
      <w:marRight w:val="0"/>
      <w:marTop w:val="0"/>
      <w:marBottom w:val="0"/>
      <w:divBdr>
        <w:top w:val="none" w:sz="0" w:space="0" w:color="auto"/>
        <w:left w:val="none" w:sz="0" w:space="0" w:color="auto"/>
        <w:bottom w:val="none" w:sz="0" w:space="0" w:color="auto"/>
        <w:right w:val="none" w:sz="0" w:space="0" w:color="auto"/>
      </w:divBdr>
      <w:divsChild>
        <w:div w:id="1432313483">
          <w:marLeft w:val="360"/>
          <w:marRight w:val="0"/>
          <w:marTop w:val="240"/>
          <w:marBottom w:val="0"/>
          <w:divBdr>
            <w:top w:val="none" w:sz="0" w:space="0" w:color="auto"/>
            <w:left w:val="none" w:sz="0" w:space="0" w:color="auto"/>
            <w:bottom w:val="none" w:sz="0" w:space="0" w:color="auto"/>
            <w:right w:val="none" w:sz="0" w:space="0" w:color="auto"/>
          </w:divBdr>
        </w:div>
      </w:divsChild>
    </w:div>
    <w:div w:id="1432313461">
      <w:marLeft w:val="0"/>
      <w:marRight w:val="0"/>
      <w:marTop w:val="0"/>
      <w:marBottom w:val="0"/>
      <w:divBdr>
        <w:top w:val="none" w:sz="0" w:space="0" w:color="auto"/>
        <w:left w:val="none" w:sz="0" w:space="0" w:color="auto"/>
        <w:bottom w:val="none" w:sz="0" w:space="0" w:color="auto"/>
        <w:right w:val="none" w:sz="0" w:space="0" w:color="auto"/>
      </w:divBdr>
    </w:div>
    <w:div w:id="1432313463">
      <w:marLeft w:val="0"/>
      <w:marRight w:val="0"/>
      <w:marTop w:val="0"/>
      <w:marBottom w:val="0"/>
      <w:divBdr>
        <w:top w:val="none" w:sz="0" w:space="0" w:color="auto"/>
        <w:left w:val="none" w:sz="0" w:space="0" w:color="auto"/>
        <w:bottom w:val="none" w:sz="0" w:space="0" w:color="auto"/>
        <w:right w:val="none" w:sz="0" w:space="0" w:color="auto"/>
      </w:divBdr>
    </w:div>
    <w:div w:id="1432313464">
      <w:marLeft w:val="0"/>
      <w:marRight w:val="0"/>
      <w:marTop w:val="0"/>
      <w:marBottom w:val="0"/>
      <w:divBdr>
        <w:top w:val="none" w:sz="0" w:space="0" w:color="auto"/>
        <w:left w:val="none" w:sz="0" w:space="0" w:color="auto"/>
        <w:bottom w:val="none" w:sz="0" w:space="0" w:color="auto"/>
        <w:right w:val="none" w:sz="0" w:space="0" w:color="auto"/>
      </w:divBdr>
    </w:div>
    <w:div w:id="1432313466">
      <w:marLeft w:val="0"/>
      <w:marRight w:val="0"/>
      <w:marTop w:val="0"/>
      <w:marBottom w:val="0"/>
      <w:divBdr>
        <w:top w:val="none" w:sz="0" w:space="0" w:color="auto"/>
        <w:left w:val="none" w:sz="0" w:space="0" w:color="auto"/>
        <w:bottom w:val="none" w:sz="0" w:space="0" w:color="auto"/>
        <w:right w:val="none" w:sz="0" w:space="0" w:color="auto"/>
      </w:divBdr>
    </w:div>
    <w:div w:id="1432313467">
      <w:marLeft w:val="0"/>
      <w:marRight w:val="0"/>
      <w:marTop w:val="0"/>
      <w:marBottom w:val="0"/>
      <w:divBdr>
        <w:top w:val="none" w:sz="0" w:space="0" w:color="auto"/>
        <w:left w:val="none" w:sz="0" w:space="0" w:color="auto"/>
        <w:bottom w:val="none" w:sz="0" w:space="0" w:color="auto"/>
        <w:right w:val="none" w:sz="0" w:space="0" w:color="auto"/>
      </w:divBdr>
    </w:div>
    <w:div w:id="1432313468">
      <w:marLeft w:val="0"/>
      <w:marRight w:val="0"/>
      <w:marTop w:val="0"/>
      <w:marBottom w:val="0"/>
      <w:divBdr>
        <w:top w:val="none" w:sz="0" w:space="0" w:color="auto"/>
        <w:left w:val="none" w:sz="0" w:space="0" w:color="auto"/>
        <w:bottom w:val="none" w:sz="0" w:space="0" w:color="auto"/>
        <w:right w:val="none" w:sz="0" w:space="0" w:color="auto"/>
      </w:divBdr>
    </w:div>
    <w:div w:id="1432313473">
      <w:marLeft w:val="0"/>
      <w:marRight w:val="0"/>
      <w:marTop w:val="0"/>
      <w:marBottom w:val="0"/>
      <w:divBdr>
        <w:top w:val="none" w:sz="0" w:space="0" w:color="auto"/>
        <w:left w:val="none" w:sz="0" w:space="0" w:color="auto"/>
        <w:bottom w:val="none" w:sz="0" w:space="0" w:color="auto"/>
        <w:right w:val="none" w:sz="0" w:space="0" w:color="auto"/>
      </w:divBdr>
    </w:div>
    <w:div w:id="1432313475">
      <w:marLeft w:val="0"/>
      <w:marRight w:val="0"/>
      <w:marTop w:val="0"/>
      <w:marBottom w:val="0"/>
      <w:divBdr>
        <w:top w:val="none" w:sz="0" w:space="0" w:color="auto"/>
        <w:left w:val="none" w:sz="0" w:space="0" w:color="auto"/>
        <w:bottom w:val="none" w:sz="0" w:space="0" w:color="auto"/>
        <w:right w:val="none" w:sz="0" w:space="0" w:color="auto"/>
      </w:divBdr>
    </w:div>
    <w:div w:id="1432313476">
      <w:marLeft w:val="0"/>
      <w:marRight w:val="0"/>
      <w:marTop w:val="0"/>
      <w:marBottom w:val="0"/>
      <w:divBdr>
        <w:top w:val="none" w:sz="0" w:space="0" w:color="auto"/>
        <w:left w:val="none" w:sz="0" w:space="0" w:color="auto"/>
        <w:bottom w:val="none" w:sz="0" w:space="0" w:color="auto"/>
        <w:right w:val="none" w:sz="0" w:space="0" w:color="auto"/>
      </w:divBdr>
    </w:div>
    <w:div w:id="1432313478">
      <w:marLeft w:val="0"/>
      <w:marRight w:val="0"/>
      <w:marTop w:val="0"/>
      <w:marBottom w:val="0"/>
      <w:divBdr>
        <w:top w:val="none" w:sz="0" w:space="0" w:color="auto"/>
        <w:left w:val="none" w:sz="0" w:space="0" w:color="auto"/>
        <w:bottom w:val="none" w:sz="0" w:space="0" w:color="auto"/>
        <w:right w:val="none" w:sz="0" w:space="0" w:color="auto"/>
      </w:divBdr>
    </w:div>
    <w:div w:id="1432313479">
      <w:marLeft w:val="0"/>
      <w:marRight w:val="0"/>
      <w:marTop w:val="0"/>
      <w:marBottom w:val="0"/>
      <w:divBdr>
        <w:top w:val="none" w:sz="0" w:space="0" w:color="auto"/>
        <w:left w:val="none" w:sz="0" w:space="0" w:color="auto"/>
        <w:bottom w:val="none" w:sz="0" w:space="0" w:color="auto"/>
        <w:right w:val="none" w:sz="0" w:space="0" w:color="auto"/>
      </w:divBdr>
    </w:div>
    <w:div w:id="1432313481">
      <w:marLeft w:val="0"/>
      <w:marRight w:val="0"/>
      <w:marTop w:val="0"/>
      <w:marBottom w:val="0"/>
      <w:divBdr>
        <w:top w:val="none" w:sz="0" w:space="0" w:color="auto"/>
        <w:left w:val="none" w:sz="0" w:space="0" w:color="auto"/>
        <w:bottom w:val="none" w:sz="0" w:space="0" w:color="auto"/>
        <w:right w:val="none" w:sz="0" w:space="0" w:color="auto"/>
      </w:divBdr>
    </w:div>
    <w:div w:id="1432313482">
      <w:marLeft w:val="0"/>
      <w:marRight w:val="0"/>
      <w:marTop w:val="0"/>
      <w:marBottom w:val="0"/>
      <w:divBdr>
        <w:top w:val="none" w:sz="0" w:space="0" w:color="auto"/>
        <w:left w:val="none" w:sz="0" w:space="0" w:color="auto"/>
        <w:bottom w:val="none" w:sz="0" w:space="0" w:color="auto"/>
        <w:right w:val="none" w:sz="0" w:space="0" w:color="auto"/>
      </w:divBdr>
    </w:div>
    <w:div w:id="1432313484">
      <w:marLeft w:val="0"/>
      <w:marRight w:val="0"/>
      <w:marTop w:val="0"/>
      <w:marBottom w:val="0"/>
      <w:divBdr>
        <w:top w:val="none" w:sz="0" w:space="0" w:color="auto"/>
        <w:left w:val="none" w:sz="0" w:space="0" w:color="auto"/>
        <w:bottom w:val="none" w:sz="0" w:space="0" w:color="auto"/>
        <w:right w:val="none" w:sz="0" w:space="0" w:color="auto"/>
      </w:divBdr>
    </w:div>
    <w:div w:id="1432313485">
      <w:marLeft w:val="0"/>
      <w:marRight w:val="0"/>
      <w:marTop w:val="0"/>
      <w:marBottom w:val="0"/>
      <w:divBdr>
        <w:top w:val="none" w:sz="0" w:space="0" w:color="auto"/>
        <w:left w:val="none" w:sz="0" w:space="0" w:color="auto"/>
        <w:bottom w:val="none" w:sz="0" w:space="0" w:color="auto"/>
        <w:right w:val="none" w:sz="0" w:space="0" w:color="auto"/>
      </w:divBdr>
    </w:div>
    <w:div w:id="1432313488">
      <w:marLeft w:val="0"/>
      <w:marRight w:val="0"/>
      <w:marTop w:val="0"/>
      <w:marBottom w:val="0"/>
      <w:divBdr>
        <w:top w:val="none" w:sz="0" w:space="0" w:color="auto"/>
        <w:left w:val="none" w:sz="0" w:space="0" w:color="auto"/>
        <w:bottom w:val="none" w:sz="0" w:space="0" w:color="auto"/>
        <w:right w:val="none" w:sz="0" w:space="0" w:color="auto"/>
      </w:divBdr>
    </w:div>
    <w:div w:id="1432313489">
      <w:marLeft w:val="0"/>
      <w:marRight w:val="0"/>
      <w:marTop w:val="0"/>
      <w:marBottom w:val="0"/>
      <w:divBdr>
        <w:top w:val="none" w:sz="0" w:space="0" w:color="auto"/>
        <w:left w:val="none" w:sz="0" w:space="0" w:color="auto"/>
        <w:bottom w:val="none" w:sz="0" w:space="0" w:color="auto"/>
        <w:right w:val="none" w:sz="0" w:space="0" w:color="auto"/>
      </w:divBdr>
    </w:div>
    <w:div w:id="1432313490">
      <w:marLeft w:val="0"/>
      <w:marRight w:val="0"/>
      <w:marTop w:val="0"/>
      <w:marBottom w:val="0"/>
      <w:divBdr>
        <w:top w:val="none" w:sz="0" w:space="0" w:color="auto"/>
        <w:left w:val="none" w:sz="0" w:space="0" w:color="auto"/>
        <w:bottom w:val="none" w:sz="0" w:space="0" w:color="auto"/>
        <w:right w:val="none" w:sz="0" w:space="0" w:color="auto"/>
      </w:divBdr>
    </w:div>
    <w:div w:id="1432313491">
      <w:marLeft w:val="0"/>
      <w:marRight w:val="0"/>
      <w:marTop w:val="0"/>
      <w:marBottom w:val="0"/>
      <w:divBdr>
        <w:top w:val="none" w:sz="0" w:space="0" w:color="auto"/>
        <w:left w:val="none" w:sz="0" w:space="0" w:color="auto"/>
        <w:bottom w:val="none" w:sz="0" w:space="0" w:color="auto"/>
        <w:right w:val="none" w:sz="0" w:space="0" w:color="auto"/>
      </w:divBdr>
    </w:div>
    <w:div w:id="1432313493">
      <w:marLeft w:val="0"/>
      <w:marRight w:val="0"/>
      <w:marTop w:val="0"/>
      <w:marBottom w:val="0"/>
      <w:divBdr>
        <w:top w:val="none" w:sz="0" w:space="0" w:color="auto"/>
        <w:left w:val="none" w:sz="0" w:space="0" w:color="auto"/>
        <w:bottom w:val="none" w:sz="0" w:space="0" w:color="auto"/>
        <w:right w:val="none" w:sz="0" w:space="0" w:color="auto"/>
      </w:divBdr>
    </w:div>
    <w:div w:id="1432313495">
      <w:marLeft w:val="0"/>
      <w:marRight w:val="0"/>
      <w:marTop w:val="0"/>
      <w:marBottom w:val="0"/>
      <w:divBdr>
        <w:top w:val="none" w:sz="0" w:space="0" w:color="auto"/>
        <w:left w:val="none" w:sz="0" w:space="0" w:color="auto"/>
        <w:bottom w:val="none" w:sz="0" w:space="0" w:color="auto"/>
        <w:right w:val="none" w:sz="0" w:space="0" w:color="auto"/>
      </w:divBdr>
    </w:div>
    <w:div w:id="1432313496">
      <w:marLeft w:val="0"/>
      <w:marRight w:val="0"/>
      <w:marTop w:val="0"/>
      <w:marBottom w:val="0"/>
      <w:divBdr>
        <w:top w:val="none" w:sz="0" w:space="0" w:color="auto"/>
        <w:left w:val="none" w:sz="0" w:space="0" w:color="auto"/>
        <w:bottom w:val="none" w:sz="0" w:space="0" w:color="auto"/>
        <w:right w:val="none" w:sz="0" w:space="0" w:color="auto"/>
      </w:divBdr>
    </w:div>
    <w:div w:id="1432313497">
      <w:marLeft w:val="0"/>
      <w:marRight w:val="0"/>
      <w:marTop w:val="0"/>
      <w:marBottom w:val="0"/>
      <w:divBdr>
        <w:top w:val="none" w:sz="0" w:space="0" w:color="auto"/>
        <w:left w:val="none" w:sz="0" w:space="0" w:color="auto"/>
        <w:bottom w:val="none" w:sz="0" w:space="0" w:color="auto"/>
        <w:right w:val="none" w:sz="0" w:space="0" w:color="auto"/>
      </w:divBdr>
      <w:divsChild>
        <w:div w:id="1432313492">
          <w:marLeft w:val="360"/>
          <w:marRight w:val="0"/>
          <w:marTop w:val="240"/>
          <w:marBottom w:val="0"/>
          <w:divBdr>
            <w:top w:val="none" w:sz="0" w:space="0" w:color="auto"/>
            <w:left w:val="none" w:sz="0" w:space="0" w:color="auto"/>
            <w:bottom w:val="none" w:sz="0" w:space="0" w:color="auto"/>
            <w:right w:val="none" w:sz="0" w:space="0" w:color="auto"/>
          </w:divBdr>
        </w:div>
        <w:div w:id="1432313517">
          <w:marLeft w:val="360"/>
          <w:marRight w:val="0"/>
          <w:marTop w:val="240"/>
          <w:marBottom w:val="0"/>
          <w:divBdr>
            <w:top w:val="none" w:sz="0" w:space="0" w:color="auto"/>
            <w:left w:val="none" w:sz="0" w:space="0" w:color="auto"/>
            <w:bottom w:val="none" w:sz="0" w:space="0" w:color="auto"/>
            <w:right w:val="none" w:sz="0" w:space="0" w:color="auto"/>
          </w:divBdr>
        </w:div>
        <w:div w:id="1432313524">
          <w:marLeft w:val="360"/>
          <w:marRight w:val="0"/>
          <w:marTop w:val="240"/>
          <w:marBottom w:val="0"/>
          <w:divBdr>
            <w:top w:val="none" w:sz="0" w:space="0" w:color="auto"/>
            <w:left w:val="none" w:sz="0" w:space="0" w:color="auto"/>
            <w:bottom w:val="none" w:sz="0" w:space="0" w:color="auto"/>
            <w:right w:val="none" w:sz="0" w:space="0" w:color="auto"/>
          </w:divBdr>
        </w:div>
        <w:div w:id="1432313538">
          <w:marLeft w:val="360"/>
          <w:marRight w:val="0"/>
          <w:marTop w:val="240"/>
          <w:marBottom w:val="0"/>
          <w:divBdr>
            <w:top w:val="none" w:sz="0" w:space="0" w:color="auto"/>
            <w:left w:val="none" w:sz="0" w:space="0" w:color="auto"/>
            <w:bottom w:val="none" w:sz="0" w:space="0" w:color="auto"/>
            <w:right w:val="none" w:sz="0" w:space="0" w:color="auto"/>
          </w:divBdr>
        </w:div>
      </w:divsChild>
    </w:div>
    <w:div w:id="1432313498">
      <w:marLeft w:val="0"/>
      <w:marRight w:val="0"/>
      <w:marTop w:val="0"/>
      <w:marBottom w:val="0"/>
      <w:divBdr>
        <w:top w:val="none" w:sz="0" w:space="0" w:color="auto"/>
        <w:left w:val="none" w:sz="0" w:space="0" w:color="auto"/>
        <w:bottom w:val="none" w:sz="0" w:space="0" w:color="auto"/>
        <w:right w:val="none" w:sz="0" w:space="0" w:color="auto"/>
      </w:divBdr>
    </w:div>
    <w:div w:id="1432313499">
      <w:marLeft w:val="0"/>
      <w:marRight w:val="0"/>
      <w:marTop w:val="0"/>
      <w:marBottom w:val="0"/>
      <w:divBdr>
        <w:top w:val="none" w:sz="0" w:space="0" w:color="auto"/>
        <w:left w:val="none" w:sz="0" w:space="0" w:color="auto"/>
        <w:bottom w:val="none" w:sz="0" w:space="0" w:color="auto"/>
        <w:right w:val="none" w:sz="0" w:space="0" w:color="auto"/>
      </w:divBdr>
    </w:div>
    <w:div w:id="1432313500">
      <w:marLeft w:val="0"/>
      <w:marRight w:val="0"/>
      <w:marTop w:val="0"/>
      <w:marBottom w:val="0"/>
      <w:divBdr>
        <w:top w:val="none" w:sz="0" w:space="0" w:color="auto"/>
        <w:left w:val="none" w:sz="0" w:space="0" w:color="auto"/>
        <w:bottom w:val="none" w:sz="0" w:space="0" w:color="auto"/>
        <w:right w:val="none" w:sz="0" w:space="0" w:color="auto"/>
      </w:divBdr>
      <w:divsChild>
        <w:div w:id="1432313477">
          <w:marLeft w:val="288"/>
          <w:marRight w:val="0"/>
          <w:marTop w:val="0"/>
          <w:marBottom w:val="0"/>
          <w:divBdr>
            <w:top w:val="none" w:sz="0" w:space="0" w:color="auto"/>
            <w:left w:val="none" w:sz="0" w:space="0" w:color="auto"/>
            <w:bottom w:val="none" w:sz="0" w:space="0" w:color="auto"/>
            <w:right w:val="none" w:sz="0" w:space="0" w:color="auto"/>
          </w:divBdr>
        </w:div>
        <w:div w:id="1432313519">
          <w:marLeft w:val="288"/>
          <w:marRight w:val="0"/>
          <w:marTop w:val="0"/>
          <w:marBottom w:val="0"/>
          <w:divBdr>
            <w:top w:val="none" w:sz="0" w:space="0" w:color="auto"/>
            <w:left w:val="none" w:sz="0" w:space="0" w:color="auto"/>
            <w:bottom w:val="none" w:sz="0" w:space="0" w:color="auto"/>
            <w:right w:val="none" w:sz="0" w:space="0" w:color="auto"/>
          </w:divBdr>
        </w:div>
        <w:div w:id="1432313532">
          <w:marLeft w:val="288"/>
          <w:marRight w:val="0"/>
          <w:marTop w:val="0"/>
          <w:marBottom w:val="0"/>
          <w:divBdr>
            <w:top w:val="none" w:sz="0" w:space="0" w:color="auto"/>
            <w:left w:val="none" w:sz="0" w:space="0" w:color="auto"/>
            <w:bottom w:val="none" w:sz="0" w:space="0" w:color="auto"/>
            <w:right w:val="none" w:sz="0" w:space="0" w:color="auto"/>
          </w:divBdr>
        </w:div>
        <w:div w:id="1432313533">
          <w:marLeft w:val="288"/>
          <w:marRight w:val="0"/>
          <w:marTop w:val="0"/>
          <w:marBottom w:val="0"/>
          <w:divBdr>
            <w:top w:val="none" w:sz="0" w:space="0" w:color="auto"/>
            <w:left w:val="none" w:sz="0" w:space="0" w:color="auto"/>
            <w:bottom w:val="none" w:sz="0" w:space="0" w:color="auto"/>
            <w:right w:val="none" w:sz="0" w:space="0" w:color="auto"/>
          </w:divBdr>
        </w:div>
      </w:divsChild>
    </w:div>
    <w:div w:id="1432313502">
      <w:marLeft w:val="0"/>
      <w:marRight w:val="0"/>
      <w:marTop w:val="0"/>
      <w:marBottom w:val="0"/>
      <w:divBdr>
        <w:top w:val="none" w:sz="0" w:space="0" w:color="auto"/>
        <w:left w:val="none" w:sz="0" w:space="0" w:color="auto"/>
        <w:bottom w:val="none" w:sz="0" w:space="0" w:color="auto"/>
        <w:right w:val="none" w:sz="0" w:space="0" w:color="auto"/>
      </w:divBdr>
    </w:div>
    <w:div w:id="1432313505">
      <w:marLeft w:val="0"/>
      <w:marRight w:val="0"/>
      <w:marTop w:val="0"/>
      <w:marBottom w:val="0"/>
      <w:divBdr>
        <w:top w:val="none" w:sz="0" w:space="0" w:color="auto"/>
        <w:left w:val="none" w:sz="0" w:space="0" w:color="auto"/>
        <w:bottom w:val="none" w:sz="0" w:space="0" w:color="auto"/>
        <w:right w:val="none" w:sz="0" w:space="0" w:color="auto"/>
      </w:divBdr>
    </w:div>
    <w:div w:id="1432313507">
      <w:marLeft w:val="0"/>
      <w:marRight w:val="0"/>
      <w:marTop w:val="0"/>
      <w:marBottom w:val="0"/>
      <w:divBdr>
        <w:top w:val="none" w:sz="0" w:space="0" w:color="auto"/>
        <w:left w:val="none" w:sz="0" w:space="0" w:color="auto"/>
        <w:bottom w:val="none" w:sz="0" w:space="0" w:color="auto"/>
        <w:right w:val="none" w:sz="0" w:space="0" w:color="auto"/>
      </w:divBdr>
    </w:div>
    <w:div w:id="1432313508">
      <w:marLeft w:val="0"/>
      <w:marRight w:val="0"/>
      <w:marTop w:val="0"/>
      <w:marBottom w:val="0"/>
      <w:divBdr>
        <w:top w:val="none" w:sz="0" w:space="0" w:color="auto"/>
        <w:left w:val="none" w:sz="0" w:space="0" w:color="auto"/>
        <w:bottom w:val="none" w:sz="0" w:space="0" w:color="auto"/>
        <w:right w:val="none" w:sz="0" w:space="0" w:color="auto"/>
      </w:divBdr>
    </w:div>
    <w:div w:id="1432313510">
      <w:marLeft w:val="0"/>
      <w:marRight w:val="0"/>
      <w:marTop w:val="0"/>
      <w:marBottom w:val="0"/>
      <w:divBdr>
        <w:top w:val="none" w:sz="0" w:space="0" w:color="auto"/>
        <w:left w:val="none" w:sz="0" w:space="0" w:color="auto"/>
        <w:bottom w:val="none" w:sz="0" w:space="0" w:color="auto"/>
        <w:right w:val="none" w:sz="0" w:space="0" w:color="auto"/>
      </w:divBdr>
    </w:div>
    <w:div w:id="1432313511">
      <w:marLeft w:val="0"/>
      <w:marRight w:val="0"/>
      <w:marTop w:val="0"/>
      <w:marBottom w:val="0"/>
      <w:divBdr>
        <w:top w:val="none" w:sz="0" w:space="0" w:color="auto"/>
        <w:left w:val="none" w:sz="0" w:space="0" w:color="auto"/>
        <w:bottom w:val="none" w:sz="0" w:space="0" w:color="auto"/>
        <w:right w:val="none" w:sz="0" w:space="0" w:color="auto"/>
      </w:divBdr>
    </w:div>
    <w:div w:id="1432313512">
      <w:marLeft w:val="0"/>
      <w:marRight w:val="0"/>
      <w:marTop w:val="0"/>
      <w:marBottom w:val="0"/>
      <w:divBdr>
        <w:top w:val="none" w:sz="0" w:space="0" w:color="auto"/>
        <w:left w:val="none" w:sz="0" w:space="0" w:color="auto"/>
        <w:bottom w:val="none" w:sz="0" w:space="0" w:color="auto"/>
        <w:right w:val="none" w:sz="0" w:space="0" w:color="auto"/>
      </w:divBdr>
    </w:div>
    <w:div w:id="1432313513">
      <w:marLeft w:val="0"/>
      <w:marRight w:val="0"/>
      <w:marTop w:val="0"/>
      <w:marBottom w:val="0"/>
      <w:divBdr>
        <w:top w:val="none" w:sz="0" w:space="0" w:color="auto"/>
        <w:left w:val="none" w:sz="0" w:space="0" w:color="auto"/>
        <w:bottom w:val="none" w:sz="0" w:space="0" w:color="auto"/>
        <w:right w:val="none" w:sz="0" w:space="0" w:color="auto"/>
      </w:divBdr>
    </w:div>
    <w:div w:id="1432313516">
      <w:marLeft w:val="0"/>
      <w:marRight w:val="0"/>
      <w:marTop w:val="0"/>
      <w:marBottom w:val="0"/>
      <w:divBdr>
        <w:top w:val="none" w:sz="0" w:space="0" w:color="auto"/>
        <w:left w:val="none" w:sz="0" w:space="0" w:color="auto"/>
        <w:bottom w:val="none" w:sz="0" w:space="0" w:color="auto"/>
        <w:right w:val="none" w:sz="0" w:space="0" w:color="auto"/>
      </w:divBdr>
      <w:divsChild>
        <w:div w:id="1432313462">
          <w:marLeft w:val="0"/>
          <w:marRight w:val="0"/>
          <w:marTop w:val="0"/>
          <w:marBottom w:val="0"/>
          <w:divBdr>
            <w:top w:val="none" w:sz="0" w:space="0" w:color="auto"/>
            <w:left w:val="none" w:sz="0" w:space="0" w:color="auto"/>
            <w:bottom w:val="none" w:sz="0" w:space="0" w:color="auto"/>
            <w:right w:val="none" w:sz="0" w:space="0" w:color="auto"/>
          </w:divBdr>
        </w:div>
      </w:divsChild>
    </w:div>
    <w:div w:id="1432313518">
      <w:marLeft w:val="0"/>
      <w:marRight w:val="0"/>
      <w:marTop w:val="0"/>
      <w:marBottom w:val="0"/>
      <w:divBdr>
        <w:top w:val="none" w:sz="0" w:space="0" w:color="auto"/>
        <w:left w:val="none" w:sz="0" w:space="0" w:color="auto"/>
        <w:bottom w:val="none" w:sz="0" w:space="0" w:color="auto"/>
        <w:right w:val="none" w:sz="0" w:space="0" w:color="auto"/>
      </w:divBdr>
    </w:div>
    <w:div w:id="1432313520">
      <w:marLeft w:val="0"/>
      <w:marRight w:val="0"/>
      <w:marTop w:val="0"/>
      <w:marBottom w:val="0"/>
      <w:divBdr>
        <w:top w:val="none" w:sz="0" w:space="0" w:color="auto"/>
        <w:left w:val="none" w:sz="0" w:space="0" w:color="auto"/>
        <w:bottom w:val="none" w:sz="0" w:space="0" w:color="auto"/>
        <w:right w:val="none" w:sz="0" w:space="0" w:color="auto"/>
      </w:divBdr>
    </w:div>
    <w:div w:id="1432313526">
      <w:marLeft w:val="0"/>
      <w:marRight w:val="0"/>
      <w:marTop w:val="0"/>
      <w:marBottom w:val="0"/>
      <w:divBdr>
        <w:top w:val="none" w:sz="0" w:space="0" w:color="auto"/>
        <w:left w:val="none" w:sz="0" w:space="0" w:color="auto"/>
        <w:bottom w:val="none" w:sz="0" w:space="0" w:color="auto"/>
        <w:right w:val="none" w:sz="0" w:space="0" w:color="auto"/>
      </w:divBdr>
    </w:div>
    <w:div w:id="1432313527">
      <w:marLeft w:val="0"/>
      <w:marRight w:val="0"/>
      <w:marTop w:val="0"/>
      <w:marBottom w:val="0"/>
      <w:divBdr>
        <w:top w:val="none" w:sz="0" w:space="0" w:color="auto"/>
        <w:left w:val="none" w:sz="0" w:space="0" w:color="auto"/>
        <w:bottom w:val="none" w:sz="0" w:space="0" w:color="auto"/>
        <w:right w:val="none" w:sz="0" w:space="0" w:color="auto"/>
      </w:divBdr>
    </w:div>
    <w:div w:id="1432313528">
      <w:marLeft w:val="0"/>
      <w:marRight w:val="0"/>
      <w:marTop w:val="0"/>
      <w:marBottom w:val="0"/>
      <w:divBdr>
        <w:top w:val="none" w:sz="0" w:space="0" w:color="auto"/>
        <w:left w:val="none" w:sz="0" w:space="0" w:color="auto"/>
        <w:bottom w:val="none" w:sz="0" w:space="0" w:color="auto"/>
        <w:right w:val="none" w:sz="0" w:space="0" w:color="auto"/>
      </w:divBdr>
    </w:div>
    <w:div w:id="1432313529">
      <w:marLeft w:val="0"/>
      <w:marRight w:val="0"/>
      <w:marTop w:val="0"/>
      <w:marBottom w:val="0"/>
      <w:divBdr>
        <w:top w:val="none" w:sz="0" w:space="0" w:color="auto"/>
        <w:left w:val="none" w:sz="0" w:space="0" w:color="auto"/>
        <w:bottom w:val="none" w:sz="0" w:space="0" w:color="auto"/>
        <w:right w:val="none" w:sz="0" w:space="0" w:color="auto"/>
      </w:divBdr>
    </w:div>
    <w:div w:id="1432313530">
      <w:marLeft w:val="0"/>
      <w:marRight w:val="0"/>
      <w:marTop w:val="0"/>
      <w:marBottom w:val="0"/>
      <w:divBdr>
        <w:top w:val="none" w:sz="0" w:space="0" w:color="auto"/>
        <w:left w:val="none" w:sz="0" w:space="0" w:color="auto"/>
        <w:bottom w:val="none" w:sz="0" w:space="0" w:color="auto"/>
        <w:right w:val="none" w:sz="0" w:space="0" w:color="auto"/>
      </w:divBdr>
    </w:div>
    <w:div w:id="1432313531">
      <w:marLeft w:val="0"/>
      <w:marRight w:val="0"/>
      <w:marTop w:val="0"/>
      <w:marBottom w:val="0"/>
      <w:divBdr>
        <w:top w:val="none" w:sz="0" w:space="0" w:color="auto"/>
        <w:left w:val="none" w:sz="0" w:space="0" w:color="auto"/>
        <w:bottom w:val="none" w:sz="0" w:space="0" w:color="auto"/>
        <w:right w:val="none" w:sz="0" w:space="0" w:color="auto"/>
      </w:divBdr>
    </w:div>
    <w:div w:id="1432313534">
      <w:marLeft w:val="0"/>
      <w:marRight w:val="0"/>
      <w:marTop w:val="0"/>
      <w:marBottom w:val="0"/>
      <w:divBdr>
        <w:top w:val="none" w:sz="0" w:space="0" w:color="auto"/>
        <w:left w:val="none" w:sz="0" w:space="0" w:color="auto"/>
        <w:bottom w:val="none" w:sz="0" w:space="0" w:color="auto"/>
        <w:right w:val="none" w:sz="0" w:space="0" w:color="auto"/>
      </w:divBdr>
    </w:div>
    <w:div w:id="1432313537">
      <w:marLeft w:val="0"/>
      <w:marRight w:val="0"/>
      <w:marTop w:val="0"/>
      <w:marBottom w:val="0"/>
      <w:divBdr>
        <w:top w:val="none" w:sz="0" w:space="0" w:color="auto"/>
        <w:left w:val="none" w:sz="0" w:space="0" w:color="auto"/>
        <w:bottom w:val="none" w:sz="0" w:space="0" w:color="auto"/>
        <w:right w:val="none" w:sz="0" w:space="0" w:color="auto"/>
      </w:divBdr>
    </w:div>
    <w:div w:id="1579680123">
      <w:bodyDiv w:val="1"/>
      <w:marLeft w:val="0"/>
      <w:marRight w:val="0"/>
      <w:marTop w:val="0"/>
      <w:marBottom w:val="0"/>
      <w:divBdr>
        <w:top w:val="none" w:sz="0" w:space="0" w:color="auto"/>
        <w:left w:val="none" w:sz="0" w:space="0" w:color="auto"/>
        <w:bottom w:val="none" w:sz="0" w:space="0" w:color="auto"/>
        <w:right w:val="none" w:sz="0" w:space="0" w:color="auto"/>
      </w:divBdr>
    </w:div>
    <w:div w:id="1676492921">
      <w:bodyDiv w:val="1"/>
      <w:marLeft w:val="0"/>
      <w:marRight w:val="0"/>
      <w:marTop w:val="0"/>
      <w:marBottom w:val="0"/>
      <w:divBdr>
        <w:top w:val="none" w:sz="0" w:space="0" w:color="auto"/>
        <w:left w:val="none" w:sz="0" w:space="0" w:color="auto"/>
        <w:bottom w:val="none" w:sz="0" w:space="0" w:color="auto"/>
        <w:right w:val="none" w:sz="0" w:space="0" w:color="auto"/>
      </w:divBdr>
    </w:div>
    <w:div w:id="1969162471">
      <w:bodyDiv w:val="1"/>
      <w:marLeft w:val="0"/>
      <w:marRight w:val="0"/>
      <w:marTop w:val="0"/>
      <w:marBottom w:val="0"/>
      <w:divBdr>
        <w:top w:val="none" w:sz="0" w:space="0" w:color="auto"/>
        <w:left w:val="none" w:sz="0" w:space="0" w:color="auto"/>
        <w:bottom w:val="none" w:sz="0" w:space="0" w:color="auto"/>
        <w:right w:val="none" w:sz="0" w:space="0" w:color="auto"/>
      </w:divBdr>
    </w:div>
    <w:div w:id="208818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FD39E-8E6F-446D-8883-5FEC9C7D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6617</Words>
  <Characters>37720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44249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Bhadra, Santanu</dc:creator>
  <cp:keywords/>
  <dc:description/>
  <cp:lastModifiedBy>Bhadra, Santanu</cp:lastModifiedBy>
  <cp:revision>6</cp:revision>
  <dcterms:created xsi:type="dcterms:W3CDTF">2017-07-10T10:02:00Z</dcterms:created>
  <dcterms:modified xsi:type="dcterms:W3CDTF">2017-07-10T10:34:00Z</dcterms:modified>
</cp:coreProperties>
</file>