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D2330" w14:textId="589C3565" w:rsidR="000A2451" w:rsidRDefault="00B20A40" w:rsidP="00234F4E">
      <w:pPr>
        <w:spacing w:line="480" w:lineRule="auto"/>
        <w:rPr>
          <w:b/>
        </w:rPr>
      </w:pPr>
      <w:r>
        <w:rPr>
          <w:b/>
        </w:rPr>
        <w:t xml:space="preserve">Additional file </w:t>
      </w:r>
      <w:r w:rsidR="005C7DC2" w:rsidRPr="002E50A9">
        <w:rPr>
          <w:b/>
        </w:rPr>
        <w:t>1 Methodology</w:t>
      </w:r>
    </w:p>
    <w:p w14:paraId="112BD563" w14:textId="77777777" w:rsidR="00232E7A" w:rsidRDefault="00232E7A" w:rsidP="00234F4E">
      <w:pPr>
        <w:spacing w:line="480" w:lineRule="auto"/>
        <w:rPr>
          <w:b/>
        </w:rPr>
      </w:pPr>
      <w:r>
        <w:rPr>
          <w:b/>
        </w:rPr>
        <w:t>Subjects</w:t>
      </w:r>
    </w:p>
    <w:p w14:paraId="59A5EE7C" w14:textId="77777777" w:rsidR="00232E7A" w:rsidRPr="002E50A9" w:rsidRDefault="00232E7A" w:rsidP="00234F4E">
      <w:pPr>
        <w:spacing w:line="480" w:lineRule="auto"/>
        <w:rPr>
          <w:b/>
        </w:rPr>
      </w:pPr>
      <w:r w:rsidRPr="00807B8F">
        <w:rPr>
          <w:rFonts w:cs="Times New Roman"/>
          <w:lang w:eastAsia="en-US"/>
        </w:rPr>
        <w:t>Patients with a history of asthma, respiratory tract infection or COPD exacerbation within the preceding 6 weeks were excluded.</w:t>
      </w:r>
      <w:r w:rsidR="00813F5D">
        <w:rPr>
          <w:rFonts w:cs="Times New Roman"/>
          <w:lang w:eastAsia="en-US"/>
        </w:rPr>
        <w:t xml:space="preserve"> The research was approved by the </w:t>
      </w:r>
      <w:r w:rsidR="00813F5D" w:rsidRPr="00807B8F">
        <w:rPr>
          <w:rFonts w:cs="Times New Roman"/>
          <w:lang w:eastAsia="en-US"/>
        </w:rPr>
        <w:t>Greater Manchester (East)</w:t>
      </w:r>
      <w:r w:rsidR="00813F5D">
        <w:rPr>
          <w:rFonts w:cs="Times New Roman"/>
          <w:lang w:eastAsia="en-US"/>
        </w:rPr>
        <w:t xml:space="preserve"> ethics committee</w:t>
      </w:r>
      <w:r w:rsidR="00813F5D" w:rsidRPr="00807B8F">
        <w:rPr>
          <w:rFonts w:cs="Times New Roman"/>
          <w:lang w:eastAsia="en-US"/>
        </w:rPr>
        <w:t>: Approval numbers (10/H1003/108 &amp; 05/Q140241)</w:t>
      </w:r>
      <w:r w:rsidR="00813F5D">
        <w:rPr>
          <w:rFonts w:cs="Times New Roman"/>
          <w:lang w:eastAsia="en-US"/>
        </w:rPr>
        <w:t xml:space="preserve">). </w:t>
      </w:r>
    </w:p>
    <w:p w14:paraId="4DBAFBBD" w14:textId="77777777" w:rsidR="00BD43D3" w:rsidRDefault="00BD43D3" w:rsidP="00234F4E">
      <w:pPr>
        <w:spacing w:after="120" w:line="480" w:lineRule="auto"/>
        <w:jc w:val="both"/>
        <w:rPr>
          <w:b/>
        </w:rPr>
      </w:pPr>
      <w:r>
        <w:rPr>
          <w:b/>
        </w:rPr>
        <w:t>Pulmonary function</w:t>
      </w:r>
    </w:p>
    <w:p w14:paraId="195862B2" w14:textId="77777777" w:rsidR="00BD43D3" w:rsidRDefault="00BD43D3" w:rsidP="00234F4E">
      <w:pPr>
        <w:spacing w:after="120" w:line="480" w:lineRule="auto"/>
        <w:jc w:val="both"/>
        <w:rPr>
          <w:b/>
        </w:rPr>
      </w:pPr>
      <w:r w:rsidRPr="00807B8F">
        <w:rPr>
          <w:rFonts w:cs="Times New Roman"/>
          <w:lang w:eastAsia="en-US"/>
        </w:rPr>
        <w:t xml:space="preserve">Maximum expiratory flow volume experiments were performed in triplicate on a </w:t>
      </w:r>
      <w:proofErr w:type="spellStart"/>
      <w:r w:rsidRPr="00807B8F">
        <w:rPr>
          <w:rFonts w:cs="Times New Roman"/>
          <w:lang w:eastAsia="en-US"/>
        </w:rPr>
        <w:t>Vitalograph</w:t>
      </w:r>
      <w:proofErr w:type="spellEnd"/>
      <w:r w:rsidRPr="00807B8F">
        <w:rPr>
          <w:rFonts w:cs="Times New Roman"/>
          <w:lang w:eastAsia="en-US"/>
        </w:rPr>
        <w:t xml:space="preserve"> gold standard wedge bellows spirometer; the highest FEV1 (forced expiratory volume in 1 second) and FVC (forced vital capacity)</w:t>
      </w:r>
      <w:r>
        <w:rPr>
          <w:rFonts w:cs="Times New Roman"/>
          <w:lang w:eastAsia="en-US"/>
        </w:rPr>
        <w:t xml:space="preserve"> were recorded</w:t>
      </w:r>
      <w:r w:rsidRPr="00807B8F">
        <w:rPr>
          <w:rFonts w:cs="Times New Roman"/>
          <w:lang w:eastAsia="en-US"/>
        </w:rPr>
        <w:t>. Readings were repeated after 20 minutes following the inhalation of 200μg salbutamol via a spacer</w:t>
      </w:r>
    </w:p>
    <w:p w14:paraId="6ECF02C1" w14:textId="77777777" w:rsidR="005C7DC2" w:rsidRPr="002E50A9" w:rsidRDefault="005C7DC2" w:rsidP="00234F4E">
      <w:pPr>
        <w:spacing w:after="120" w:line="480" w:lineRule="auto"/>
        <w:jc w:val="both"/>
        <w:rPr>
          <w:b/>
        </w:rPr>
      </w:pPr>
      <w:r w:rsidRPr="002E50A9">
        <w:rPr>
          <w:b/>
        </w:rPr>
        <w:t>Exacerbation diagnosis</w:t>
      </w:r>
    </w:p>
    <w:p w14:paraId="16A999E1" w14:textId="77777777" w:rsidR="005C7DC2" w:rsidRDefault="005C7DC2" w:rsidP="00234F4E">
      <w:pPr>
        <w:spacing w:line="480" w:lineRule="auto"/>
        <w:jc w:val="both"/>
        <w:rPr>
          <w:rFonts w:cs="Times New Roman"/>
          <w:lang w:eastAsia="en-US"/>
        </w:rPr>
      </w:pPr>
      <w:r>
        <w:rPr>
          <w:rFonts w:cs="Times New Roman"/>
          <w:lang w:eastAsia="en-US"/>
        </w:rPr>
        <w:t>A</w:t>
      </w:r>
      <w:r w:rsidRPr="00807B8F">
        <w:rPr>
          <w:rFonts w:cs="Times New Roman"/>
          <w:lang w:eastAsia="en-US"/>
        </w:rPr>
        <w:t xml:space="preserve"> diagnosis of COPD exacerbation was made if 2 major symptoms (increased breathlessness, sputum purulence or sputum volume) or 1 major and 1 minor symptom (</w:t>
      </w:r>
      <w:proofErr w:type="spellStart"/>
      <w:r w:rsidRPr="00807B8F">
        <w:rPr>
          <w:rFonts w:cs="Times New Roman"/>
          <w:lang w:eastAsia="en-US"/>
        </w:rPr>
        <w:t>coryza</w:t>
      </w:r>
      <w:proofErr w:type="spellEnd"/>
      <w:r w:rsidRPr="00807B8F">
        <w:rPr>
          <w:rFonts w:cs="Times New Roman"/>
          <w:lang w:eastAsia="en-US"/>
        </w:rPr>
        <w:t xml:space="preserve">, increased wheeze/chest tightness, sore throat, increased cough, fever) were reported as being present for </w:t>
      </w:r>
      <w:proofErr w:type="gramStart"/>
      <w:r w:rsidRPr="00807B8F">
        <w:rPr>
          <w:rFonts w:cs="Times New Roman"/>
          <w:lang w:eastAsia="en-US"/>
        </w:rPr>
        <w:t>a duration</w:t>
      </w:r>
      <w:proofErr w:type="gramEnd"/>
      <w:r w:rsidRPr="00807B8F">
        <w:rPr>
          <w:rFonts w:cs="Times New Roman"/>
          <w:lang w:eastAsia="en-US"/>
        </w:rPr>
        <w:t xml:space="preserve"> of 2 days.</w:t>
      </w:r>
    </w:p>
    <w:p w14:paraId="038118A5" w14:textId="77777777" w:rsidR="005C7DC2" w:rsidRPr="002E50A9" w:rsidRDefault="005C7DC2" w:rsidP="00234F4E">
      <w:pPr>
        <w:spacing w:line="480" w:lineRule="auto"/>
        <w:jc w:val="both"/>
        <w:rPr>
          <w:rFonts w:cs="Times New Roman"/>
          <w:b/>
          <w:lang w:eastAsia="en-US"/>
        </w:rPr>
      </w:pPr>
      <w:r w:rsidRPr="002E50A9">
        <w:rPr>
          <w:rFonts w:cs="Times New Roman"/>
          <w:b/>
          <w:lang w:eastAsia="en-US"/>
        </w:rPr>
        <w:t>Plasma separation and cytokine measurement</w:t>
      </w:r>
    </w:p>
    <w:p w14:paraId="0A9B257F" w14:textId="77777777" w:rsidR="00D05E2B" w:rsidRDefault="005C7DC2" w:rsidP="00234F4E">
      <w:pPr>
        <w:spacing w:line="480" w:lineRule="auto"/>
        <w:jc w:val="both"/>
        <w:rPr>
          <w:rFonts w:cs="Times New Roman"/>
          <w:lang w:eastAsia="en-US"/>
        </w:rPr>
      </w:pPr>
      <w:r w:rsidRPr="00807B8F">
        <w:rPr>
          <w:rFonts w:cs="Times New Roman"/>
          <w:lang w:eastAsia="en-US"/>
        </w:rPr>
        <w:t xml:space="preserve">Following venesection, 10 </w:t>
      </w:r>
      <w:proofErr w:type="spellStart"/>
      <w:r w:rsidRPr="00807B8F">
        <w:rPr>
          <w:rFonts w:cs="Times New Roman"/>
          <w:lang w:eastAsia="en-US"/>
        </w:rPr>
        <w:t>mls</w:t>
      </w:r>
      <w:proofErr w:type="spellEnd"/>
      <w:r w:rsidRPr="00807B8F">
        <w:rPr>
          <w:rFonts w:cs="Times New Roman"/>
          <w:lang w:eastAsia="en-US"/>
        </w:rPr>
        <w:t xml:space="preserve"> of blood w</w:t>
      </w:r>
      <w:r w:rsidR="00D1596E">
        <w:rPr>
          <w:rFonts w:cs="Times New Roman"/>
          <w:lang w:eastAsia="en-US"/>
        </w:rPr>
        <w:t xml:space="preserve">as collected into EDTA treated </w:t>
      </w:r>
      <w:proofErr w:type="spellStart"/>
      <w:r w:rsidR="00D1596E">
        <w:rPr>
          <w:rFonts w:cs="Times New Roman"/>
          <w:lang w:eastAsia="en-US"/>
        </w:rPr>
        <w:t>V</w:t>
      </w:r>
      <w:r w:rsidRPr="00807B8F">
        <w:rPr>
          <w:rFonts w:cs="Times New Roman"/>
          <w:lang w:eastAsia="en-US"/>
        </w:rPr>
        <w:t>acutainer</w:t>
      </w:r>
      <w:proofErr w:type="spellEnd"/>
      <w:r w:rsidRPr="00807B8F">
        <w:rPr>
          <w:rFonts w:cs="Times New Roman"/>
          <w:lang w:eastAsia="en-US"/>
        </w:rPr>
        <w:t xml:space="preserve"> tubes. These tubes underwent centrifugation at 1500g for 15 minutes at room temperature. The supernatant was aspirated and stored frozen at -80°C un</w:t>
      </w:r>
      <w:r>
        <w:rPr>
          <w:rFonts w:cs="Times New Roman"/>
          <w:lang w:eastAsia="en-US"/>
        </w:rPr>
        <w:t>til use.</w:t>
      </w:r>
      <w:r w:rsidR="00D05E2B">
        <w:rPr>
          <w:rFonts w:cs="Times New Roman"/>
          <w:lang w:eastAsia="en-US"/>
        </w:rPr>
        <w:t xml:space="preserve"> </w:t>
      </w:r>
    </w:p>
    <w:p w14:paraId="7CFA2B69" w14:textId="77777777" w:rsidR="005C7DC2" w:rsidRDefault="00D05E2B" w:rsidP="00234F4E">
      <w:pPr>
        <w:spacing w:line="480" w:lineRule="auto"/>
        <w:jc w:val="both"/>
        <w:rPr>
          <w:rFonts w:cs="Times New Roman"/>
          <w:lang w:eastAsia="en-US"/>
        </w:rPr>
      </w:pPr>
      <w:r w:rsidRPr="00D05E2B">
        <w:rPr>
          <w:rFonts w:cs="Times New Roman"/>
          <w:lang w:eastAsia="en-US"/>
        </w:rPr>
        <w:t xml:space="preserve">Analyses were performed at UCB (Slough, UK). The lower limits of quantification (LLOQ) </w:t>
      </w:r>
      <w:r>
        <w:rPr>
          <w:rFonts w:cs="Times New Roman"/>
          <w:lang w:eastAsia="en-US"/>
        </w:rPr>
        <w:t xml:space="preserve">of the MSD assays </w:t>
      </w:r>
      <w:r w:rsidRPr="00D05E2B">
        <w:rPr>
          <w:rFonts w:cs="Times New Roman"/>
          <w:lang w:eastAsia="en-US"/>
        </w:rPr>
        <w:t xml:space="preserve">were: IL-6 (1.6 </w:t>
      </w:r>
      <w:proofErr w:type="spellStart"/>
      <w:r w:rsidRPr="00D05E2B">
        <w:rPr>
          <w:rFonts w:cs="Times New Roman"/>
          <w:lang w:eastAsia="en-US"/>
        </w:rPr>
        <w:t>pg</w:t>
      </w:r>
      <w:proofErr w:type="spellEnd"/>
      <w:r w:rsidRPr="00D05E2B">
        <w:rPr>
          <w:rFonts w:cs="Times New Roman"/>
          <w:lang w:eastAsia="en-US"/>
        </w:rPr>
        <w:t xml:space="preserve">/ml) and sIL-6R (0.1 </w:t>
      </w:r>
      <w:proofErr w:type="spellStart"/>
      <w:r w:rsidRPr="00D05E2B">
        <w:rPr>
          <w:rFonts w:cs="Times New Roman"/>
          <w:lang w:eastAsia="en-US"/>
        </w:rPr>
        <w:t>pg</w:t>
      </w:r>
      <w:proofErr w:type="spellEnd"/>
      <w:r w:rsidRPr="00D05E2B">
        <w:rPr>
          <w:rFonts w:cs="Times New Roman"/>
          <w:lang w:eastAsia="en-US"/>
        </w:rPr>
        <w:t xml:space="preserve">/ml). Levels registering below the LLOQ were assigned a value of 0 </w:t>
      </w:r>
      <w:proofErr w:type="spellStart"/>
      <w:r w:rsidRPr="00D05E2B">
        <w:rPr>
          <w:rFonts w:cs="Times New Roman"/>
          <w:lang w:eastAsia="en-US"/>
        </w:rPr>
        <w:t>pg</w:t>
      </w:r>
      <w:proofErr w:type="spellEnd"/>
      <w:r w:rsidRPr="00D05E2B">
        <w:rPr>
          <w:rFonts w:cs="Times New Roman"/>
          <w:lang w:eastAsia="en-US"/>
        </w:rPr>
        <w:t>/ml</w:t>
      </w:r>
      <w:r>
        <w:rPr>
          <w:rFonts w:cs="Times New Roman"/>
          <w:lang w:eastAsia="en-US"/>
        </w:rPr>
        <w:t>.</w:t>
      </w:r>
    </w:p>
    <w:p w14:paraId="246056C7" w14:textId="77777777" w:rsidR="00813F5D" w:rsidRDefault="00813F5D">
      <w:pPr>
        <w:spacing w:after="200" w:line="276" w:lineRule="auto"/>
        <w:rPr>
          <w:rFonts w:cs="Times New Roman"/>
          <w:b/>
          <w:lang w:eastAsia="en-US"/>
        </w:rPr>
      </w:pPr>
      <w:r>
        <w:rPr>
          <w:rFonts w:cs="Times New Roman"/>
          <w:b/>
          <w:lang w:eastAsia="en-US"/>
        </w:rPr>
        <w:br w:type="page"/>
      </w:r>
    </w:p>
    <w:p w14:paraId="1EEDDF0C" w14:textId="77777777" w:rsidR="002E50A9" w:rsidRDefault="005C7DC2" w:rsidP="00234F4E">
      <w:pPr>
        <w:spacing w:before="120" w:after="120" w:line="480" w:lineRule="auto"/>
        <w:jc w:val="both"/>
        <w:rPr>
          <w:rFonts w:cs="Times New Roman"/>
          <w:b/>
          <w:lang w:eastAsia="en-US"/>
        </w:rPr>
      </w:pPr>
      <w:r w:rsidRPr="002E50A9">
        <w:rPr>
          <w:rFonts w:cs="Times New Roman"/>
          <w:b/>
          <w:lang w:eastAsia="en-US"/>
        </w:rPr>
        <w:lastRenderedPageBreak/>
        <w:t>Characterization of monocyte chemokine receptor expression</w:t>
      </w:r>
    </w:p>
    <w:p w14:paraId="26927F2A" w14:textId="77777777" w:rsidR="005C7DC2" w:rsidRDefault="000D628A" w:rsidP="00234F4E">
      <w:pPr>
        <w:spacing w:before="120" w:after="120" w:line="480" w:lineRule="auto"/>
        <w:jc w:val="both"/>
        <w:rPr>
          <w:rFonts w:eastAsia="Calibri" w:cs="Times New Roman"/>
          <w:lang w:eastAsia="en-US"/>
        </w:rPr>
      </w:pPr>
      <w:r w:rsidRPr="00807B8F">
        <w:rPr>
          <w:rFonts w:eastAsia="Times New Roman" w:cs="Times New Roman"/>
          <w:lang w:eastAsia="en-US"/>
        </w:rPr>
        <w:t xml:space="preserve">10 </w:t>
      </w:r>
      <w:proofErr w:type="spellStart"/>
      <w:r w:rsidRPr="00807B8F">
        <w:rPr>
          <w:rFonts w:eastAsia="Times New Roman" w:cs="Times New Roman"/>
          <w:lang w:eastAsia="en-US"/>
        </w:rPr>
        <w:t>mls</w:t>
      </w:r>
      <w:proofErr w:type="spellEnd"/>
      <w:r w:rsidRPr="00807B8F">
        <w:rPr>
          <w:rFonts w:eastAsia="Times New Roman" w:cs="Times New Roman"/>
          <w:lang w:eastAsia="en-US"/>
        </w:rPr>
        <w:t xml:space="preserve"> of blood was obtained by antecubital </w:t>
      </w:r>
      <w:proofErr w:type="spellStart"/>
      <w:r w:rsidRPr="00807B8F">
        <w:rPr>
          <w:rFonts w:eastAsia="Times New Roman" w:cs="Times New Roman"/>
          <w:lang w:eastAsia="en-US"/>
        </w:rPr>
        <w:t>venipuncture</w:t>
      </w:r>
      <w:proofErr w:type="spellEnd"/>
      <w:r w:rsidRPr="00807B8F">
        <w:rPr>
          <w:rFonts w:eastAsia="Times New Roman" w:cs="Times New Roman"/>
          <w:lang w:eastAsia="en-US"/>
        </w:rPr>
        <w:t xml:space="preserve"> from stable state COPD patients and was collected into a heparinized container. Red blood cells (RBC) were lysed using a red cell lysis buffer (</w:t>
      </w:r>
      <w:proofErr w:type="spellStart"/>
      <w:r w:rsidRPr="00807B8F">
        <w:rPr>
          <w:rFonts w:eastAsia="Times New Roman" w:cs="Times New Roman"/>
          <w:lang w:eastAsia="en-US"/>
        </w:rPr>
        <w:t>Biolegend</w:t>
      </w:r>
      <w:proofErr w:type="spellEnd"/>
      <w:r w:rsidRPr="00807B8F">
        <w:rPr>
          <w:rFonts w:eastAsia="Times New Roman" w:cs="Times New Roman"/>
          <w:lang w:eastAsia="en-US"/>
        </w:rPr>
        <w:t xml:space="preserve">, Cambridge UK). All cells were labelled with antibodies to CD14 (PE-Cy7), CD16 (APC), HLA-DR (APC-Cy7) in addition to a lineage specific cocktail (Per-CPCy5.5 conjugated anti-CD3, CD19 and CD56) to enable monocyte identification. Cell suspensions were also labelled with FITC conjugated anti-CCR5 antibodies. Antibodies were purchased from </w:t>
      </w:r>
      <w:proofErr w:type="spellStart"/>
      <w:r w:rsidRPr="00807B8F">
        <w:rPr>
          <w:rFonts w:eastAsia="Times New Roman" w:cs="Times New Roman"/>
          <w:lang w:eastAsia="en-US"/>
        </w:rPr>
        <w:t>Bi</w:t>
      </w:r>
      <w:r w:rsidR="00D1596E">
        <w:rPr>
          <w:rFonts w:eastAsia="Times New Roman" w:cs="Times New Roman"/>
          <w:lang w:eastAsia="en-US"/>
        </w:rPr>
        <w:t>olegend</w:t>
      </w:r>
      <w:proofErr w:type="spellEnd"/>
      <w:r w:rsidR="00D1596E">
        <w:rPr>
          <w:rFonts w:eastAsia="Times New Roman" w:cs="Times New Roman"/>
          <w:lang w:eastAsia="en-US"/>
        </w:rPr>
        <w:t xml:space="preserve">, </w:t>
      </w:r>
      <w:proofErr w:type="spellStart"/>
      <w:r w:rsidR="00D1596E">
        <w:rPr>
          <w:rFonts w:eastAsia="Times New Roman" w:cs="Times New Roman"/>
          <w:lang w:eastAsia="en-US"/>
        </w:rPr>
        <w:t>eBioscience</w:t>
      </w:r>
      <w:proofErr w:type="spellEnd"/>
      <w:r w:rsidR="00D1596E">
        <w:rPr>
          <w:rFonts w:eastAsia="Times New Roman" w:cs="Times New Roman"/>
          <w:lang w:eastAsia="en-US"/>
        </w:rPr>
        <w:t xml:space="preserve"> (</w:t>
      </w:r>
      <w:proofErr w:type="spellStart"/>
      <w:r w:rsidR="00D1596E">
        <w:rPr>
          <w:rFonts w:eastAsia="Times New Roman" w:cs="Times New Roman"/>
          <w:lang w:eastAsia="en-US"/>
        </w:rPr>
        <w:t>e</w:t>
      </w:r>
      <w:r w:rsidRPr="00807B8F">
        <w:rPr>
          <w:rFonts w:eastAsia="Times New Roman" w:cs="Times New Roman"/>
          <w:lang w:eastAsia="en-US"/>
        </w:rPr>
        <w:t>Bioscience</w:t>
      </w:r>
      <w:proofErr w:type="spellEnd"/>
      <w:r w:rsidRPr="00807B8F">
        <w:rPr>
          <w:rFonts w:eastAsia="Times New Roman" w:cs="Times New Roman"/>
          <w:lang w:eastAsia="en-US"/>
        </w:rPr>
        <w:t>, Hatfield UK) and BD (Becton-Dickenson, Oxford UK).</w:t>
      </w:r>
      <w:r w:rsidRPr="00807B8F">
        <w:rPr>
          <w:rFonts w:eastAsia="Calibri" w:cs="Times New Roman"/>
          <w:lang w:eastAsia="en-US"/>
        </w:rPr>
        <w:t xml:space="preserve"> Cells were incubated with these antibodies for 30 minutes in the dark. The</w:t>
      </w:r>
      <w:r w:rsidRPr="00807B8F">
        <w:rPr>
          <w:rFonts w:eastAsia="Times New Roman" w:cs="Times New Roman"/>
          <w:lang w:eastAsia="en-US"/>
        </w:rPr>
        <w:t xml:space="preserve"> flow </w:t>
      </w:r>
      <w:proofErr w:type="spellStart"/>
      <w:r w:rsidRPr="00807B8F">
        <w:rPr>
          <w:rFonts w:eastAsia="Times New Roman" w:cs="Times New Roman"/>
          <w:lang w:eastAsia="en-US"/>
        </w:rPr>
        <w:t>cytometric</w:t>
      </w:r>
      <w:proofErr w:type="spellEnd"/>
      <w:r w:rsidRPr="00807B8F">
        <w:rPr>
          <w:rFonts w:eastAsia="Times New Roman" w:cs="Times New Roman"/>
          <w:lang w:eastAsia="en-US"/>
        </w:rPr>
        <w:t xml:space="preserve"> assay was performed using </w:t>
      </w:r>
      <w:proofErr w:type="gramStart"/>
      <w:r w:rsidRPr="00807B8F">
        <w:rPr>
          <w:rFonts w:eastAsia="Times New Roman" w:cs="Times New Roman"/>
          <w:lang w:eastAsia="en-US"/>
        </w:rPr>
        <w:t>a BD</w:t>
      </w:r>
      <w:proofErr w:type="gramEnd"/>
      <w:r w:rsidRPr="00807B8F">
        <w:rPr>
          <w:rFonts w:eastAsia="Times New Roman" w:cs="Times New Roman"/>
          <w:lang w:eastAsia="en-US"/>
        </w:rPr>
        <w:t xml:space="preserve"> FACS Canto II flow cytometer (Becton-Dickenson) running BD FACS DIVA version 6 software.</w:t>
      </w:r>
      <w:r w:rsidRPr="00807B8F">
        <w:rPr>
          <w:rFonts w:eastAsia="Calibri" w:cs="Times New Roman"/>
          <w:lang w:eastAsia="en-US"/>
        </w:rPr>
        <w:t xml:space="preserve"> Colour compensation was performed to account for any spectral </w:t>
      </w:r>
      <w:r w:rsidR="002A05C0">
        <w:rPr>
          <w:rFonts w:eastAsia="Calibri" w:cs="Times New Roman"/>
          <w:lang w:eastAsia="en-US"/>
        </w:rPr>
        <w:t xml:space="preserve">overlap between </w:t>
      </w:r>
      <w:proofErr w:type="spellStart"/>
      <w:r w:rsidR="002A05C0">
        <w:rPr>
          <w:rFonts w:eastAsia="Calibri" w:cs="Times New Roman"/>
          <w:lang w:eastAsia="en-US"/>
        </w:rPr>
        <w:t>fluorophores</w:t>
      </w:r>
      <w:proofErr w:type="spellEnd"/>
      <w:r w:rsidR="002A05C0">
        <w:rPr>
          <w:rFonts w:eastAsia="Calibri" w:cs="Times New Roman"/>
          <w:lang w:eastAsia="en-US"/>
        </w:rPr>
        <w:t>. 1x</w:t>
      </w:r>
      <w:r w:rsidRPr="00807B8F">
        <w:rPr>
          <w:rFonts w:eastAsia="Calibri" w:cs="Times New Roman"/>
          <w:lang w:eastAsia="en-US"/>
        </w:rPr>
        <w:t>10</w:t>
      </w:r>
      <w:r w:rsidRPr="00807B8F">
        <w:rPr>
          <w:rFonts w:eastAsia="Calibri" w:cs="Times New Roman"/>
          <w:vertAlign w:val="superscript"/>
          <w:lang w:eastAsia="en-US"/>
        </w:rPr>
        <w:t>6</w:t>
      </w:r>
      <w:r w:rsidRPr="00807B8F">
        <w:rPr>
          <w:rFonts w:eastAsia="Calibri" w:cs="Times New Roman"/>
          <w:lang w:eastAsia="en-US"/>
        </w:rPr>
        <w:t xml:space="preserve"> events were recorded. Cell doublets were removed by excluding those events demonstrating high FSC</w:t>
      </w:r>
      <w:r>
        <w:rPr>
          <w:rFonts w:eastAsia="Calibri" w:cs="Times New Roman"/>
          <w:lang w:eastAsia="en-US"/>
        </w:rPr>
        <w:t xml:space="preserve"> height and FSC width signals.</w:t>
      </w:r>
      <w:r w:rsidR="00632822">
        <w:rPr>
          <w:rFonts w:eastAsia="Calibri" w:cs="Times New Roman"/>
          <w:lang w:eastAsia="en-US"/>
        </w:rPr>
        <w:t xml:space="preserve"> </w:t>
      </w:r>
      <w:r w:rsidR="00632822" w:rsidRPr="00632822">
        <w:rPr>
          <w:rFonts w:eastAsia="Times New Roman" w:cs="Times New Roman"/>
          <w:lang w:eastAsia="en-US"/>
        </w:rPr>
        <w:t>Monocytes were identified using forward scatter and side scatter characteristics in addition to the expression or absence of particular surface antigens. Monocytes were identified amongst the HLA-DR+ cells that do not express CD3 (T lymphocyte), CD19 (B cell) or CD56 (natural killer cell).</w:t>
      </w:r>
      <w:r w:rsidR="00632822" w:rsidRPr="00632822">
        <w:rPr>
          <w:rFonts w:eastAsia="Calibri" w:cs="Times New Roman"/>
          <w:lang w:eastAsia="en-US"/>
        </w:rPr>
        <w:t xml:space="preserve"> </w:t>
      </w:r>
      <w:r w:rsidR="00286F2F">
        <w:rPr>
          <w:rFonts w:eastAsia="Times New Roman" w:cs="Times New Roman"/>
          <w:lang w:eastAsia="en-US"/>
        </w:rPr>
        <w:t>The three principal monocyte subtypes can be identified according to their relative expression of CD14 (LPS receptor) and CD16 (</w:t>
      </w:r>
      <w:proofErr w:type="spellStart"/>
      <w:r w:rsidR="00286F2F">
        <w:rPr>
          <w:rFonts w:eastAsia="Times New Roman" w:cs="Times New Roman"/>
          <w:lang w:eastAsia="en-US"/>
        </w:rPr>
        <w:t>FcγRIII</w:t>
      </w:r>
      <w:proofErr w:type="spellEnd"/>
      <w:r w:rsidR="00286F2F">
        <w:rPr>
          <w:rFonts w:eastAsia="Times New Roman" w:cs="Times New Roman"/>
          <w:lang w:eastAsia="en-US"/>
        </w:rPr>
        <w:t xml:space="preserve"> receptor): </w:t>
      </w:r>
      <w:r w:rsidR="00286F2F" w:rsidRPr="00807B8F">
        <w:rPr>
          <w:rFonts w:cs="Times New Roman"/>
          <w:lang w:eastAsia="en-US"/>
        </w:rPr>
        <w:t>classical CD14</w:t>
      </w:r>
      <w:r w:rsidR="00286F2F" w:rsidRPr="00807B8F">
        <w:rPr>
          <w:rFonts w:cs="Times New Roman"/>
          <w:vertAlign w:val="superscript"/>
          <w:lang w:eastAsia="en-US"/>
        </w:rPr>
        <w:t>++</w:t>
      </w:r>
      <w:r w:rsidR="00286F2F" w:rsidRPr="00807B8F">
        <w:rPr>
          <w:rFonts w:cs="Times New Roman"/>
          <w:lang w:eastAsia="en-US"/>
        </w:rPr>
        <w:t>CD16</w:t>
      </w:r>
      <w:r w:rsidR="00286F2F" w:rsidRPr="00807B8F">
        <w:rPr>
          <w:rFonts w:cs="Times New Roman"/>
          <w:vertAlign w:val="superscript"/>
          <w:lang w:eastAsia="en-US"/>
        </w:rPr>
        <w:t>-</w:t>
      </w:r>
      <w:r w:rsidR="00286F2F" w:rsidRPr="00807B8F">
        <w:rPr>
          <w:rFonts w:cs="Times New Roman"/>
          <w:lang w:eastAsia="en-US"/>
        </w:rPr>
        <w:t>, intermediate CD14</w:t>
      </w:r>
      <w:r w:rsidR="00286F2F" w:rsidRPr="00807B8F">
        <w:rPr>
          <w:rFonts w:cs="Times New Roman"/>
          <w:vertAlign w:val="superscript"/>
          <w:lang w:eastAsia="en-US"/>
        </w:rPr>
        <w:t>+</w:t>
      </w:r>
      <w:r w:rsidR="00286F2F" w:rsidRPr="00807B8F">
        <w:rPr>
          <w:rFonts w:cs="Times New Roman"/>
          <w:lang w:eastAsia="en-US"/>
        </w:rPr>
        <w:t>CD16</w:t>
      </w:r>
      <w:r w:rsidR="00286F2F" w:rsidRPr="00807B8F">
        <w:rPr>
          <w:rFonts w:cs="Times New Roman"/>
          <w:vertAlign w:val="superscript"/>
          <w:lang w:eastAsia="en-US"/>
        </w:rPr>
        <w:t>+</w:t>
      </w:r>
      <w:r w:rsidR="00286F2F" w:rsidRPr="00807B8F">
        <w:rPr>
          <w:rFonts w:cs="Times New Roman"/>
          <w:lang w:eastAsia="en-US"/>
        </w:rPr>
        <w:t xml:space="preserve"> and non-classical CD14</w:t>
      </w:r>
      <w:r w:rsidR="00286F2F" w:rsidRPr="00807B8F">
        <w:rPr>
          <w:rFonts w:cs="Times New Roman"/>
          <w:vertAlign w:val="superscript"/>
          <w:lang w:eastAsia="en-US"/>
        </w:rPr>
        <w:t>-</w:t>
      </w:r>
      <w:r w:rsidR="00286F2F" w:rsidRPr="00807B8F">
        <w:rPr>
          <w:rFonts w:cs="Times New Roman"/>
          <w:lang w:eastAsia="en-US"/>
        </w:rPr>
        <w:t>CD16</w:t>
      </w:r>
      <w:r w:rsidR="00286F2F" w:rsidRPr="00807B8F">
        <w:rPr>
          <w:rFonts w:cs="Times New Roman"/>
          <w:vertAlign w:val="superscript"/>
          <w:lang w:eastAsia="en-US"/>
        </w:rPr>
        <w:t>++</w:t>
      </w:r>
      <w:r w:rsidR="00286F2F">
        <w:rPr>
          <w:rFonts w:cs="Times New Roman"/>
          <w:lang w:eastAsia="en-US"/>
        </w:rPr>
        <w:t xml:space="preserve">. </w:t>
      </w:r>
      <w:r w:rsidR="00286F2F">
        <w:rPr>
          <w:rFonts w:cs="Times New Roman"/>
          <w:vertAlign w:val="superscript"/>
          <w:lang w:eastAsia="en-US"/>
        </w:rPr>
        <w:t xml:space="preserve"> </w:t>
      </w:r>
      <w:r w:rsidR="00632822" w:rsidRPr="00632822">
        <w:rPr>
          <w:rFonts w:eastAsia="Calibri" w:cs="Times New Roman"/>
          <w:lang w:eastAsia="en-US"/>
        </w:rPr>
        <w:t>All procedures were performed at room temperature. Peripheral blood monocyte characterisation was also undertaken on COPD patients experiencing acute exacerbation.</w:t>
      </w:r>
    </w:p>
    <w:p w14:paraId="5D2543C0" w14:textId="77777777" w:rsidR="00632822" w:rsidRPr="008639A0" w:rsidRDefault="00632822" w:rsidP="00632822">
      <w:pPr>
        <w:spacing w:line="480" w:lineRule="auto"/>
        <w:rPr>
          <w:b/>
        </w:rPr>
      </w:pPr>
      <w:r w:rsidRPr="008639A0">
        <w:rPr>
          <w:b/>
        </w:rPr>
        <w:t>CD14</w:t>
      </w:r>
      <w:r w:rsidRPr="008F7E98">
        <w:rPr>
          <w:b/>
          <w:vertAlign w:val="superscript"/>
        </w:rPr>
        <w:t>+</w:t>
      </w:r>
      <w:r w:rsidRPr="008639A0">
        <w:rPr>
          <w:b/>
        </w:rPr>
        <w:t xml:space="preserve"> monocyte isolation</w:t>
      </w:r>
    </w:p>
    <w:p w14:paraId="79A50040" w14:textId="77777777" w:rsidR="00632822" w:rsidRPr="00807B8F" w:rsidRDefault="00632822" w:rsidP="00632822">
      <w:pPr>
        <w:spacing w:before="120" w:after="120" w:line="480" w:lineRule="auto"/>
        <w:jc w:val="both"/>
        <w:rPr>
          <w:rFonts w:cs="Times New Roman"/>
          <w:lang w:eastAsia="en-US"/>
        </w:rPr>
      </w:pPr>
      <w:r w:rsidRPr="00632822">
        <w:rPr>
          <w:rFonts w:cs="Times New Roman"/>
          <w:lang w:eastAsia="en-US"/>
        </w:rPr>
        <w:t xml:space="preserve">50 mL of blood was obtained by venepuncture and collected into a heparinized tube. Peripheral blood mononuclear cells (PBMC) were isolated by </w:t>
      </w:r>
      <w:proofErr w:type="spellStart"/>
      <w:r w:rsidRPr="00632822">
        <w:rPr>
          <w:rFonts w:cs="Times New Roman"/>
          <w:lang w:eastAsia="en-US"/>
        </w:rPr>
        <w:t>Ficoll</w:t>
      </w:r>
      <w:proofErr w:type="spellEnd"/>
      <w:r w:rsidRPr="00632822">
        <w:rPr>
          <w:rFonts w:cs="Times New Roman"/>
          <w:lang w:eastAsia="en-US"/>
        </w:rPr>
        <w:t xml:space="preserve"> differential </w:t>
      </w:r>
      <w:r w:rsidRPr="00632822">
        <w:rPr>
          <w:rFonts w:cs="Times New Roman"/>
          <w:lang w:eastAsia="en-US"/>
        </w:rPr>
        <w:lastRenderedPageBreak/>
        <w:t>centrifugation. CD14</w:t>
      </w:r>
      <w:r w:rsidRPr="00632822">
        <w:rPr>
          <w:rFonts w:cs="Times New Roman"/>
          <w:vertAlign w:val="superscript"/>
          <w:lang w:eastAsia="en-US"/>
        </w:rPr>
        <w:t xml:space="preserve">+ </w:t>
      </w:r>
      <w:r w:rsidRPr="00632822">
        <w:rPr>
          <w:rFonts w:cs="Times New Roman"/>
          <w:lang w:eastAsia="en-US"/>
        </w:rPr>
        <w:t xml:space="preserve">monocytes were positively collected from the PBMCs using magnetic bead isolation as previously described </w:t>
      </w:r>
      <w:r w:rsidRPr="00632822">
        <w:rPr>
          <w:rFonts w:cs="Times New Roman"/>
          <w:lang w:eastAsia="en-US"/>
        </w:rPr>
        <w:fldChar w:fldCharType="begin"/>
      </w:r>
      <w:r w:rsidR="00811C4A">
        <w:rPr>
          <w:rFonts w:cs="Times New Roman"/>
          <w:lang w:eastAsia="en-US"/>
        </w:rPr>
        <w:instrText xml:space="preserve"> ADDIN EN.CITE &lt;EndNote&gt;&lt;Cite&gt;&lt;Author&gt;Ravi&lt;/Author&gt;&lt;Year&gt;2014&lt;/Year&gt;&lt;RecNum&gt;314&lt;/RecNum&gt;&lt;DisplayText&gt;(1)&lt;/DisplayText&gt;&lt;record&gt;&lt;rec-number&gt;314&lt;/rec-number&gt;&lt;foreign-keys&gt;&lt;key app="EN" db-id="zdftr2xvxfzaaaew92svdx0zet5frf09rzwd" timestamp="1430229489"&gt;314&lt;/key&gt;&lt;/foreign-keys&gt;&lt;ref-type name="Journal Article"&gt;17&lt;/ref-type&gt;&lt;contributors&gt;&lt;authors&gt;&lt;author&gt;Ravi, A K&lt;/author&gt;&lt;author&gt;Khurana, S&lt;/author&gt;&lt;author&gt;Lemon, J&lt;/author&gt;&lt;author&gt;Plumb, J&lt;/author&gt;&lt;author&gt;Booth, G&lt;/author&gt;&lt;author&gt;Healy, L&lt;/author&gt;&lt;author&gt;Catley, M&lt;/author&gt;&lt;author&gt;Vestbo J&lt;/author&gt;&lt;author&gt;Singh, D&lt;/author&gt;&lt;/authors&gt;&lt;/contributors&gt;&lt;titles&gt;&lt;title&gt;Increased levels of soluble interleukin-6 receptor and CCL3 in COPD sputum&lt;/title&gt;&lt;secondary-title&gt;Respiratory Research&lt;/secondary-title&gt;&lt;/titles&gt;&lt;periodical&gt;&lt;full-title&gt;Respiratory Research&lt;/full-title&gt;&lt;/periodical&gt;&lt;pages&gt;103&lt;/pages&gt;&lt;volume&gt;15&lt;/volume&gt;&lt;dates&gt;&lt;year&gt;2014&lt;/year&gt;&lt;/dates&gt;&lt;urls&gt;&lt;/urls&gt;&lt;electronic-resource-num&gt;10.1186/s12931-014-0103-4&lt;/electronic-resource-num&gt;&lt;/record&gt;&lt;/Cite&gt;&lt;/EndNote&gt;</w:instrText>
      </w:r>
      <w:r w:rsidRPr="00632822">
        <w:rPr>
          <w:rFonts w:cs="Times New Roman"/>
          <w:lang w:eastAsia="en-US"/>
        </w:rPr>
        <w:fldChar w:fldCharType="separate"/>
      </w:r>
      <w:r w:rsidR="00811C4A">
        <w:rPr>
          <w:rFonts w:cs="Times New Roman"/>
          <w:noProof/>
          <w:lang w:eastAsia="en-US"/>
        </w:rPr>
        <w:t>(1)</w:t>
      </w:r>
      <w:r w:rsidRPr="00632822">
        <w:rPr>
          <w:rFonts w:cs="Times New Roman"/>
          <w:lang w:eastAsia="en-US"/>
        </w:rPr>
        <w:fldChar w:fldCharType="end"/>
      </w:r>
      <w:r w:rsidRPr="00632822">
        <w:rPr>
          <w:rFonts w:cs="Times New Roman"/>
          <w:lang w:eastAsia="en-US"/>
        </w:rPr>
        <w:t xml:space="preserve"> and then suspended in PBS or RPMI (Sigma-Aldrich, Gillingham UK) (for chemotaxis and gene expression experiments respectively) at a concentration of 1x10</w:t>
      </w:r>
      <w:r w:rsidRPr="00632822">
        <w:rPr>
          <w:rFonts w:cs="Times New Roman"/>
          <w:vertAlign w:val="superscript"/>
          <w:lang w:eastAsia="en-US"/>
        </w:rPr>
        <w:t>6</w:t>
      </w:r>
      <w:r w:rsidRPr="00632822">
        <w:rPr>
          <w:rFonts w:cs="Times New Roman"/>
          <w:lang w:eastAsia="en-US"/>
        </w:rPr>
        <w:t>/</w:t>
      </w:r>
      <w:proofErr w:type="spellStart"/>
      <w:r w:rsidRPr="00632822">
        <w:rPr>
          <w:rFonts w:cs="Times New Roman"/>
          <w:lang w:eastAsia="en-US"/>
        </w:rPr>
        <w:t>mL.</w:t>
      </w:r>
      <w:proofErr w:type="spellEnd"/>
      <w:r w:rsidRPr="00807B8F">
        <w:rPr>
          <w:rFonts w:cs="Times New Roman"/>
          <w:lang w:eastAsia="en-US"/>
        </w:rPr>
        <w:t xml:space="preserve">  </w:t>
      </w:r>
    </w:p>
    <w:p w14:paraId="4A079FD8" w14:textId="77777777" w:rsidR="000D628A" w:rsidRPr="002E50A9" w:rsidRDefault="000D628A" w:rsidP="00234F4E">
      <w:pPr>
        <w:spacing w:before="120" w:after="120" w:line="480" w:lineRule="auto"/>
        <w:jc w:val="both"/>
        <w:rPr>
          <w:rFonts w:cs="Times New Roman"/>
          <w:b/>
          <w:lang w:eastAsia="en-US"/>
        </w:rPr>
      </w:pPr>
      <w:r w:rsidRPr="002E50A9">
        <w:rPr>
          <w:rFonts w:cs="Times New Roman"/>
          <w:b/>
          <w:lang w:eastAsia="en-US"/>
        </w:rPr>
        <w:t>Sputum supernatant induced monocyte chemotaxis</w:t>
      </w:r>
    </w:p>
    <w:p w14:paraId="218C0068" w14:textId="77777777" w:rsidR="000D628A" w:rsidRDefault="00382FF5" w:rsidP="00874072">
      <w:pPr>
        <w:spacing w:after="200" w:line="480" w:lineRule="auto"/>
        <w:jc w:val="both"/>
        <w:rPr>
          <w:rFonts w:cs="Times New Roman"/>
          <w:lang w:eastAsia="en-US"/>
        </w:rPr>
      </w:pPr>
      <w:r w:rsidRPr="00807B8F">
        <w:rPr>
          <w:rFonts w:cs="Times New Roman"/>
          <w:lang w:eastAsia="en-US"/>
        </w:rPr>
        <w:t xml:space="preserve">The chemotaxis assay was performed using 96-well Multiscreen MIC plates </w:t>
      </w:r>
      <w:r>
        <w:rPr>
          <w:rFonts w:cs="Times New Roman"/>
          <w:lang w:eastAsia="en-US"/>
        </w:rPr>
        <w:t>incorporating</w:t>
      </w:r>
      <w:r w:rsidR="008F140B">
        <w:rPr>
          <w:rFonts w:cs="Times New Roman"/>
          <w:lang w:eastAsia="en-US"/>
        </w:rPr>
        <w:t xml:space="preserve"> </w:t>
      </w:r>
      <w:r w:rsidR="008F140B" w:rsidRPr="008F140B">
        <w:rPr>
          <w:rFonts w:cs="Times New Roman"/>
          <w:lang w:eastAsia="en-US"/>
        </w:rPr>
        <w:t xml:space="preserve">5 </w:t>
      </w:r>
      <w:proofErr w:type="spellStart"/>
      <w:r w:rsidR="008F140B" w:rsidRPr="008F140B">
        <w:rPr>
          <w:rFonts w:cs="Times New Roman"/>
          <w:lang w:eastAsia="en-US"/>
        </w:rPr>
        <w:t>μm</w:t>
      </w:r>
      <w:proofErr w:type="spellEnd"/>
      <w:r w:rsidR="008F140B" w:rsidRPr="008F140B">
        <w:rPr>
          <w:rFonts w:cs="Times New Roman"/>
          <w:lang w:eastAsia="en-US"/>
        </w:rPr>
        <w:t xml:space="preserve"> pore diameter polycarbonate filter membranes (Merck-Millipore, Watford, UK) based on the method of </w:t>
      </w:r>
      <w:proofErr w:type="spellStart"/>
      <w:r w:rsidR="008F140B" w:rsidRPr="008F140B">
        <w:rPr>
          <w:rFonts w:cs="Times New Roman"/>
          <w:lang w:eastAsia="en-US"/>
        </w:rPr>
        <w:t>transwell</w:t>
      </w:r>
      <w:proofErr w:type="spellEnd"/>
      <w:r w:rsidR="008F140B" w:rsidRPr="008F140B">
        <w:rPr>
          <w:rFonts w:cs="Times New Roman"/>
          <w:lang w:eastAsia="en-US"/>
        </w:rPr>
        <w:t xml:space="preserve"> diffusion incorporating a fluorescence based detection method</w:t>
      </w:r>
      <w:r w:rsidR="008F140B">
        <w:rPr>
          <w:rFonts w:cs="Times New Roman"/>
          <w:lang w:eastAsia="en-US"/>
        </w:rPr>
        <w:t>.</w:t>
      </w:r>
      <w:r w:rsidR="008F140B" w:rsidRPr="008F140B">
        <w:rPr>
          <w:rFonts w:cs="Times New Roman"/>
          <w:lang w:eastAsia="en-US"/>
        </w:rPr>
        <w:t xml:space="preserve"> </w:t>
      </w:r>
      <w:r w:rsidR="002A05C0">
        <w:rPr>
          <w:rFonts w:cs="Times New Roman"/>
          <w:lang w:eastAsia="en-US"/>
        </w:rPr>
        <w:t>CD14</w:t>
      </w:r>
      <w:r w:rsidR="002A05C0" w:rsidRPr="00E72B8A">
        <w:rPr>
          <w:rFonts w:cs="Times New Roman"/>
          <w:vertAlign w:val="superscript"/>
          <w:lang w:eastAsia="en-US"/>
        </w:rPr>
        <w:t>+</w:t>
      </w:r>
      <w:r w:rsidR="002A05C0">
        <w:rPr>
          <w:rFonts w:cs="Times New Roman"/>
          <w:lang w:eastAsia="en-US"/>
        </w:rPr>
        <w:t xml:space="preserve"> monocytes (1x</w:t>
      </w:r>
      <w:r w:rsidR="000D628A" w:rsidRPr="00807B8F">
        <w:rPr>
          <w:rFonts w:cs="Times New Roman"/>
          <w:lang w:eastAsia="en-US"/>
        </w:rPr>
        <w:t>10</w:t>
      </w:r>
      <w:r w:rsidR="000D628A" w:rsidRPr="00807B8F">
        <w:rPr>
          <w:rFonts w:cs="Times New Roman"/>
          <w:vertAlign w:val="superscript"/>
          <w:lang w:eastAsia="en-US"/>
        </w:rPr>
        <w:t>5</w:t>
      </w:r>
      <w:r w:rsidR="000D628A" w:rsidRPr="00807B8F">
        <w:rPr>
          <w:rFonts w:cs="Times New Roman"/>
          <w:lang w:eastAsia="en-US"/>
        </w:rPr>
        <w:t xml:space="preserve"> cells/well) were applied to the upper plate. For all experiments, sputum supernatant obtained from 3 individuals (either COPD patients or HNS) were pooled and diluted in a 1:10 ratio with PBS. Diluted sputum supernatant was applied to the wells of the lower plate. The two plates were incubated separately for 60 minutes at 37°C then sandwiched together and incubated for a further 18 hours. Migrated cells in the lower plate were collected, incubated with lysis buffer containing the Quant-IT </w:t>
      </w:r>
      <w:proofErr w:type="spellStart"/>
      <w:r w:rsidR="000D628A" w:rsidRPr="00807B8F">
        <w:rPr>
          <w:rFonts w:cs="Times New Roman"/>
          <w:lang w:eastAsia="en-US"/>
        </w:rPr>
        <w:t>PicoGreen</w:t>
      </w:r>
      <w:proofErr w:type="spellEnd"/>
      <w:r w:rsidR="000D628A" w:rsidRPr="00807B8F">
        <w:rPr>
          <w:rFonts w:cs="Times New Roman"/>
          <w:lang w:eastAsia="en-US"/>
        </w:rPr>
        <w:t xml:space="preserve"> fluorescent </w:t>
      </w:r>
      <w:proofErr w:type="spellStart"/>
      <w:r w:rsidR="000D628A" w:rsidRPr="00807B8F">
        <w:rPr>
          <w:rFonts w:cs="Times New Roman"/>
          <w:lang w:eastAsia="en-US"/>
        </w:rPr>
        <w:t>dsDNA</w:t>
      </w:r>
      <w:proofErr w:type="spellEnd"/>
      <w:r w:rsidR="000D628A" w:rsidRPr="00807B8F">
        <w:rPr>
          <w:rFonts w:cs="Times New Roman"/>
          <w:lang w:eastAsia="en-US"/>
        </w:rPr>
        <w:t xml:space="preserve"> binding probe (Life Technologies, Paisley UK) and analysed using a BMG </w:t>
      </w:r>
      <w:proofErr w:type="spellStart"/>
      <w:r w:rsidR="000D628A" w:rsidRPr="00807B8F">
        <w:rPr>
          <w:rFonts w:cs="Times New Roman"/>
          <w:lang w:eastAsia="en-US"/>
        </w:rPr>
        <w:t>LabTech</w:t>
      </w:r>
      <w:proofErr w:type="spellEnd"/>
      <w:r w:rsidR="000D628A" w:rsidRPr="00807B8F">
        <w:rPr>
          <w:rFonts w:cs="Times New Roman"/>
          <w:lang w:eastAsia="en-US"/>
        </w:rPr>
        <w:t xml:space="preserve"> </w:t>
      </w:r>
      <w:proofErr w:type="spellStart"/>
      <w:r w:rsidR="000D628A" w:rsidRPr="00807B8F">
        <w:rPr>
          <w:rFonts w:cs="Times New Roman"/>
          <w:lang w:eastAsia="en-US"/>
        </w:rPr>
        <w:t>FluoStar</w:t>
      </w:r>
      <w:proofErr w:type="spellEnd"/>
      <w:r w:rsidR="000D628A" w:rsidRPr="00807B8F">
        <w:rPr>
          <w:rFonts w:cs="Times New Roman"/>
          <w:lang w:eastAsia="en-US"/>
        </w:rPr>
        <w:t xml:space="preserve"> Optima optical density plate reader.</w:t>
      </w:r>
      <w:r w:rsidR="008F140B" w:rsidRPr="008F140B">
        <w:rPr>
          <w:rFonts w:cs="Times New Roman"/>
          <w:lang w:eastAsia="en-US"/>
        </w:rPr>
        <w:t xml:space="preserve"> CD14</w:t>
      </w:r>
      <w:r w:rsidR="008F140B" w:rsidRPr="008F140B">
        <w:rPr>
          <w:rFonts w:cs="Times New Roman"/>
          <w:vertAlign w:val="superscript"/>
          <w:lang w:eastAsia="en-US"/>
        </w:rPr>
        <w:t>+</w:t>
      </w:r>
      <w:r w:rsidR="008F140B" w:rsidRPr="008F140B">
        <w:rPr>
          <w:rFonts w:cs="Times New Roman"/>
          <w:lang w:eastAsia="en-US"/>
        </w:rPr>
        <w:t xml:space="preserve"> monocyte chemotaxis was expressed as a proportion (%) of maximum CD14</w:t>
      </w:r>
      <w:r w:rsidR="008F140B" w:rsidRPr="008F140B">
        <w:rPr>
          <w:rFonts w:cs="Times New Roman"/>
          <w:vertAlign w:val="superscript"/>
          <w:lang w:eastAsia="en-US"/>
        </w:rPr>
        <w:t>+</w:t>
      </w:r>
      <w:r w:rsidR="008F140B" w:rsidRPr="008F140B">
        <w:rPr>
          <w:rFonts w:cs="Times New Roman"/>
          <w:lang w:eastAsia="en-US"/>
        </w:rPr>
        <w:t xml:space="preserve"> monocyte migration (CD14</w:t>
      </w:r>
      <w:r w:rsidR="008F140B" w:rsidRPr="008F140B">
        <w:rPr>
          <w:rFonts w:cs="Times New Roman"/>
          <w:vertAlign w:val="superscript"/>
          <w:lang w:eastAsia="en-US"/>
        </w:rPr>
        <w:t>+</w:t>
      </w:r>
      <w:r w:rsidR="008F140B" w:rsidRPr="008F140B">
        <w:rPr>
          <w:rFonts w:cs="Times New Roman"/>
          <w:lang w:eastAsia="en-US"/>
        </w:rPr>
        <w:t xml:space="preserve"> cells added directly to the wells of the lower plate). All conditions were assayed in triplicate</w:t>
      </w:r>
      <w:r w:rsidR="008F140B">
        <w:rPr>
          <w:rFonts w:cs="Times New Roman"/>
          <w:lang w:eastAsia="en-US"/>
        </w:rPr>
        <w:t xml:space="preserve"> </w:t>
      </w:r>
      <w:r w:rsidR="008F140B" w:rsidRPr="008F140B">
        <w:rPr>
          <w:rFonts w:cs="Times New Roman"/>
          <w:lang w:eastAsia="en-US"/>
        </w:rPr>
        <w:t>with mean chemotaxis values taken of technical replicates.</w:t>
      </w:r>
    </w:p>
    <w:p w14:paraId="4C078B35" w14:textId="5BDFE1F1" w:rsidR="0009536C" w:rsidRPr="00E04F5D" w:rsidRDefault="0009536C" w:rsidP="00874072">
      <w:pPr>
        <w:spacing w:after="200" w:line="480" w:lineRule="auto"/>
        <w:jc w:val="both"/>
        <w:rPr>
          <w:rFonts w:cs="Times New Roman"/>
          <w:b/>
          <w:lang w:eastAsia="en-US"/>
        </w:rPr>
      </w:pPr>
      <w:r w:rsidRPr="00E04F5D">
        <w:rPr>
          <w:rFonts w:cs="Times New Roman"/>
          <w:b/>
          <w:lang w:eastAsia="en-US"/>
        </w:rPr>
        <w:t>CCL3 induced monocyte chemotaxis</w:t>
      </w:r>
    </w:p>
    <w:p w14:paraId="60774D5D" w14:textId="48B35A43" w:rsidR="0009536C" w:rsidRPr="00E04F5D" w:rsidRDefault="0009536C" w:rsidP="00874072">
      <w:pPr>
        <w:spacing w:after="200" w:line="480" w:lineRule="auto"/>
        <w:jc w:val="both"/>
        <w:rPr>
          <w:rFonts w:cs="Times New Roman"/>
          <w:lang w:eastAsia="en-US"/>
        </w:rPr>
      </w:pPr>
      <w:r w:rsidRPr="00E04F5D">
        <w:rPr>
          <w:rFonts w:cs="Times New Roman"/>
          <w:lang w:eastAsia="en-US"/>
        </w:rPr>
        <w:t xml:space="preserve">The chemotaxis assay was performed as described above however rhCCL3 (recombinant human) was utilised as the </w:t>
      </w:r>
      <w:proofErr w:type="spellStart"/>
      <w:r w:rsidRPr="00E04F5D">
        <w:rPr>
          <w:rFonts w:cs="Times New Roman"/>
          <w:lang w:eastAsia="en-US"/>
        </w:rPr>
        <w:t>chemoattractant</w:t>
      </w:r>
      <w:proofErr w:type="spellEnd"/>
      <w:r w:rsidRPr="00E04F5D">
        <w:rPr>
          <w:rFonts w:cs="Times New Roman"/>
          <w:lang w:eastAsia="en-US"/>
        </w:rPr>
        <w:t>. Recombinant human CCL3 (R&amp;D Systems, Abingdon, UK) was diluted in RPMI 1640 medium (without phenol red) (Sigma Aldrich</w:t>
      </w:r>
      <w:r w:rsidR="00C45493" w:rsidRPr="00E04F5D">
        <w:rPr>
          <w:rFonts w:cs="Times New Roman"/>
          <w:lang w:eastAsia="en-US"/>
        </w:rPr>
        <w:t xml:space="preserve">, Irvine, UK) yielding concentrations of 250, 125, 62.5, 31.3, 15.6, 7.8, 3.9 and 2ng/ml. </w:t>
      </w:r>
    </w:p>
    <w:p w14:paraId="12F84E94" w14:textId="77777777" w:rsidR="008F140B" w:rsidRDefault="008F140B" w:rsidP="00874072">
      <w:pPr>
        <w:spacing w:after="200" w:line="480" w:lineRule="auto"/>
        <w:jc w:val="both"/>
        <w:rPr>
          <w:b/>
        </w:rPr>
      </w:pPr>
      <w:r w:rsidRPr="008639A0">
        <w:rPr>
          <w:b/>
        </w:rPr>
        <w:lastRenderedPageBreak/>
        <w:t>CD14</w:t>
      </w:r>
      <w:r w:rsidRPr="001525E9">
        <w:rPr>
          <w:b/>
          <w:vertAlign w:val="superscript"/>
        </w:rPr>
        <w:t xml:space="preserve">+ </w:t>
      </w:r>
      <w:r w:rsidRPr="008639A0">
        <w:rPr>
          <w:b/>
        </w:rPr>
        <w:t>monocyte chemokine receptor gene expression</w:t>
      </w:r>
      <w:r>
        <w:rPr>
          <w:b/>
        </w:rPr>
        <w:t xml:space="preserve"> (cell culture)</w:t>
      </w:r>
    </w:p>
    <w:p w14:paraId="5AEB5177" w14:textId="77777777" w:rsidR="008F140B" w:rsidRDefault="008F140B" w:rsidP="00874072">
      <w:pPr>
        <w:spacing w:after="200" w:line="480" w:lineRule="auto"/>
        <w:jc w:val="both"/>
        <w:rPr>
          <w:lang w:eastAsia="en-US"/>
        </w:rPr>
      </w:pPr>
      <w:r w:rsidRPr="00A71290">
        <w:rPr>
          <w:lang w:eastAsia="en-US"/>
        </w:rPr>
        <w:t>CD14</w:t>
      </w:r>
      <w:r w:rsidRPr="00A71290">
        <w:rPr>
          <w:vertAlign w:val="superscript"/>
          <w:lang w:eastAsia="en-US"/>
        </w:rPr>
        <w:t>+</w:t>
      </w:r>
      <w:r w:rsidRPr="00A71290">
        <w:rPr>
          <w:lang w:eastAsia="en-US"/>
        </w:rPr>
        <w:t xml:space="preserve"> monocytes were applied to the wells (4x10</w:t>
      </w:r>
      <w:r w:rsidRPr="00A71290">
        <w:rPr>
          <w:vertAlign w:val="superscript"/>
          <w:lang w:eastAsia="en-US"/>
        </w:rPr>
        <w:t>5</w:t>
      </w:r>
      <w:r w:rsidRPr="00A71290">
        <w:rPr>
          <w:lang w:eastAsia="en-US"/>
        </w:rPr>
        <w:t xml:space="preserve"> cells/well) of a 24-well plate (Greiner Bio-One, </w:t>
      </w:r>
      <w:proofErr w:type="spellStart"/>
      <w:r w:rsidRPr="00A71290">
        <w:rPr>
          <w:lang w:eastAsia="en-US"/>
        </w:rPr>
        <w:t>Stonehouse</w:t>
      </w:r>
      <w:proofErr w:type="spellEnd"/>
      <w:r w:rsidRPr="00A71290">
        <w:rPr>
          <w:lang w:eastAsia="en-US"/>
        </w:rPr>
        <w:t xml:space="preserve"> UK).  All conditions were assayed in duplicate.</w:t>
      </w:r>
      <w:r>
        <w:rPr>
          <w:lang w:eastAsia="en-US"/>
        </w:rPr>
        <w:t xml:space="preserve"> Cell lysates were harvested using RLT buffer </w:t>
      </w:r>
      <w:r w:rsidRPr="00A71290">
        <w:rPr>
          <w:lang w:eastAsia="en-US"/>
        </w:rPr>
        <w:t>(with 1% β-</w:t>
      </w:r>
      <w:proofErr w:type="spellStart"/>
      <w:r w:rsidRPr="00A71290">
        <w:rPr>
          <w:lang w:eastAsia="en-US"/>
        </w:rPr>
        <w:t>mercaptoethanol</w:t>
      </w:r>
      <w:proofErr w:type="spellEnd"/>
      <w:r w:rsidRPr="00A71290">
        <w:rPr>
          <w:lang w:eastAsia="en-US"/>
        </w:rPr>
        <w:t>) at 0h (unstimulated only), 4hrs and 19 hrs post-incubation.</w:t>
      </w:r>
    </w:p>
    <w:p w14:paraId="10A129EF" w14:textId="595233D3" w:rsidR="00D6008B" w:rsidRPr="002E50A9" w:rsidRDefault="00D6008B" w:rsidP="00813F5D">
      <w:pPr>
        <w:spacing w:after="200" w:line="276" w:lineRule="auto"/>
        <w:rPr>
          <w:rFonts w:cs="Times New Roman"/>
          <w:b/>
          <w:lang w:eastAsia="en-US"/>
        </w:rPr>
      </w:pPr>
      <w:r w:rsidRPr="002E50A9">
        <w:rPr>
          <w:rFonts w:cs="Times New Roman"/>
          <w:b/>
          <w:lang w:eastAsia="en-US"/>
        </w:rPr>
        <w:t>Quantitative polymerase chain reaction (QPCR)</w:t>
      </w:r>
    </w:p>
    <w:p w14:paraId="11D2784A" w14:textId="77777777" w:rsidR="00A71290" w:rsidRDefault="00D6008B" w:rsidP="00A71290">
      <w:pPr>
        <w:spacing w:after="200" w:line="480" w:lineRule="auto"/>
        <w:jc w:val="both"/>
        <w:rPr>
          <w:rFonts w:cs="Times New Roman"/>
          <w:lang w:eastAsia="en-US"/>
        </w:rPr>
      </w:pPr>
      <w:r w:rsidRPr="00807B8F">
        <w:rPr>
          <w:rFonts w:cs="Times New Roman"/>
          <w:lang w:eastAsia="en-US"/>
        </w:rPr>
        <w:t xml:space="preserve">Total RNA was purified from cell lysates using </w:t>
      </w:r>
      <w:proofErr w:type="spellStart"/>
      <w:r w:rsidRPr="00807B8F">
        <w:rPr>
          <w:rFonts w:cs="Times New Roman"/>
          <w:lang w:eastAsia="en-US"/>
        </w:rPr>
        <w:t>RNeasy</w:t>
      </w:r>
      <w:proofErr w:type="spellEnd"/>
      <w:r w:rsidRPr="00807B8F">
        <w:rPr>
          <w:rFonts w:cs="Times New Roman"/>
          <w:lang w:eastAsia="en-US"/>
        </w:rPr>
        <w:t xml:space="preserve"> kits (</w:t>
      </w:r>
      <w:proofErr w:type="spellStart"/>
      <w:r w:rsidRPr="00807B8F">
        <w:rPr>
          <w:rFonts w:cs="Times New Roman"/>
          <w:lang w:eastAsia="en-US"/>
        </w:rPr>
        <w:t>Qiagen</w:t>
      </w:r>
      <w:proofErr w:type="spellEnd"/>
      <w:r w:rsidRPr="00807B8F">
        <w:rPr>
          <w:rFonts w:cs="Times New Roman"/>
          <w:lang w:eastAsia="en-US"/>
        </w:rPr>
        <w:t>, Crawley-UK) according to the manufacturer’s instructions.  DNA contamination was prevented by on column addition of DNase (</w:t>
      </w:r>
      <w:proofErr w:type="spellStart"/>
      <w:r w:rsidRPr="00807B8F">
        <w:rPr>
          <w:rFonts w:cs="Times New Roman"/>
          <w:lang w:eastAsia="en-US"/>
        </w:rPr>
        <w:t>Qiagen</w:t>
      </w:r>
      <w:proofErr w:type="spellEnd"/>
      <w:r w:rsidRPr="00807B8F">
        <w:rPr>
          <w:rFonts w:cs="Times New Roman"/>
          <w:lang w:eastAsia="en-US"/>
        </w:rPr>
        <w:t xml:space="preserve">, Crawley – UK) according to manufacturer’s instructions. </w:t>
      </w:r>
      <w:proofErr w:type="spellStart"/>
      <w:r w:rsidRPr="00807B8F">
        <w:rPr>
          <w:rFonts w:cs="Times New Roman"/>
          <w:lang w:eastAsia="en-US"/>
        </w:rPr>
        <w:t>TaqMan</w:t>
      </w:r>
      <w:proofErr w:type="spellEnd"/>
      <w:r w:rsidRPr="00807B8F">
        <w:rPr>
          <w:rFonts w:cs="Times New Roman"/>
          <w:lang w:eastAsia="en-US"/>
        </w:rPr>
        <w:t xml:space="preserve"> reverse transcription PCR (RT-PCR) was performed on RNA from CD14</w:t>
      </w:r>
      <w:r w:rsidRPr="002A05C0">
        <w:rPr>
          <w:rFonts w:cs="Times New Roman"/>
          <w:vertAlign w:val="superscript"/>
          <w:lang w:eastAsia="en-US"/>
        </w:rPr>
        <w:t>+</w:t>
      </w:r>
      <w:r w:rsidRPr="00807B8F">
        <w:rPr>
          <w:rFonts w:cs="Times New Roman"/>
          <w:lang w:eastAsia="en-US"/>
        </w:rPr>
        <w:t xml:space="preserve"> monocytes (Thermo Scientific, Surrey-UK). Total RNA was then converted to cDNA. QPCR was performed using cDNA; 50ng of cDNA was used in 25μl reactions containing specific primers and probes for CCR5. Thermal cycling was performed using a </w:t>
      </w:r>
      <w:proofErr w:type="spellStart"/>
      <w:r w:rsidRPr="00807B8F">
        <w:rPr>
          <w:rFonts w:cs="Times New Roman"/>
          <w:lang w:eastAsia="en-US"/>
        </w:rPr>
        <w:t>Stratagene</w:t>
      </w:r>
      <w:proofErr w:type="spellEnd"/>
      <w:r w:rsidRPr="00807B8F">
        <w:rPr>
          <w:rFonts w:cs="Times New Roman"/>
          <w:lang w:eastAsia="en-US"/>
        </w:rPr>
        <w:t xml:space="preserve"> MX3005P (</w:t>
      </w:r>
      <w:proofErr w:type="spellStart"/>
      <w:r w:rsidRPr="00807B8F">
        <w:rPr>
          <w:rFonts w:cs="Times New Roman"/>
          <w:lang w:eastAsia="en-US"/>
        </w:rPr>
        <w:t>Agligent</w:t>
      </w:r>
      <w:proofErr w:type="spellEnd"/>
      <w:r w:rsidRPr="00807B8F">
        <w:rPr>
          <w:rFonts w:cs="Times New Roman"/>
          <w:lang w:eastAsia="en-US"/>
        </w:rPr>
        <w:t xml:space="preserve"> Technologies, West Lothian UK).</w:t>
      </w:r>
      <w:r w:rsidR="00A71290" w:rsidRPr="00A71290">
        <w:rPr>
          <w:rFonts w:cs="Times New Roman"/>
          <w:lang w:eastAsia="en-US"/>
        </w:rPr>
        <w:t xml:space="preserve"> Relative expression levels were determined using the </w:t>
      </w:r>
      <w:proofErr w:type="spellStart"/>
      <w:r w:rsidR="00A71290" w:rsidRPr="00A71290">
        <w:rPr>
          <w:rFonts w:cs="Times New Roman"/>
          <w:lang w:eastAsia="en-US"/>
        </w:rPr>
        <w:t>ΔΔCt</w:t>
      </w:r>
      <w:proofErr w:type="spellEnd"/>
      <w:r w:rsidR="00A71290" w:rsidRPr="00A71290">
        <w:rPr>
          <w:rFonts w:cs="Times New Roman"/>
          <w:lang w:eastAsia="en-US"/>
        </w:rPr>
        <w:t xml:space="preserve"> method normalizing to the endogenous control (GAPDH -</w:t>
      </w:r>
      <w:r w:rsidR="00A71290" w:rsidRPr="00A71290">
        <w:rPr>
          <w:rFonts w:ascii="Arial" w:hAnsi="Arial" w:cs="Arial"/>
          <w:color w:val="222222"/>
          <w:shd w:val="clear" w:color="auto" w:fill="FFFFFF"/>
        </w:rPr>
        <w:t xml:space="preserve"> </w:t>
      </w:r>
      <w:r w:rsidR="00A71290" w:rsidRPr="00A71290">
        <w:rPr>
          <w:rFonts w:cs="Times New Roman"/>
          <w:color w:val="222222"/>
          <w:shd w:val="clear" w:color="auto" w:fill="FFFFFF"/>
        </w:rPr>
        <w:t xml:space="preserve">Glyceraldehyde 3-phosphate dehydrogenase) </w:t>
      </w:r>
      <w:r w:rsidR="00A71290" w:rsidRPr="00A71290">
        <w:rPr>
          <w:rFonts w:cs="Times New Roman"/>
          <w:lang w:eastAsia="en-US"/>
        </w:rPr>
        <w:t>with mean expression levels taken of technical replicates.</w:t>
      </w:r>
    </w:p>
    <w:p w14:paraId="525D66C7" w14:textId="77777777" w:rsidR="00D6008B" w:rsidRPr="002E50A9" w:rsidRDefault="00A71290" w:rsidP="0071244E">
      <w:pPr>
        <w:spacing w:before="120" w:after="120" w:line="480" w:lineRule="auto"/>
        <w:jc w:val="both"/>
        <w:rPr>
          <w:rFonts w:cs="Times New Roman"/>
          <w:b/>
          <w:lang w:eastAsia="en-US"/>
        </w:rPr>
      </w:pPr>
      <w:r>
        <w:rPr>
          <w:rFonts w:cs="Times New Roman"/>
          <w:b/>
          <w:lang w:eastAsia="en-US"/>
        </w:rPr>
        <w:t xml:space="preserve">Immunohistochemistry: </w:t>
      </w:r>
      <w:r w:rsidR="00D6008B" w:rsidRPr="002E50A9">
        <w:rPr>
          <w:rFonts w:cs="Times New Roman"/>
          <w:b/>
          <w:lang w:eastAsia="en-US"/>
        </w:rPr>
        <w:t>Tissue preparation</w:t>
      </w:r>
    </w:p>
    <w:p w14:paraId="643CCD76" w14:textId="77777777" w:rsidR="00D6008B" w:rsidRPr="00807B8F" w:rsidRDefault="00D6008B" w:rsidP="00234F4E">
      <w:pPr>
        <w:spacing w:before="120" w:after="120" w:line="480" w:lineRule="auto"/>
        <w:jc w:val="both"/>
        <w:rPr>
          <w:rFonts w:cs="Times New Roman"/>
          <w:lang w:eastAsia="en-US"/>
        </w:rPr>
      </w:pPr>
      <w:r w:rsidRPr="00807B8F">
        <w:rPr>
          <w:rFonts w:cs="Times New Roman"/>
          <w:lang w:eastAsia="en-US"/>
        </w:rPr>
        <w:t xml:space="preserve">Explanted tissue was obtained from individuals undergoing surgical resection of lung carcinoma. Tissue was obtained from resected lung as far distal to the tumour as possible. Tissue was </w:t>
      </w:r>
      <w:r w:rsidR="00E630EC">
        <w:rPr>
          <w:rFonts w:cs="Times New Roman"/>
          <w:lang w:eastAsia="en-US"/>
        </w:rPr>
        <w:t xml:space="preserve">formalin fixed, </w:t>
      </w:r>
      <w:r w:rsidRPr="00807B8F">
        <w:rPr>
          <w:rFonts w:cs="Times New Roman"/>
          <w:lang w:eastAsia="en-US"/>
        </w:rPr>
        <w:t>embedded in paraffin and cut into 3-μm sections using a Leica RM microtome and lifted onto positively-charged adhesive glass slides (X-</w:t>
      </w:r>
      <w:proofErr w:type="spellStart"/>
      <w:r w:rsidRPr="00807B8F">
        <w:rPr>
          <w:rFonts w:cs="Times New Roman"/>
          <w:lang w:eastAsia="en-US"/>
        </w:rPr>
        <w:t>tra</w:t>
      </w:r>
      <w:proofErr w:type="spellEnd"/>
      <w:r w:rsidRPr="00807B8F">
        <w:rPr>
          <w:rFonts w:cs="Times New Roman"/>
          <w:vertAlign w:val="superscript"/>
          <w:lang w:eastAsia="en-US"/>
        </w:rPr>
        <w:t>®</w:t>
      </w:r>
      <w:r w:rsidRPr="00807B8F">
        <w:rPr>
          <w:rFonts w:cs="Times New Roman"/>
          <w:lang w:eastAsia="en-US"/>
        </w:rPr>
        <w:t xml:space="preserve">, Leica </w:t>
      </w:r>
      <w:proofErr w:type="spellStart"/>
      <w:r w:rsidRPr="00807B8F">
        <w:rPr>
          <w:rFonts w:cs="Times New Roman"/>
          <w:lang w:eastAsia="en-US"/>
        </w:rPr>
        <w:t>Biosystems</w:t>
      </w:r>
      <w:proofErr w:type="spellEnd"/>
      <w:r w:rsidRPr="00807B8F">
        <w:rPr>
          <w:rFonts w:cs="Times New Roman"/>
          <w:lang w:eastAsia="en-US"/>
        </w:rPr>
        <w:t>).</w:t>
      </w:r>
    </w:p>
    <w:p w14:paraId="0BA31AA9" w14:textId="77777777" w:rsidR="00D6008B" w:rsidRPr="00807B8F" w:rsidRDefault="00D6008B" w:rsidP="00874072">
      <w:pPr>
        <w:spacing w:after="200" w:line="480" w:lineRule="auto"/>
        <w:jc w:val="both"/>
        <w:rPr>
          <w:rFonts w:cs="Times New Roman"/>
          <w:lang w:eastAsia="en-US"/>
        </w:rPr>
      </w:pPr>
      <w:r w:rsidRPr="00807B8F">
        <w:rPr>
          <w:rFonts w:cs="Times New Roman"/>
          <w:lang w:eastAsia="en-US"/>
        </w:rPr>
        <w:t>Tissue sections underwent dewaxing (xylene) and rehydration (immersion in descending concentrations of industrial methylated spirits: 100%, 90%, 75% and 50%) prior to immuno-</w:t>
      </w:r>
      <w:r w:rsidRPr="00807B8F">
        <w:rPr>
          <w:rFonts w:cs="Times New Roman"/>
          <w:lang w:eastAsia="en-US"/>
        </w:rPr>
        <w:lastRenderedPageBreak/>
        <w:t xml:space="preserve">staining. Heat induced epitope retrieval (HIER) was performed on rehydrated sections using pH 9.0 </w:t>
      </w:r>
      <w:proofErr w:type="spellStart"/>
      <w:r w:rsidRPr="00807B8F">
        <w:rPr>
          <w:rFonts w:cs="Times New Roman"/>
          <w:lang w:eastAsia="en-US"/>
        </w:rPr>
        <w:t>Tris</w:t>
      </w:r>
      <w:proofErr w:type="spellEnd"/>
      <w:r w:rsidRPr="00807B8F">
        <w:rPr>
          <w:rFonts w:cs="Times New Roman"/>
          <w:lang w:eastAsia="en-US"/>
        </w:rPr>
        <w:t xml:space="preserve"> EDTA buffer with Tween20 or pH 6.0 citrate buffer solutions. </w:t>
      </w:r>
    </w:p>
    <w:p w14:paraId="0B42835D" w14:textId="77777777" w:rsidR="00977C57" w:rsidRPr="002E50A9" w:rsidRDefault="00977C57" w:rsidP="0071244E">
      <w:pPr>
        <w:spacing w:before="120" w:after="120" w:line="480" w:lineRule="auto"/>
        <w:jc w:val="both"/>
        <w:rPr>
          <w:rFonts w:cs="Times New Roman"/>
          <w:b/>
          <w:lang w:eastAsia="en-US"/>
        </w:rPr>
      </w:pPr>
      <w:r w:rsidRPr="002E50A9">
        <w:rPr>
          <w:rFonts w:cs="Times New Roman"/>
          <w:b/>
          <w:lang w:eastAsia="en-US"/>
        </w:rPr>
        <w:t>Immunohistochemistry</w:t>
      </w:r>
    </w:p>
    <w:p w14:paraId="11B64295" w14:textId="0D128F6F" w:rsidR="00977C57" w:rsidRDefault="000F25E6" w:rsidP="00234F4E">
      <w:pPr>
        <w:spacing w:line="480" w:lineRule="auto"/>
        <w:jc w:val="both"/>
        <w:rPr>
          <w:rFonts w:cs="Times New Roman"/>
          <w:lang w:eastAsia="en-US"/>
        </w:rPr>
      </w:pPr>
      <w:r>
        <w:rPr>
          <w:rFonts w:cs="Times New Roman"/>
          <w:lang w:eastAsia="en-US"/>
        </w:rPr>
        <w:t>Immunohistochemistry</w:t>
      </w:r>
      <w:r w:rsidR="00977C57" w:rsidRPr="00807B8F">
        <w:rPr>
          <w:rFonts w:cs="Times New Roman"/>
          <w:lang w:eastAsia="en-US"/>
        </w:rPr>
        <w:t xml:space="preserve"> was performed using the </w:t>
      </w:r>
      <w:proofErr w:type="spellStart"/>
      <w:r w:rsidR="00977C57" w:rsidRPr="00807B8F">
        <w:rPr>
          <w:rFonts w:cs="Times New Roman"/>
          <w:lang w:eastAsia="en-US"/>
        </w:rPr>
        <w:t>ImmPRESS</w:t>
      </w:r>
      <w:proofErr w:type="spellEnd"/>
      <w:r w:rsidR="00977C57" w:rsidRPr="00807B8F">
        <w:rPr>
          <w:rFonts w:cs="Times New Roman"/>
          <w:lang w:eastAsia="en-US"/>
        </w:rPr>
        <w:t xml:space="preserve"> Excel Anti-mouse kits (Vector). These kits employ an enzymatic non-biotin amplification technique: primary antibodies were detected by secondary antibodies conjugated to the </w:t>
      </w:r>
      <w:proofErr w:type="spellStart"/>
      <w:r w:rsidR="00977C57" w:rsidRPr="00807B8F">
        <w:rPr>
          <w:rFonts w:cs="Times New Roman"/>
          <w:lang w:eastAsia="en-US"/>
        </w:rPr>
        <w:t>ImmPRESS</w:t>
      </w:r>
      <w:proofErr w:type="spellEnd"/>
      <w:r w:rsidR="00977C57" w:rsidRPr="00807B8F">
        <w:rPr>
          <w:rFonts w:cs="Times New Roman"/>
          <w:lang w:eastAsia="en-US"/>
        </w:rPr>
        <w:t xml:space="preserve"> Excel </w:t>
      </w:r>
      <w:proofErr w:type="spellStart"/>
      <w:r w:rsidR="00977C57" w:rsidRPr="00807B8F">
        <w:rPr>
          <w:rFonts w:cs="Times New Roman"/>
          <w:lang w:eastAsia="en-US"/>
        </w:rPr>
        <w:t>micropolymer</w:t>
      </w:r>
      <w:proofErr w:type="spellEnd"/>
      <w:r w:rsidR="00977C57" w:rsidRPr="00807B8F">
        <w:rPr>
          <w:rFonts w:cs="Times New Roman"/>
          <w:lang w:eastAsia="en-US"/>
        </w:rPr>
        <w:t xml:space="preserve">. Sections initially underwent endogenous peroxidase blockade in </w:t>
      </w:r>
      <w:proofErr w:type="spellStart"/>
      <w:r w:rsidR="00977C57" w:rsidRPr="00807B8F">
        <w:rPr>
          <w:rFonts w:cs="Times New Roman"/>
          <w:lang w:eastAsia="en-US"/>
        </w:rPr>
        <w:t>Bloxall</w:t>
      </w:r>
      <w:proofErr w:type="spellEnd"/>
      <w:r w:rsidR="00977C57" w:rsidRPr="00807B8F">
        <w:rPr>
          <w:rFonts w:cs="Times New Roman"/>
          <w:lang w:eastAsia="en-US"/>
        </w:rPr>
        <w:t xml:space="preserve"> reagent for 10 minutes followed by blockade of non-specific antigen binding using 2.5% normal horse serum.  Tissue sections were incubated with the mouse anti-human </w:t>
      </w:r>
      <w:r w:rsidR="00E913D2">
        <w:rPr>
          <w:rFonts w:cs="Times New Roman"/>
          <w:lang w:eastAsia="en-US"/>
        </w:rPr>
        <w:t>CD34</w:t>
      </w:r>
      <w:r w:rsidR="00977C57" w:rsidRPr="00807B8F">
        <w:rPr>
          <w:rFonts w:cs="Times New Roman"/>
          <w:lang w:eastAsia="en-US"/>
        </w:rPr>
        <w:t xml:space="preserve"> </w:t>
      </w:r>
      <w:r>
        <w:rPr>
          <w:rFonts w:cs="Times New Roman"/>
          <w:lang w:eastAsia="en-US"/>
        </w:rPr>
        <w:t>(</w:t>
      </w:r>
      <w:proofErr w:type="spellStart"/>
      <w:r w:rsidR="00977C57" w:rsidRPr="00807B8F">
        <w:rPr>
          <w:rFonts w:cs="Times New Roman"/>
          <w:lang w:eastAsia="en-US"/>
        </w:rPr>
        <w:t>Dako</w:t>
      </w:r>
      <w:proofErr w:type="spellEnd"/>
      <w:r w:rsidR="00977C57" w:rsidRPr="00807B8F">
        <w:rPr>
          <w:rFonts w:cs="Times New Roman"/>
          <w:lang w:eastAsia="en-US"/>
        </w:rPr>
        <w:t>, Ely UK)</w:t>
      </w:r>
      <w:r w:rsidR="00A53436">
        <w:rPr>
          <w:rFonts w:cs="Times New Roman"/>
          <w:lang w:eastAsia="en-US"/>
        </w:rPr>
        <w:t xml:space="preserve">, </w:t>
      </w:r>
      <w:r w:rsidR="0061437A" w:rsidRPr="00E04F5D">
        <w:rPr>
          <w:rFonts w:cs="Times New Roman"/>
          <w:lang w:eastAsia="en-US"/>
        </w:rPr>
        <w:t xml:space="preserve">neutrophil </w:t>
      </w:r>
      <w:proofErr w:type="spellStart"/>
      <w:r w:rsidR="0061437A" w:rsidRPr="00E04F5D">
        <w:rPr>
          <w:rFonts w:cs="Times New Roman"/>
          <w:lang w:eastAsia="en-US"/>
        </w:rPr>
        <w:t>elastase</w:t>
      </w:r>
      <w:proofErr w:type="spellEnd"/>
      <w:r w:rsidR="0061437A" w:rsidRPr="00E04F5D">
        <w:rPr>
          <w:rFonts w:cs="Times New Roman"/>
          <w:lang w:eastAsia="en-US"/>
        </w:rPr>
        <w:t xml:space="preserve"> (NE)</w:t>
      </w:r>
      <w:r w:rsidR="00A53436" w:rsidRPr="00E04F5D">
        <w:rPr>
          <w:rFonts w:cs="Times New Roman"/>
          <w:lang w:eastAsia="en-US"/>
        </w:rPr>
        <w:t xml:space="preserve"> or Ki67</w:t>
      </w:r>
      <w:r w:rsidR="0061437A" w:rsidRPr="00E04F5D">
        <w:rPr>
          <w:rFonts w:cs="Times New Roman"/>
          <w:lang w:eastAsia="en-US"/>
        </w:rPr>
        <w:t xml:space="preserve"> </w:t>
      </w:r>
      <w:r w:rsidR="00977C57" w:rsidRPr="00E04F5D">
        <w:rPr>
          <w:rFonts w:cs="Times New Roman"/>
          <w:lang w:eastAsia="en-US"/>
        </w:rPr>
        <w:t xml:space="preserve">primary antibodies for 30 minutes at room temperature. Amplifier antibody was then applied to each section. </w:t>
      </w:r>
      <w:r w:rsidR="00E913D2" w:rsidRPr="00E04F5D">
        <w:rPr>
          <w:rFonts w:cs="Times New Roman"/>
          <w:lang w:eastAsia="en-US"/>
        </w:rPr>
        <w:t>CD34</w:t>
      </w:r>
      <w:r w:rsidR="00A53436" w:rsidRPr="00E04F5D">
        <w:rPr>
          <w:rFonts w:cs="Times New Roman"/>
          <w:lang w:eastAsia="en-US"/>
        </w:rPr>
        <w:t xml:space="preserve">, Ki67 and </w:t>
      </w:r>
      <w:r w:rsidR="0061437A" w:rsidRPr="00E04F5D">
        <w:rPr>
          <w:rFonts w:cs="Times New Roman"/>
          <w:lang w:eastAsia="en-US"/>
        </w:rPr>
        <w:t>NE</w:t>
      </w:r>
      <w:r w:rsidR="00A53436" w:rsidRPr="00E04F5D">
        <w:rPr>
          <w:rFonts w:cs="Times New Roman"/>
          <w:lang w:eastAsia="en-US"/>
        </w:rPr>
        <w:t xml:space="preserve"> labelled cells were</w:t>
      </w:r>
      <w:r w:rsidR="00977C57" w:rsidRPr="00E04F5D">
        <w:rPr>
          <w:rFonts w:cs="Times New Roman"/>
          <w:lang w:eastAsia="en-US"/>
        </w:rPr>
        <w:t xml:space="preserve"> detected using horse anti-mouse secondary antibodies conju</w:t>
      </w:r>
      <w:r w:rsidR="00A71290" w:rsidRPr="00E04F5D">
        <w:rPr>
          <w:rFonts w:cs="Times New Roman"/>
          <w:lang w:eastAsia="en-US"/>
        </w:rPr>
        <w:t xml:space="preserve">gated to </w:t>
      </w:r>
      <w:proofErr w:type="spellStart"/>
      <w:r w:rsidR="00A71290" w:rsidRPr="00E04F5D">
        <w:rPr>
          <w:rFonts w:cs="Times New Roman"/>
          <w:lang w:eastAsia="en-US"/>
        </w:rPr>
        <w:t>ImmPRESS</w:t>
      </w:r>
      <w:proofErr w:type="spellEnd"/>
      <w:r w:rsidR="00A71290" w:rsidRPr="00E04F5D">
        <w:rPr>
          <w:rFonts w:cs="Times New Roman"/>
          <w:lang w:eastAsia="en-US"/>
        </w:rPr>
        <w:t xml:space="preserve"> Excel Reagent and were visualised using 3,3’-diaminobenzidine substrate; counterstained with Gill’s haematoxylin and ‘blued’ using Scott’s tap water substitute. Following counterstaining, sections underwent dehydration in an ascending alcohol series (50%, 75%, 90%, </w:t>
      </w:r>
      <w:r w:rsidR="00A71290" w:rsidRPr="00A71290">
        <w:rPr>
          <w:rFonts w:cs="Times New Roman"/>
          <w:lang w:eastAsia="en-US"/>
        </w:rPr>
        <w:t xml:space="preserve">100% IMS) and clearing in xylene before being mounted with DPX (Sigma). </w:t>
      </w:r>
      <w:r w:rsidR="00A71290" w:rsidRPr="00A71290">
        <w:rPr>
          <w:rFonts w:eastAsia="Times New Roman" w:cs="Times New Roman"/>
          <w:bCs/>
          <w:lang w:val="en-US" w:eastAsia="en-US"/>
        </w:rPr>
        <w:t>Omission of the primary antibody from staining protocol was used a negative control</w:t>
      </w:r>
      <w:r w:rsidR="00A71290">
        <w:rPr>
          <w:rFonts w:eastAsia="Times New Roman" w:cs="Times New Roman"/>
          <w:bCs/>
          <w:lang w:val="en-US" w:eastAsia="en-US"/>
        </w:rPr>
        <w:t>.</w:t>
      </w:r>
    </w:p>
    <w:p w14:paraId="7DA45C55" w14:textId="77777777" w:rsidR="00813F5D" w:rsidRDefault="00813F5D">
      <w:pPr>
        <w:spacing w:after="200" w:line="276" w:lineRule="auto"/>
        <w:rPr>
          <w:rFonts w:cs="Times New Roman"/>
          <w:b/>
          <w:lang w:eastAsia="en-US"/>
        </w:rPr>
      </w:pPr>
      <w:r>
        <w:rPr>
          <w:rFonts w:cs="Times New Roman"/>
          <w:b/>
          <w:lang w:eastAsia="en-US"/>
        </w:rPr>
        <w:br w:type="page"/>
      </w:r>
    </w:p>
    <w:p w14:paraId="25772B55" w14:textId="77777777" w:rsidR="00234F4E" w:rsidRDefault="000B315E" w:rsidP="0071244E">
      <w:pPr>
        <w:spacing w:before="120" w:after="120" w:line="480" w:lineRule="auto"/>
        <w:jc w:val="both"/>
        <w:rPr>
          <w:rFonts w:cs="Times New Roman"/>
          <w:lang w:eastAsia="en-US"/>
        </w:rPr>
      </w:pPr>
      <w:r w:rsidRPr="000B315E">
        <w:rPr>
          <w:rFonts w:cs="Times New Roman"/>
          <w:b/>
          <w:lang w:eastAsia="en-US"/>
        </w:rPr>
        <w:lastRenderedPageBreak/>
        <w:t>Immunofluorescence</w:t>
      </w:r>
    </w:p>
    <w:p w14:paraId="67C6187E" w14:textId="463D52D3" w:rsidR="00234F4E" w:rsidRDefault="000B315E" w:rsidP="0071244E">
      <w:pPr>
        <w:spacing w:before="120" w:after="120" w:line="480" w:lineRule="auto"/>
        <w:jc w:val="both"/>
        <w:rPr>
          <w:rFonts w:cs="Times New Roman"/>
          <w:lang w:eastAsia="en-US"/>
        </w:rPr>
      </w:pPr>
      <w:r w:rsidRPr="00807B8F">
        <w:rPr>
          <w:rFonts w:cs="Times New Roman"/>
          <w:lang w:eastAsia="en-US"/>
        </w:rPr>
        <w:t xml:space="preserve">Specimens underwent pre-treatment (20 minutes at 800Watts) in pH 6.0 (0.01M) </w:t>
      </w:r>
      <w:proofErr w:type="spellStart"/>
      <w:r w:rsidRPr="00807B8F">
        <w:rPr>
          <w:rFonts w:cs="Times New Roman"/>
          <w:lang w:eastAsia="en-US"/>
        </w:rPr>
        <w:t>trisod</w:t>
      </w:r>
      <w:r w:rsidR="000F25E6">
        <w:rPr>
          <w:rFonts w:cs="Times New Roman"/>
          <w:lang w:eastAsia="en-US"/>
        </w:rPr>
        <w:t>ium</w:t>
      </w:r>
      <w:proofErr w:type="spellEnd"/>
      <w:r w:rsidR="000F25E6">
        <w:rPr>
          <w:rFonts w:cs="Times New Roman"/>
          <w:lang w:eastAsia="en-US"/>
        </w:rPr>
        <w:t xml:space="preserve"> citrate buffer</w:t>
      </w:r>
      <w:r w:rsidRPr="00807B8F">
        <w:rPr>
          <w:rFonts w:cs="Times New Roman"/>
          <w:lang w:eastAsia="en-US"/>
        </w:rPr>
        <w:t>. Rabbit anti-human CX</w:t>
      </w:r>
      <w:r w:rsidRPr="00807B8F">
        <w:rPr>
          <w:rFonts w:cs="Times New Roman"/>
          <w:vertAlign w:val="subscript"/>
          <w:lang w:eastAsia="en-US"/>
        </w:rPr>
        <w:t>3</w:t>
      </w:r>
      <w:r w:rsidRPr="00807B8F">
        <w:rPr>
          <w:rFonts w:cs="Times New Roman"/>
          <w:lang w:eastAsia="en-US"/>
        </w:rPr>
        <w:t xml:space="preserve">CR1 (EMD Millipore, West Lothian UK) (diluted 1:800 in 1.5% normal donkey serum) was applied to the sections and left to incubate overnight at 4°C. This was detected using an </w:t>
      </w:r>
      <w:proofErr w:type="spellStart"/>
      <w:r w:rsidRPr="00807B8F">
        <w:rPr>
          <w:rFonts w:cs="Times New Roman"/>
          <w:lang w:eastAsia="en-US"/>
        </w:rPr>
        <w:t>Alexafluor</w:t>
      </w:r>
      <w:proofErr w:type="spellEnd"/>
      <w:r w:rsidRPr="00807B8F">
        <w:rPr>
          <w:rFonts w:cs="Times New Roman"/>
          <w:lang w:eastAsia="en-US"/>
        </w:rPr>
        <w:t xml:space="preserve"> 568 conjugated donkey anti-rabbit secondary antibody (Invitrogen, Paisley UK). Sections were next labelled with CD14/CD16 primary antibodies and detected using </w:t>
      </w:r>
      <w:proofErr w:type="spellStart"/>
      <w:r w:rsidRPr="00807B8F">
        <w:rPr>
          <w:rFonts w:cs="Times New Roman"/>
          <w:lang w:eastAsia="en-US"/>
        </w:rPr>
        <w:t>biotinylated</w:t>
      </w:r>
      <w:proofErr w:type="spellEnd"/>
      <w:r w:rsidRPr="00807B8F">
        <w:rPr>
          <w:rFonts w:cs="Times New Roman"/>
          <w:lang w:eastAsia="en-US"/>
        </w:rPr>
        <w:t xml:space="preserve"> secondary antibodies </w:t>
      </w:r>
      <w:bookmarkStart w:id="0" w:name="_GoBack"/>
      <w:r w:rsidRPr="00C91D80">
        <w:rPr>
          <w:rFonts w:cs="Times New Roman"/>
          <w:lang w:eastAsia="en-US"/>
        </w:rPr>
        <w:t>(see table</w:t>
      </w:r>
      <w:r w:rsidR="001A1C21" w:rsidRPr="00C91D80">
        <w:rPr>
          <w:rFonts w:cs="Times New Roman"/>
          <w:lang w:eastAsia="en-US"/>
        </w:rPr>
        <w:t xml:space="preserve"> 1</w:t>
      </w:r>
      <w:r w:rsidRPr="00C91D80">
        <w:rPr>
          <w:rFonts w:cs="Times New Roman"/>
          <w:lang w:eastAsia="en-US"/>
        </w:rPr>
        <w:t xml:space="preserve">); </w:t>
      </w:r>
      <w:bookmarkEnd w:id="0"/>
      <w:r w:rsidRPr="00807B8F">
        <w:rPr>
          <w:rFonts w:cs="Times New Roman"/>
          <w:lang w:eastAsia="en-US"/>
        </w:rPr>
        <w:t xml:space="preserve">these were rendered fluorescent by application of Streptavidin </w:t>
      </w:r>
      <w:proofErr w:type="spellStart"/>
      <w:r w:rsidRPr="00807B8F">
        <w:rPr>
          <w:rFonts w:cs="Times New Roman"/>
          <w:lang w:eastAsia="en-US"/>
        </w:rPr>
        <w:t>Dylight</w:t>
      </w:r>
      <w:proofErr w:type="spellEnd"/>
      <w:r w:rsidRPr="00807B8F">
        <w:rPr>
          <w:rFonts w:cs="Times New Roman"/>
          <w:lang w:eastAsia="en-US"/>
        </w:rPr>
        <w:t xml:space="preserve"> 488 (Vector, Peterborough UK).</w:t>
      </w:r>
      <w:r w:rsidRPr="00807B8F">
        <w:rPr>
          <w:rFonts w:asciiTheme="minorHAnsi" w:hAnsiTheme="minorHAnsi" w:cs="Times New Roman"/>
          <w:sz w:val="22"/>
          <w:szCs w:val="22"/>
          <w:lang w:eastAsia="en-US"/>
        </w:rPr>
        <w:t xml:space="preserve"> </w:t>
      </w:r>
      <w:r w:rsidRPr="00807B8F">
        <w:rPr>
          <w:rFonts w:cs="Times New Roman"/>
          <w:lang w:eastAsia="en-US"/>
        </w:rPr>
        <w:t xml:space="preserve">A hard-set </w:t>
      </w:r>
      <w:proofErr w:type="spellStart"/>
      <w:r w:rsidRPr="00807B8F">
        <w:rPr>
          <w:rFonts w:cs="Times New Roman"/>
          <w:lang w:eastAsia="en-US"/>
        </w:rPr>
        <w:t>mountant</w:t>
      </w:r>
      <w:proofErr w:type="spellEnd"/>
      <w:r w:rsidRPr="00807B8F">
        <w:rPr>
          <w:rFonts w:cs="Times New Roman"/>
          <w:lang w:eastAsia="en-US"/>
        </w:rPr>
        <w:t xml:space="preserve"> containing the nuclear stain 4’, 6-diamidino-2-phenylindole (</w:t>
      </w:r>
      <w:proofErr w:type="spellStart"/>
      <w:r w:rsidRPr="00807B8F">
        <w:rPr>
          <w:rFonts w:cs="Times New Roman"/>
          <w:lang w:eastAsia="en-US"/>
        </w:rPr>
        <w:t>Vectashield</w:t>
      </w:r>
      <w:proofErr w:type="spellEnd"/>
      <w:r w:rsidRPr="00807B8F">
        <w:rPr>
          <w:rFonts w:cs="Times New Roman"/>
          <w:lang w:eastAsia="en-US"/>
        </w:rPr>
        <w:t xml:space="preserve"> </w:t>
      </w:r>
      <w:proofErr w:type="spellStart"/>
      <w:r w:rsidRPr="00807B8F">
        <w:rPr>
          <w:rFonts w:cs="Times New Roman"/>
          <w:lang w:eastAsia="en-US"/>
        </w:rPr>
        <w:t>Hardset</w:t>
      </w:r>
      <w:proofErr w:type="spellEnd"/>
      <w:r w:rsidRPr="00807B8F">
        <w:rPr>
          <w:rFonts w:cs="Times New Roman"/>
          <w:lang w:eastAsia="en-US"/>
        </w:rPr>
        <w:t xml:space="preserve"> </w:t>
      </w:r>
      <w:proofErr w:type="spellStart"/>
      <w:r w:rsidRPr="00807B8F">
        <w:rPr>
          <w:rFonts w:cs="Times New Roman"/>
          <w:lang w:eastAsia="en-US"/>
        </w:rPr>
        <w:t>mountant</w:t>
      </w:r>
      <w:proofErr w:type="spellEnd"/>
      <w:r w:rsidRPr="00807B8F">
        <w:rPr>
          <w:rFonts w:cs="Times New Roman"/>
          <w:lang w:eastAsia="en-US"/>
        </w:rPr>
        <w:t xml:space="preserve"> with DAPI, Vector) was used to mount the se</w:t>
      </w:r>
      <w:r w:rsidR="0071244E">
        <w:rPr>
          <w:rFonts w:cs="Times New Roman"/>
          <w:lang w:eastAsia="en-US"/>
        </w:rPr>
        <w:t xml:space="preserve">ctions. Omission of </w:t>
      </w:r>
      <w:r w:rsidRPr="00807B8F">
        <w:rPr>
          <w:rFonts w:cs="Times New Roman"/>
          <w:lang w:eastAsia="en-US"/>
        </w:rPr>
        <w:t>pr</w:t>
      </w:r>
      <w:r w:rsidR="0071244E">
        <w:rPr>
          <w:rFonts w:cs="Times New Roman"/>
          <w:lang w:eastAsia="en-US"/>
        </w:rPr>
        <w:t>imary antibodies</w:t>
      </w:r>
      <w:r w:rsidRPr="00807B8F">
        <w:rPr>
          <w:rFonts w:cs="Times New Roman"/>
          <w:lang w:eastAsia="en-US"/>
        </w:rPr>
        <w:t xml:space="preserve"> was carried out on parallel sections enabling generation of control specimens. </w:t>
      </w:r>
    </w:p>
    <w:p w14:paraId="530ED8D3" w14:textId="77777777" w:rsidR="0061437A" w:rsidRPr="00807B8F" w:rsidRDefault="0061437A" w:rsidP="0061437A">
      <w:pPr>
        <w:spacing w:after="200" w:line="480" w:lineRule="auto"/>
        <w:jc w:val="both"/>
        <w:rPr>
          <w:rFonts w:asciiTheme="majorHAnsi" w:eastAsiaTheme="majorEastAsia" w:hAnsiTheme="majorHAnsi" w:cstheme="majorBidi"/>
          <w:b/>
          <w:sz w:val="20"/>
          <w:szCs w:val="20"/>
          <w:lang w:val="en-US"/>
        </w:rPr>
      </w:pPr>
      <w:bookmarkStart w:id="1" w:name="_Toc438748593"/>
      <w:r w:rsidRPr="00807B8F">
        <w:rPr>
          <w:rFonts w:asciiTheme="majorHAnsi" w:eastAsiaTheme="majorEastAsia" w:hAnsiTheme="majorHAnsi" w:cstheme="majorBidi"/>
          <w:b/>
          <w:sz w:val="20"/>
          <w:szCs w:val="20"/>
          <w:lang w:val="en-US"/>
        </w:rPr>
        <w:t>Table 1 Details of primary and secondary antibodies used for IF</w:t>
      </w:r>
      <w:bookmarkEnd w:id="1"/>
    </w:p>
    <w:tbl>
      <w:tblPr>
        <w:tblStyle w:val="TableGrid7"/>
        <w:tblW w:w="0" w:type="auto"/>
        <w:tblLook w:val="04A0" w:firstRow="1" w:lastRow="0" w:firstColumn="1" w:lastColumn="0" w:noHBand="0" w:noVBand="1"/>
      </w:tblPr>
      <w:tblGrid>
        <w:gridCol w:w="2310"/>
        <w:gridCol w:w="2310"/>
        <w:gridCol w:w="2311"/>
        <w:gridCol w:w="2311"/>
      </w:tblGrid>
      <w:tr w:rsidR="0061437A" w:rsidRPr="00807B8F" w14:paraId="2BF2EDE0" w14:textId="77777777" w:rsidTr="00281F5D">
        <w:tc>
          <w:tcPr>
            <w:tcW w:w="2310" w:type="dxa"/>
          </w:tcPr>
          <w:p w14:paraId="7BA0EFBD" w14:textId="77777777" w:rsidR="0061437A" w:rsidRPr="00807B8F" w:rsidRDefault="0061437A" w:rsidP="00281F5D">
            <w:pPr>
              <w:spacing w:line="360" w:lineRule="auto"/>
              <w:jc w:val="both"/>
              <w:rPr>
                <w:rFonts w:cs="Times New Roman"/>
                <w:b/>
                <w:lang w:eastAsia="en-US"/>
              </w:rPr>
            </w:pPr>
            <w:r w:rsidRPr="00807B8F">
              <w:rPr>
                <w:rFonts w:cs="Times New Roman"/>
                <w:b/>
                <w:lang w:eastAsia="en-US"/>
              </w:rPr>
              <w:t>Primary antibody</w:t>
            </w:r>
          </w:p>
        </w:tc>
        <w:tc>
          <w:tcPr>
            <w:tcW w:w="2310" w:type="dxa"/>
          </w:tcPr>
          <w:p w14:paraId="681A24BD" w14:textId="77777777" w:rsidR="0061437A" w:rsidRPr="00807B8F" w:rsidRDefault="0061437A" w:rsidP="00281F5D">
            <w:pPr>
              <w:spacing w:line="360" w:lineRule="auto"/>
              <w:jc w:val="center"/>
              <w:rPr>
                <w:rFonts w:cs="Times New Roman"/>
                <w:b/>
                <w:lang w:eastAsia="en-US"/>
              </w:rPr>
            </w:pPr>
            <w:r w:rsidRPr="00807B8F">
              <w:rPr>
                <w:rFonts w:cs="Times New Roman"/>
                <w:b/>
                <w:lang w:eastAsia="en-US"/>
              </w:rPr>
              <w:t>Dilution factor</w:t>
            </w:r>
          </w:p>
        </w:tc>
        <w:tc>
          <w:tcPr>
            <w:tcW w:w="2311" w:type="dxa"/>
          </w:tcPr>
          <w:p w14:paraId="4E0042E5" w14:textId="77777777" w:rsidR="0061437A" w:rsidRPr="00807B8F" w:rsidRDefault="0061437A" w:rsidP="00281F5D">
            <w:pPr>
              <w:spacing w:line="360" w:lineRule="auto"/>
              <w:jc w:val="center"/>
              <w:rPr>
                <w:rFonts w:cs="Times New Roman"/>
                <w:b/>
                <w:lang w:eastAsia="en-US"/>
              </w:rPr>
            </w:pPr>
            <w:r w:rsidRPr="00807B8F">
              <w:rPr>
                <w:rFonts w:cs="Times New Roman"/>
                <w:b/>
                <w:lang w:eastAsia="en-US"/>
              </w:rPr>
              <w:t>HIER buffer</w:t>
            </w:r>
          </w:p>
        </w:tc>
        <w:tc>
          <w:tcPr>
            <w:tcW w:w="2311" w:type="dxa"/>
          </w:tcPr>
          <w:p w14:paraId="7B133C08" w14:textId="77777777" w:rsidR="0061437A" w:rsidRPr="00807B8F" w:rsidRDefault="0061437A" w:rsidP="00281F5D">
            <w:pPr>
              <w:spacing w:line="360" w:lineRule="auto"/>
              <w:jc w:val="center"/>
              <w:rPr>
                <w:rFonts w:cs="Times New Roman"/>
                <w:b/>
                <w:lang w:eastAsia="en-US"/>
              </w:rPr>
            </w:pPr>
            <w:r w:rsidRPr="00807B8F">
              <w:rPr>
                <w:rFonts w:cs="Times New Roman"/>
                <w:b/>
                <w:lang w:eastAsia="en-US"/>
              </w:rPr>
              <w:t>Secondary antibody</w:t>
            </w:r>
          </w:p>
        </w:tc>
      </w:tr>
      <w:tr w:rsidR="0061437A" w:rsidRPr="00807B8F" w14:paraId="7322515C" w14:textId="77777777" w:rsidTr="00281F5D">
        <w:tc>
          <w:tcPr>
            <w:tcW w:w="2310" w:type="dxa"/>
          </w:tcPr>
          <w:p w14:paraId="219C84AA" w14:textId="77777777" w:rsidR="0061437A" w:rsidRPr="00807B8F" w:rsidRDefault="0061437A" w:rsidP="00281F5D">
            <w:pPr>
              <w:spacing w:line="360" w:lineRule="auto"/>
              <w:jc w:val="both"/>
              <w:rPr>
                <w:rFonts w:cs="Times New Roman"/>
                <w:lang w:eastAsia="en-US"/>
              </w:rPr>
            </w:pPr>
            <w:r w:rsidRPr="00807B8F">
              <w:rPr>
                <w:rFonts w:cs="Times New Roman"/>
                <w:lang w:eastAsia="en-US"/>
              </w:rPr>
              <w:t>CD14</w:t>
            </w:r>
          </w:p>
          <w:p w14:paraId="0C9A42E1" w14:textId="77777777" w:rsidR="0061437A" w:rsidRPr="00807B8F" w:rsidRDefault="0061437A" w:rsidP="00281F5D">
            <w:pPr>
              <w:spacing w:line="360" w:lineRule="auto"/>
              <w:jc w:val="both"/>
              <w:rPr>
                <w:rFonts w:cs="Times New Roman"/>
                <w:lang w:eastAsia="en-US"/>
              </w:rPr>
            </w:pPr>
            <w:r w:rsidRPr="00807B8F">
              <w:rPr>
                <w:rFonts w:cs="Times New Roman"/>
                <w:lang w:eastAsia="en-US"/>
              </w:rPr>
              <w:t>(Goat anti-human)</w:t>
            </w:r>
          </w:p>
        </w:tc>
        <w:tc>
          <w:tcPr>
            <w:tcW w:w="2310" w:type="dxa"/>
          </w:tcPr>
          <w:p w14:paraId="15047268" w14:textId="77777777" w:rsidR="0061437A" w:rsidRPr="00807B8F" w:rsidRDefault="0061437A" w:rsidP="00281F5D">
            <w:pPr>
              <w:spacing w:line="360" w:lineRule="auto"/>
              <w:jc w:val="center"/>
              <w:rPr>
                <w:rFonts w:cs="Times New Roman"/>
                <w:lang w:eastAsia="en-US"/>
              </w:rPr>
            </w:pPr>
            <w:r w:rsidRPr="00807B8F">
              <w:rPr>
                <w:rFonts w:cs="Times New Roman"/>
                <w:lang w:eastAsia="en-US"/>
              </w:rPr>
              <w:t>1:100</w:t>
            </w:r>
          </w:p>
        </w:tc>
        <w:tc>
          <w:tcPr>
            <w:tcW w:w="2311" w:type="dxa"/>
          </w:tcPr>
          <w:p w14:paraId="66A5A9E4" w14:textId="77777777" w:rsidR="0061437A" w:rsidRPr="00807B8F" w:rsidRDefault="0061437A" w:rsidP="00281F5D">
            <w:pPr>
              <w:spacing w:line="360" w:lineRule="auto"/>
              <w:jc w:val="center"/>
              <w:rPr>
                <w:rFonts w:cs="Times New Roman"/>
                <w:lang w:eastAsia="en-US"/>
              </w:rPr>
            </w:pPr>
            <w:proofErr w:type="spellStart"/>
            <w:r w:rsidRPr="00807B8F">
              <w:rPr>
                <w:rFonts w:cs="Times New Roman"/>
                <w:lang w:eastAsia="en-US"/>
              </w:rPr>
              <w:t>Trisodium</w:t>
            </w:r>
            <w:proofErr w:type="spellEnd"/>
            <w:r w:rsidRPr="00807B8F">
              <w:rPr>
                <w:rFonts w:cs="Times New Roman"/>
                <w:lang w:eastAsia="en-US"/>
              </w:rPr>
              <w:t xml:space="preserve"> citrate pH 6.0</w:t>
            </w:r>
          </w:p>
        </w:tc>
        <w:tc>
          <w:tcPr>
            <w:tcW w:w="2311" w:type="dxa"/>
          </w:tcPr>
          <w:p w14:paraId="7C736CD0" w14:textId="77777777" w:rsidR="0061437A" w:rsidRPr="00807B8F" w:rsidRDefault="0061437A" w:rsidP="00281F5D">
            <w:pPr>
              <w:spacing w:line="360" w:lineRule="auto"/>
              <w:jc w:val="center"/>
              <w:rPr>
                <w:rFonts w:cs="Times New Roman"/>
                <w:lang w:eastAsia="en-US"/>
              </w:rPr>
            </w:pPr>
            <w:proofErr w:type="spellStart"/>
            <w:r w:rsidRPr="00807B8F">
              <w:rPr>
                <w:rFonts w:cs="Times New Roman"/>
                <w:lang w:eastAsia="en-US"/>
              </w:rPr>
              <w:t>Biotinylated</w:t>
            </w:r>
            <w:proofErr w:type="spellEnd"/>
            <w:r w:rsidRPr="00807B8F">
              <w:rPr>
                <w:rFonts w:cs="Times New Roman"/>
                <w:lang w:eastAsia="en-US"/>
              </w:rPr>
              <w:t xml:space="preserve"> rabbit anti-goat IgG</w:t>
            </w:r>
          </w:p>
        </w:tc>
      </w:tr>
      <w:tr w:rsidR="0061437A" w:rsidRPr="00807B8F" w14:paraId="3CB6D393" w14:textId="77777777" w:rsidTr="00281F5D">
        <w:tc>
          <w:tcPr>
            <w:tcW w:w="2310" w:type="dxa"/>
          </w:tcPr>
          <w:p w14:paraId="0698228C" w14:textId="77777777" w:rsidR="0061437A" w:rsidRPr="00807B8F" w:rsidRDefault="0061437A" w:rsidP="00281F5D">
            <w:pPr>
              <w:spacing w:line="360" w:lineRule="auto"/>
              <w:jc w:val="both"/>
              <w:rPr>
                <w:rFonts w:cs="Times New Roman"/>
                <w:lang w:eastAsia="en-US"/>
              </w:rPr>
            </w:pPr>
            <w:r w:rsidRPr="00807B8F">
              <w:rPr>
                <w:rFonts w:cs="Times New Roman"/>
                <w:lang w:eastAsia="en-US"/>
              </w:rPr>
              <w:t>CD16</w:t>
            </w:r>
          </w:p>
          <w:p w14:paraId="15720C89" w14:textId="77777777" w:rsidR="0061437A" w:rsidRPr="00807B8F" w:rsidRDefault="0061437A" w:rsidP="00281F5D">
            <w:pPr>
              <w:spacing w:line="360" w:lineRule="auto"/>
              <w:jc w:val="both"/>
              <w:rPr>
                <w:rFonts w:cs="Times New Roman"/>
                <w:lang w:eastAsia="en-US"/>
              </w:rPr>
            </w:pPr>
            <w:r w:rsidRPr="00807B8F">
              <w:rPr>
                <w:rFonts w:cs="Times New Roman"/>
                <w:lang w:eastAsia="en-US"/>
              </w:rPr>
              <w:t>(Mouse anti-human)</w:t>
            </w:r>
          </w:p>
        </w:tc>
        <w:tc>
          <w:tcPr>
            <w:tcW w:w="2310" w:type="dxa"/>
          </w:tcPr>
          <w:p w14:paraId="535795AC" w14:textId="77777777" w:rsidR="0061437A" w:rsidRPr="00807B8F" w:rsidRDefault="0061437A" w:rsidP="00281F5D">
            <w:pPr>
              <w:spacing w:line="360" w:lineRule="auto"/>
              <w:jc w:val="center"/>
              <w:rPr>
                <w:rFonts w:cs="Times New Roman"/>
                <w:lang w:eastAsia="en-US"/>
              </w:rPr>
            </w:pPr>
            <w:r w:rsidRPr="00807B8F">
              <w:rPr>
                <w:rFonts w:cs="Times New Roman"/>
                <w:lang w:eastAsia="en-US"/>
              </w:rPr>
              <w:t>1:50</w:t>
            </w:r>
          </w:p>
        </w:tc>
        <w:tc>
          <w:tcPr>
            <w:tcW w:w="2311" w:type="dxa"/>
          </w:tcPr>
          <w:p w14:paraId="6215C046" w14:textId="77777777" w:rsidR="0061437A" w:rsidRPr="00807B8F" w:rsidRDefault="0061437A" w:rsidP="00281F5D">
            <w:pPr>
              <w:spacing w:line="360" w:lineRule="auto"/>
              <w:jc w:val="center"/>
              <w:rPr>
                <w:rFonts w:cs="Times New Roman"/>
                <w:lang w:eastAsia="en-US"/>
              </w:rPr>
            </w:pPr>
            <w:proofErr w:type="spellStart"/>
            <w:r w:rsidRPr="00807B8F">
              <w:rPr>
                <w:rFonts w:cs="Times New Roman"/>
                <w:lang w:eastAsia="en-US"/>
              </w:rPr>
              <w:t>Trisodium</w:t>
            </w:r>
            <w:proofErr w:type="spellEnd"/>
            <w:r w:rsidRPr="00807B8F">
              <w:rPr>
                <w:rFonts w:cs="Times New Roman"/>
                <w:lang w:eastAsia="en-US"/>
              </w:rPr>
              <w:t xml:space="preserve"> citrate pH 6.0</w:t>
            </w:r>
          </w:p>
        </w:tc>
        <w:tc>
          <w:tcPr>
            <w:tcW w:w="2311" w:type="dxa"/>
          </w:tcPr>
          <w:p w14:paraId="777E20A2" w14:textId="77777777" w:rsidR="0061437A" w:rsidRPr="00807B8F" w:rsidRDefault="0061437A" w:rsidP="00281F5D">
            <w:pPr>
              <w:spacing w:line="360" w:lineRule="auto"/>
              <w:jc w:val="center"/>
              <w:rPr>
                <w:rFonts w:cs="Times New Roman"/>
                <w:lang w:eastAsia="en-US"/>
              </w:rPr>
            </w:pPr>
            <w:proofErr w:type="spellStart"/>
            <w:r w:rsidRPr="00807B8F">
              <w:rPr>
                <w:rFonts w:cs="Times New Roman"/>
                <w:lang w:eastAsia="en-US"/>
              </w:rPr>
              <w:t>Biotinylated</w:t>
            </w:r>
            <w:proofErr w:type="spellEnd"/>
            <w:r w:rsidRPr="00807B8F">
              <w:rPr>
                <w:rFonts w:cs="Times New Roman"/>
                <w:lang w:eastAsia="en-US"/>
              </w:rPr>
              <w:t xml:space="preserve"> horse anti-mouse IgG</w:t>
            </w:r>
          </w:p>
        </w:tc>
      </w:tr>
      <w:tr w:rsidR="0061437A" w:rsidRPr="00807B8F" w14:paraId="2F04135D" w14:textId="77777777" w:rsidTr="00281F5D">
        <w:tc>
          <w:tcPr>
            <w:tcW w:w="2310" w:type="dxa"/>
          </w:tcPr>
          <w:p w14:paraId="4CDF7775" w14:textId="77777777" w:rsidR="0061437A" w:rsidRPr="00807B8F" w:rsidRDefault="0061437A" w:rsidP="00281F5D">
            <w:pPr>
              <w:spacing w:line="360" w:lineRule="auto"/>
              <w:jc w:val="both"/>
              <w:rPr>
                <w:rFonts w:cs="Times New Roman"/>
                <w:lang w:eastAsia="en-US"/>
              </w:rPr>
            </w:pPr>
            <w:r w:rsidRPr="00807B8F">
              <w:rPr>
                <w:rFonts w:cs="Times New Roman"/>
                <w:lang w:eastAsia="en-US"/>
              </w:rPr>
              <w:t>CX</w:t>
            </w:r>
            <w:r w:rsidRPr="00807B8F">
              <w:rPr>
                <w:rFonts w:cs="Times New Roman"/>
                <w:vertAlign w:val="subscript"/>
                <w:lang w:eastAsia="en-US"/>
              </w:rPr>
              <w:t>3</w:t>
            </w:r>
            <w:r w:rsidRPr="00807B8F">
              <w:rPr>
                <w:rFonts w:cs="Times New Roman"/>
                <w:lang w:eastAsia="en-US"/>
              </w:rPr>
              <w:t>CR1</w:t>
            </w:r>
          </w:p>
          <w:p w14:paraId="33F6A12A" w14:textId="77777777" w:rsidR="0061437A" w:rsidRPr="00807B8F" w:rsidRDefault="0061437A" w:rsidP="00281F5D">
            <w:pPr>
              <w:spacing w:line="360" w:lineRule="auto"/>
              <w:jc w:val="both"/>
              <w:rPr>
                <w:rFonts w:cs="Times New Roman"/>
                <w:lang w:eastAsia="en-US"/>
              </w:rPr>
            </w:pPr>
            <w:r w:rsidRPr="00807B8F">
              <w:rPr>
                <w:rFonts w:cs="Times New Roman"/>
                <w:lang w:eastAsia="en-US"/>
              </w:rPr>
              <w:t>(Rabbit anti-human)</w:t>
            </w:r>
          </w:p>
        </w:tc>
        <w:tc>
          <w:tcPr>
            <w:tcW w:w="2310" w:type="dxa"/>
          </w:tcPr>
          <w:p w14:paraId="1791A40C" w14:textId="77777777" w:rsidR="0061437A" w:rsidRPr="00807B8F" w:rsidRDefault="0061437A" w:rsidP="00281F5D">
            <w:pPr>
              <w:spacing w:line="360" w:lineRule="auto"/>
              <w:jc w:val="center"/>
              <w:rPr>
                <w:rFonts w:cs="Times New Roman"/>
                <w:lang w:eastAsia="en-US"/>
              </w:rPr>
            </w:pPr>
            <w:r w:rsidRPr="00807B8F">
              <w:rPr>
                <w:rFonts w:cs="Times New Roman"/>
                <w:lang w:eastAsia="en-US"/>
              </w:rPr>
              <w:t>1:800</w:t>
            </w:r>
          </w:p>
        </w:tc>
        <w:tc>
          <w:tcPr>
            <w:tcW w:w="2311" w:type="dxa"/>
          </w:tcPr>
          <w:p w14:paraId="494F2764" w14:textId="77777777" w:rsidR="0061437A" w:rsidRPr="00807B8F" w:rsidRDefault="0061437A" w:rsidP="00281F5D">
            <w:pPr>
              <w:spacing w:line="360" w:lineRule="auto"/>
              <w:jc w:val="center"/>
              <w:rPr>
                <w:rFonts w:cs="Times New Roman"/>
                <w:lang w:eastAsia="en-US"/>
              </w:rPr>
            </w:pPr>
            <w:proofErr w:type="spellStart"/>
            <w:r w:rsidRPr="00807B8F">
              <w:rPr>
                <w:rFonts w:cs="Times New Roman"/>
                <w:lang w:eastAsia="en-US"/>
              </w:rPr>
              <w:t>Trisodium</w:t>
            </w:r>
            <w:proofErr w:type="spellEnd"/>
            <w:r w:rsidRPr="00807B8F">
              <w:rPr>
                <w:rFonts w:cs="Times New Roman"/>
                <w:lang w:eastAsia="en-US"/>
              </w:rPr>
              <w:t xml:space="preserve"> citrate pH 6.0</w:t>
            </w:r>
          </w:p>
        </w:tc>
        <w:tc>
          <w:tcPr>
            <w:tcW w:w="2311" w:type="dxa"/>
          </w:tcPr>
          <w:p w14:paraId="7CA708A8" w14:textId="77777777" w:rsidR="0061437A" w:rsidRPr="00807B8F" w:rsidRDefault="0061437A" w:rsidP="00281F5D">
            <w:pPr>
              <w:spacing w:line="360" w:lineRule="auto"/>
              <w:jc w:val="center"/>
              <w:rPr>
                <w:rFonts w:cs="Times New Roman"/>
                <w:lang w:eastAsia="en-US"/>
              </w:rPr>
            </w:pPr>
            <w:r w:rsidRPr="00807B8F">
              <w:rPr>
                <w:rFonts w:cs="Times New Roman"/>
                <w:lang w:eastAsia="en-US"/>
              </w:rPr>
              <w:t>Donkey anti-rabbit Alexa Fluor 568</w:t>
            </w:r>
          </w:p>
        </w:tc>
      </w:tr>
    </w:tbl>
    <w:p w14:paraId="4A6793DA" w14:textId="77777777" w:rsidR="0061437A" w:rsidRDefault="0061437A" w:rsidP="0061437A">
      <w:pPr>
        <w:spacing w:after="200" w:line="480" w:lineRule="auto"/>
        <w:jc w:val="both"/>
        <w:rPr>
          <w:rFonts w:cs="Times New Roman"/>
          <w:lang w:eastAsia="en-US"/>
        </w:rPr>
      </w:pPr>
      <w:r w:rsidRPr="00807B8F">
        <w:rPr>
          <w:rFonts w:cs="Times New Roman"/>
          <w:b/>
          <w:lang w:eastAsia="en-US"/>
        </w:rPr>
        <w:t>Table 1</w:t>
      </w:r>
      <w:r w:rsidRPr="00807B8F">
        <w:rPr>
          <w:rFonts w:cs="Times New Roman"/>
          <w:lang w:eastAsia="en-US"/>
        </w:rPr>
        <w:t xml:space="preserve"> This table shows primary antibodies, HIER buffer solutions and secondary antibodies. Secondary antibodies were diluted 1:200 with TBS (</w:t>
      </w:r>
      <w:proofErr w:type="spellStart"/>
      <w:r w:rsidRPr="00807B8F">
        <w:rPr>
          <w:rFonts w:cs="Times New Roman"/>
          <w:lang w:eastAsia="en-US"/>
        </w:rPr>
        <w:t>Tris</w:t>
      </w:r>
      <w:proofErr w:type="spellEnd"/>
      <w:r w:rsidRPr="00807B8F">
        <w:rPr>
          <w:rFonts w:cs="Times New Roman"/>
          <w:lang w:eastAsia="en-US"/>
        </w:rPr>
        <w:t xml:space="preserve">-buffered saline) prior to application to the section. </w:t>
      </w:r>
    </w:p>
    <w:p w14:paraId="3BBCBF97" w14:textId="77777777" w:rsidR="0061437A" w:rsidRDefault="0061437A" w:rsidP="0071244E">
      <w:pPr>
        <w:spacing w:before="120" w:after="120" w:line="480" w:lineRule="auto"/>
        <w:jc w:val="both"/>
        <w:rPr>
          <w:rFonts w:cs="Times New Roman"/>
          <w:lang w:eastAsia="en-US"/>
        </w:rPr>
      </w:pPr>
    </w:p>
    <w:p w14:paraId="4C65847C" w14:textId="77777777" w:rsidR="0061437A" w:rsidRDefault="0061437A">
      <w:pPr>
        <w:spacing w:after="200" w:line="276" w:lineRule="auto"/>
        <w:rPr>
          <w:rFonts w:cs="Times New Roman"/>
          <w:b/>
          <w:lang w:eastAsia="en-US"/>
        </w:rPr>
      </w:pPr>
      <w:r>
        <w:rPr>
          <w:rFonts w:cs="Times New Roman"/>
          <w:b/>
          <w:lang w:eastAsia="en-US"/>
        </w:rPr>
        <w:br w:type="page"/>
      </w:r>
    </w:p>
    <w:p w14:paraId="35A697F4" w14:textId="029FED76" w:rsidR="00C62AC6" w:rsidRPr="00C62AC6" w:rsidRDefault="007A7DB2" w:rsidP="00A71290">
      <w:pPr>
        <w:spacing w:after="200" w:line="480" w:lineRule="auto"/>
        <w:jc w:val="both"/>
        <w:rPr>
          <w:rFonts w:cs="Times New Roman"/>
          <w:b/>
          <w:lang w:eastAsia="en-US"/>
        </w:rPr>
      </w:pPr>
      <w:r>
        <w:rPr>
          <w:rFonts w:cs="Times New Roman"/>
          <w:b/>
          <w:lang w:eastAsia="en-US"/>
        </w:rPr>
        <w:lastRenderedPageBreak/>
        <w:t xml:space="preserve">Imaging: </w:t>
      </w:r>
      <w:r w:rsidR="00C62AC6" w:rsidRPr="00C62AC6">
        <w:rPr>
          <w:rFonts w:cs="Times New Roman"/>
          <w:b/>
          <w:lang w:eastAsia="en-US"/>
        </w:rPr>
        <w:t>Immunohistochemistry and Immun</w:t>
      </w:r>
      <w:r w:rsidR="00BD5ADF">
        <w:rPr>
          <w:rFonts w:cs="Times New Roman"/>
          <w:b/>
          <w:lang w:eastAsia="en-US"/>
        </w:rPr>
        <w:t>o</w:t>
      </w:r>
      <w:r>
        <w:rPr>
          <w:rFonts w:cs="Times New Roman"/>
          <w:b/>
          <w:lang w:eastAsia="en-US"/>
        </w:rPr>
        <w:t>fluorescence</w:t>
      </w:r>
    </w:p>
    <w:p w14:paraId="532040FC" w14:textId="77777777" w:rsidR="00C62AC6" w:rsidRDefault="00A71290" w:rsidP="00C62AC6">
      <w:pPr>
        <w:spacing w:after="200" w:line="480" w:lineRule="auto"/>
        <w:jc w:val="both"/>
        <w:rPr>
          <w:rFonts w:cs="Times New Roman"/>
          <w:b/>
          <w:lang w:eastAsia="en-US"/>
        </w:rPr>
      </w:pPr>
      <w:r w:rsidRPr="00C62AC6">
        <w:rPr>
          <w:rFonts w:cs="Times New Roman"/>
          <w:lang w:eastAsia="en-US"/>
        </w:rPr>
        <w:t xml:space="preserve">Digital micrographs were obtained using a Nikon Eclipse 80i microscope (Nikon UK Ltd, Surrey UK) equipped with a QI imaging digital camera and Image Pro </w:t>
      </w:r>
      <w:proofErr w:type="gramStart"/>
      <w:r w:rsidRPr="00C62AC6">
        <w:rPr>
          <w:rFonts w:cs="Times New Roman"/>
          <w:lang w:eastAsia="en-US"/>
        </w:rPr>
        <w:t>Plus</w:t>
      </w:r>
      <w:proofErr w:type="gramEnd"/>
      <w:r w:rsidRPr="00C62AC6">
        <w:rPr>
          <w:rFonts w:cs="Times New Roman"/>
          <w:lang w:eastAsia="en-US"/>
        </w:rPr>
        <w:t xml:space="preserve"> 5.1 software (Media Cybernetics, Marlow UK). To obtain dual labelled images, fluorescent images from the same field were captured and digitally merged to determine CX</w:t>
      </w:r>
      <w:r w:rsidRPr="00C62AC6">
        <w:rPr>
          <w:rFonts w:cs="Times New Roman"/>
          <w:vertAlign w:val="subscript"/>
          <w:lang w:eastAsia="en-US"/>
        </w:rPr>
        <w:t>3</w:t>
      </w:r>
      <w:r w:rsidRPr="00C62AC6">
        <w:rPr>
          <w:rFonts w:cs="Times New Roman"/>
          <w:lang w:eastAsia="en-US"/>
        </w:rPr>
        <w:t>CR1</w:t>
      </w:r>
      <w:r w:rsidRPr="00C62AC6">
        <w:rPr>
          <w:rFonts w:cs="Times New Roman"/>
          <w:vertAlign w:val="superscript"/>
          <w:lang w:eastAsia="en-US"/>
        </w:rPr>
        <w:t>+</w:t>
      </w:r>
      <w:r w:rsidRPr="00C62AC6">
        <w:rPr>
          <w:rFonts w:cs="Times New Roman"/>
          <w:lang w:eastAsia="en-US"/>
        </w:rPr>
        <w:t>CD14</w:t>
      </w:r>
      <w:r w:rsidRPr="00C62AC6">
        <w:rPr>
          <w:rFonts w:cs="Times New Roman"/>
          <w:vertAlign w:val="superscript"/>
          <w:lang w:eastAsia="en-US"/>
        </w:rPr>
        <w:t>+</w:t>
      </w:r>
      <w:r w:rsidRPr="00C62AC6">
        <w:rPr>
          <w:rFonts w:cs="Times New Roman"/>
          <w:lang w:eastAsia="en-US"/>
        </w:rPr>
        <w:t xml:space="preserve"> and CX</w:t>
      </w:r>
      <w:r w:rsidRPr="00C62AC6">
        <w:rPr>
          <w:rFonts w:cs="Times New Roman"/>
          <w:vertAlign w:val="subscript"/>
          <w:lang w:eastAsia="en-US"/>
        </w:rPr>
        <w:t>3</w:t>
      </w:r>
      <w:r w:rsidRPr="00C62AC6">
        <w:rPr>
          <w:rFonts w:cs="Times New Roman"/>
          <w:lang w:eastAsia="en-US"/>
        </w:rPr>
        <w:t>CR1</w:t>
      </w:r>
      <w:r w:rsidRPr="00C62AC6">
        <w:rPr>
          <w:rFonts w:cs="Times New Roman"/>
          <w:vertAlign w:val="superscript"/>
          <w:lang w:eastAsia="en-US"/>
        </w:rPr>
        <w:t>+</w:t>
      </w:r>
      <w:r w:rsidRPr="00C62AC6">
        <w:rPr>
          <w:rFonts w:cs="Times New Roman"/>
          <w:lang w:eastAsia="en-US"/>
        </w:rPr>
        <w:t>CD16</w:t>
      </w:r>
      <w:r w:rsidRPr="00C62AC6">
        <w:rPr>
          <w:rFonts w:cs="Times New Roman"/>
          <w:vertAlign w:val="superscript"/>
          <w:lang w:eastAsia="en-US"/>
        </w:rPr>
        <w:t>+</w:t>
      </w:r>
      <w:r w:rsidRPr="00C62AC6">
        <w:rPr>
          <w:rFonts w:cs="Times New Roman"/>
          <w:lang w:eastAsia="en-US"/>
        </w:rPr>
        <w:t xml:space="preserve"> cells respectively.</w:t>
      </w:r>
    </w:p>
    <w:p w14:paraId="1769D91E" w14:textId="77777777" w:rsidR="00234F4E" w:rsidRPr="00C62AC6" w:rsidRDefault="00141F09" w:rsidP="00C62AC6">
      <w:pPr>
        <w:spacing w:after="200" w:line="480" w:lineRule="auto"/>
        <w:jc w:val="both"/>
        <w:rPr>
          <w:rFonts w:cs="Times New Roman"/>
          <w:b/>
          <w:lang w:eastAsia="en-US"/>
        </w:rPr>
      </w:pPr>
      <w:r w:rsidRPr="00807B8F">
        <w:rPr>
          <w:rFonts w:cs="Times New Roman"/>
          <w:b/>
          <w:lang w:eastAsia="en-US"/>
        </w:rPr>
        <w:t>Image analysis</w:t>
      </w:r>
      <w:r w:rsidR="00234F4E">
        <w:rPr>
          <w:rFonts w:cs="Times New Roman"/>
          <w:b/>
          <w:lang w:eastAsia="en-US"/>
        </w:rPr>
        <w:t>-</w:t>
      </w:r>
      <w:bookmarkStart w:id="2" w:name="_Toc438749061"/>
    </w:p>
    <w:p w14:paraId="52BB1802" w14:textId="77777777" w:rsidR="00141F09" w:rsidRPr="00234F4E" w:rsidRDefault="00141F09" w:rsidP="00234F4E">
      <w:pPr>
        <w:spacing w:line="480" w:lineRule="auto"/>
        <w:jc w:val="both"/>
        <w:rPr>
          <w:rFonts w:cs="Times New Roman"/>
          <w:lang w:eastAsia="en-US"/>
        </w:rPr>
      </w:pPr>
      <w:r w:rsidRPr="002E50A9">
        <w:rPr>
          <w:rFonts w:eastAsiaTheme="majorEastAsia" w:cs="Times New Roman"/>
          <w:b/>
          <w:iCs/>
          <w:lang w:eastAsia="en-US"/>
        </w:rPr>
        <w:t>Immunofluorescence</w:t>
      </w:r>
      <w:bookmarkEnd w:id="2"/>
      <w:r w:rsidRPr="002E50A9">
        <w:rPr>
          <w:rFonts w:eastAsiaTheme="majorEastAsia" w:cs="Times New Roman"/>
          <w:b/>
          <w:iCs/>
          <w:lang w:eastAsia="en-US"/>
        </w:rPr>
        <w:t xml:space="preserve"> </w:t>
      </w:r>
    </w:p>
    <w:p w14:paraId="6E94E2D5" w14:textId="7ACD2B6A" w:rsidR="00141F09" w:rsidRPr="00E04F5D" w:rsidRDefault="00141F09" w:rsidP="0071244E">
      <w:pPr>
        <w:spacing w:after="200" w:line="480" w:lineRule="auto"/>
        <w:jc w:val="both"/>
        <w:rPr>
          <w:rFonts w:cs="Times New Roman"/>
          <w:lang w:eastAsia="en-US"/>
        </w:rPr>
      </w:pPr>
      <w:r w:rsidRPr="00807B8F">
        <w:rPr>
          <w:rFonts w:cs="Times New Roman"/>
          <w:lang w:eastAsia="en-US"/>
        </w:rPr>
        <w:t xml:space="preserve">Serial sections from each patient underwent dual labelled </w:t>
      </w:r>
      <w:proofErr w:type="spellStart"/>
      <w:r w:rsidRPr="00807B8F">
        <w:rPr>
          <w:rFonts w:cs="Times New Roman"/>
          <w:lang w:eastAsia="en-US"/>
        </w:rPr>
        <w:t>immunofluorescent</w:t>
      </w:r>
      <w:proofErr w:type="spellEnd"/>
      <w:r w:rsidRPr="00807B8F">
        <w:rPr>
          <w:rFonts w:cs="Times New Roman"/>
          <w:lang w:eastAsia="en-US"/>
        </w:rPr>
        <w:t xml:space="preserve"> staining for identification of CX</w:t>
      </w:r>
      <w:r w:rsidRPr="00807B8F">
        <w:rPr>
          <w:rFonts w:cs="Times New Roman"/>
          <w:vertAlign w:val="subscript"/>
          <w:lang w:eastAsia="en-US"/>
        </w:rPr>
        <w:t>3</w:t>
      </w:r>
      <w:r w:rsidRPr="00807B8F">
        <w:rPr>
          <w:rFonts w:cs="Times New Roman"/>
          <w:lang w:eastAsia="en-US"/>
        </w:rPr>
        <w:t>CR1</w:t>
      </w:r>
      <w:r w:rsidRPr="00807B8F">
        <w:rPr>
          <w:rFonts w:cs="Times New Roman"/>
          <w:vertAlign w:val="superscript"/>
          <w:lang w:eastAsia="en-US"/>
        </w:rPr>
        <w:t>+</w:t>
      </w:r>
      <w:r w:rsidRPr="00807B8F">
        <w:rPr>
          <w:rFonts w:cs="Times New Roman"/>
          <w:lang w:eastAsia="en-US"/>
        </w:rPr>
        <w:t>CD14</w:t>
      </w:r>
      <w:r w:rsidRPr="00807B8F">
        <w:rPr>
          <w:rFonts w:cs="Times New Roman"/>
          <w:vertAlign w:val="superscript"/>
          <w:lang w:eastAsia="en-US"/>
        </w:rPr>
        <w:t>+</w:t>
      </w:r>
      <w:r w:rsidRPr="00807B8F">
        <w:rPr>
          <w:rFonts w:cs="Times New Roman"/>
          <w:lang w:eastAsia="en-US"/>
        </w:rPr>
        <w:t xml:space="preserve"> and CX</w:t>
      </w:r>
      <w:r w:rsidRPr="00807B8F">
        <w:rPr>
          <w:rFonts w:cs="Times New Roman"/>
          <w:vertAlign w:val="subscript"/>
          <w:lang w:eastAsia="en-US"/>
        </w:rPr>
        <w:t>3</w:t>
      </w:r>
      <w:r w:rsidRPr="00807B8F">
        <w:rPr>
          <w:rFonts w:cs="Times New Roman"/>
          <w:lang w:eastAsia="en-US"/>
        </w:rPr>
        <w:t>CR1</w:t>
      </w:r>
      <w:r w:rsidRPr="00807B8F">
        <w:rPr>
          <w:rFonts w:cs="Times New Roman"/>
          <w:vertAlign w:val="superscript"/>
          <w:lang w:eastAsia="en-US"/>
        </w:rPr>
        <w:t>+</w:t>
      </w:r>
      <w:r w:rsidRPr="00807B8F">
        <w:rPr>
          <w:rFonts w:cs="Times New Roman"/>
          <w:lang w:eastAsia="en-US"/>
        </w:rPr>
        <w:t>CD16</w:t>
      </w:r>
      <w:r w:rsidRPr="00807B8F">
        <w:rPr>
          <w:rFonts w:cs="Times New Roman"/>
          <w:vertAlign w:val="superscript"/>
          <w:lang w:eastAsia="en-US"/>
        </w:rPr>
        <w:t xml:space="preserve">+ </w:t>
      </w:r>
      <w:r w:rsidRPr="00807B8F">
        <w:rPr>
          <w:rFonts w:cs="Times New Roman"/>
          <w:lang w:eastAsia="en-US"/>
        </w:rPr>
        <w:t>cells</w:t>
      </w:r>
      <w:r w:rsidR="000C62F8">
        <w:rPr>
          <w:rFonts w:cs="Times New Roman"/>
          <w:lang w:eastAsia="en-US"/>
        </w:rPr>
        <w:t>; CX3CR1 is a surface marker expressed by cells of a monocytic lineage</w:t>
      </w:r>
      <w:r w:rsidR="00811C4A">
        <w:rPr>
          <w:rFonts w:cs="Times New Roman"/>
          <w:lang w:eastAsia="en-US"/>
        </w:rPr>
        <w:t xml:space="preserve"> </w:t>
      </w:r>
      <w:r w:rsidR="00811C4A">
        <w:rPr>
          <w:rFonts w:cs="Times New Roman"/>
          <w:lang w:eastAsia="en-US"/>
        </w:rPr>
        <w:fldChar w:fldCharType="begin"/>
      </w:r>
      <w:r w:rsidR="00811C4A">
        <w:rPr>
          <w:rFonts w:cs="Times New Roman"/>
          <w:lang w:eastAsia="en-US"/>
        </w:rPr>
        <w:instrText xml:space="preserve"> ADDIN EN.CITE &lt;EndNote&gt;&lt;Cite&gt;&lt;Author&gt;Cros&lt;/Author&gt;&lt;Year&gt;2010&lt;/Year&gt;&lt;RecNum&gt;196&lt;/RecNum&gt;&lt;DisplayText&gt;(2)&lt;/DisplayText&gt;&lt;record&gt;&lt;rec-number&gt;196&lt;/rec-number&gt;&lt;foreign-keys&gt;&lt;key app="EN" db-id="zdftr2xvxfzaaaew92svdx0zet5frf09rzwd" timestamp="0"&gt;196&lt;/key&gt;&lt;/foreign-keys&gt;&lt;ref-type name="Journal Article"&gt;17&lt;/ref-type&gt;&lt;contributors&gt;&lt;authors&gt;&lt;author&gt;Cros, J &lt;/author&gt;&lt;author&gt;Cagnard, N &lt;/author&gt;&lt;author&gt;Woollard, K &lt;/author&gt;&lt;author&gt;Patey, N &lt;/author&gt;&lt;author&gt;Zhang, S-Y &lt;/author&gt;&lt;author&gt;Senechal, B &lt;/author&gt;&lt;author&gt;Puel, A &lt;/author&gt;&lt;author&gt;Biswas, S K&lt;/author&gt;&lt;author&gt;Moshous, D&lt;/author&gt;&lt;author&gt;Picard, C&lt;/author&gt;&lt;author&gt;Jais, J-P&lt;/author&gt;&lt;author&gt;D&amp;apos;Cruz, D&lt;/author&gt;&lt;author&gt;Casanova, J-L&lt;/author&gt;&lt;author&gt;Trouillet, C&lt;/author&gt;&lt;author&gt;Geissmann, F&lt;/author&gt;&lt;/authors&gt;&lt;/contributors&gt;&lt;titles&gt;&lt;title&gt;&lt;style face="normal" font="default" size="100%"&gt;Human CD14&lt;/style&gt;&lt;style face="superscript" font="default" size="100%"&gt;dim&lt;/style&gt;&lt;style face="normal" font="default" size="100%"&gt; Monocytes Patrol and Sense Nucleic acids and viruses via TLR7 and TLR8 receptors&lt;/style&gt;&lt;/title&gt;&lt;secondary-title&gt;Immunity&lt;/secondary-title&gt;&lt;/titles&gt;&lt;periodical&gt;&lt;full-title&gt;Immunity&lt;/full-title&gt;&lt;/periodical&gt;&lt;pages&gt;375-386&lt;/pages&gt;&lt;volume&gt;33&lt;/volume&gt;&lt;dates&gt;&lt;year&gt;2010&lt;/year&gt;&lt;/dates&gt;&lt;urls&gt;&lt;/urls&gt;&lt;/record&gt;&lt;/Cite&gt;&lt;/EndNote&gt;</w:instrText>
      </w:r>
      <w:r w:rsidR="00811C4A">
        <w:rPr>
          <w:rFonts w:cs="Times New Roman"/>
          <w:lang w:eastAsia="en-US"/>
        </w:rPr>
        <w:fldChar w:fldCharType="separate"/>
      </w:r>
      <w:r w:rsidR="00811C4A">
        <w:rPr>
          <w:rFonts w:cs="Times New Roman"/>
          <w:noProof/>
          <w:lang w:eastAsia="en-US"/>
        </w:rPr>
        <w:t>(2)</w:t>
      </w:r>
      <w:r w:rsidR="00811C4A">
        <w:rPr>
          <w:rFonts w:cs="Times New Roman"/>
          <w:lang w:eastAsia="en-US"/>
        </w:rPr>
        <w:fldChar w:fldCharType="end"/>
      </w:r>
      <w:r w:rsidRPr="00807B8F">
        <w:rPr>
          <w:rFonts w:cs="Times New Roman"/>
          <w:lang w:eastAsia="en-US"/>
        </w:rPr>
        <w:t>. Five vessels were select</w:t>
      </w:r>
      <w:r w:rsidR="00C7765E">
        <w:rPr>
          <w:rFonts w:cs="Times New Roman"/>
          <w:lang w:eastAsia="en-US"/>
        </w:rPr>
        <w:t>ed at random across each slide</w:t>
      </w:r>
      <w:r w:rsidRPr="00807B8F">
        <w:rPr>
          <w:rFonts w:cs="Times New Roman"/>
          <w:lang w:eastAsia="en-US"/>
        </w:rPr>
        <w:t xml:space="preserve"> for imaging. For each patient, different vessels were selected and imaged in the serial sections stained with the CX</w:t>
      </w:r>
      <w:r w:rsidRPr="00807B8F">
        <w:rPr>
          <w:rFonts w:cs="Times New Roman"/>
          <w:vertAlign w:val="subscript"/>
          <w:lang w:eastAsia="en-US"/>
        </w:rPr>
        <w:t>3</w:t>
      </w:r>
      <w:r w:rsidRPr="00807B8F">
        <w:rPr>
          <w:rFonts w:cs="Times New Roman"/>
          <w:lang w:eastAsia="en-US"/>
        </w:rPr>
        <w:t>CR1</w:t>
      </w:r>
      <w:r w:rsidRPr="00807B8F">
        <w:rPr>
          <w:rFonts w:cs="Times New Roman"/>
          <w:vertAlign w:val="superscript"/>
          <w:lang w:eastAsia="en-US"/>
        </w:rPr>
        <w:t>+</w:t>
      </w:r>
      <w:r w:rsidRPr="00807B8F">
        <w:rPr>
          <w:rFonts w:cs="Times New Roman"/>
          <w:lang w:eastAsia="en-US"/>
        </w:rPr>
        <w:t>CD14</w:t>
      </w:r>
      <w:r w:rsidRPr="00807B8F">
        <w:rPr>
          <w:rFonts w:cs="Times New Roman"/>
          <w:vertAlign w:val="superscript"/>
          <w:lang w:eastAsia="en-US"/>
        </w:rPr>
        <w:t>+</w:t>
      </w:r>
      <w:r w:rsidRPr="00807B8F">
        <w:rPr>
          <w:rFonts w:cs="Times New Roman"/>
          <w:lang w:eastAsia="en-US"/>
        </w:rPr>
        <w:t xml:space="preserve"> and CX</w:t>
      </w:r>
      <w:r w:rsidRPr="00807B8F">
        <w:rPr>
          <w:rFonts w:cs="Times New Roman"/>
          <w:vertAlign w:val="subscript"/>
          <w:lang w:eastAsia="en-US"/>
        </w:rPr>
        <w:t>3</w:t>
      </w:r>
      <w:r w:rsidRPr="00807B8F">
        <w:rPr>
          <w:rFonts w:cs="Times New Roman"/>
          <w:lang w:eastAsia="en-US"/>
        </w:rPr>
        <w:t>CR1</w:t>
      </w:r>
      <w:r w:rsidRPr="00807B8F">
        <w:rPr>
          <w:rFonts w:cs="Times New Roman"/>
          <w:vertAlign w:val="superscript"/>
          <w:lang w:eastAsia="en-US"/>
        </w:rPr>
        <w:t>+</w:t>
      </w:r>
      <w:r w:rsidRPr="00807B8F">
        <w:rPr>
          <w:rFonts w:cs="Times New Roman"/>
          <w:lang w:eastAsia="en-US"/>
        </w:rPr>
        <w:t>CD16</w:t>
      </w:r>
      <w:r w:rsidRPr="00807B8F">
        <w:rPr>
          <w:rFonts w:cs="Times New Roman"/>
          <w:vertAlign w:val="superscript"/>
          <w:lang w:eastAsia="en-US"/>
        </w:rPr>
        <w:t xml:space="preserve">+  </w:t>
      </w:r>
      <w:r w:rsidRPr="00807B8F">
        <w:rPr>
          <w:rFonts w:cs="Times New Roman"/>
          <w:lang w:eastAsia="en-US"/>
        </w:rPr>
        <w:t xml:space="preserve">combinations; in total per 10 different vessels were imaged per patient. The proportion of </w:t>
      </w:r>
      <w:proofErr w:type="spellStart"/>
      <w:r w:rsidRPr="00807B8F">
        <w:rPr>
          <w:rFonts w:cs="Times New Roman"/>
          <w:lang w:eastAsia="en-US"/>
        </w:rPr>
        <w:t>marginated</w:t>
      </w:r>
      <w:proofErr w:type="spellEnd"/>
      <w:r w:rsidRPr="00807B8F">
        <w:rPr>
          <w:rFonts w:cs="Times New Roman"/>
          <w:lang w:eastAsia="en-US"/>
        </w:rPr>
        <w:t xml:space="preserve"> (apposition of the cell surface membrane to the luminal endothelial surface) CX</w:t>
      </w:r>
      <w:r w:rsidRPr="00807B8F">
        <w:rPr>
          <w:rFonts w:cs="Times New Roman"/>
          <w:vertAlign w:val="subscript"/>
          <w:lang w:eastAsia="en-US"/>
        </w:rPr>
        <w:t>3</w:t>
      </w:r>
      <w:r w:rsidRPr="00807B8F">
        <w:rPr>
          <w:rFonts w:cs="Times New Roman"/>
          <w:lang w:eastAsia="en-US"/>
        </w:rPr>
        <w:t>CR1</w:t>
      </w:r>
      <w:r w:rsidRPr="00807B8F">
        <w:rPr>
          <w:rFonts w:cs="Times New Roman"/>
          <w:vertAlign w:val="superscript"/>
          <w:lang w:eastAsia="en-US"/>
        </w:rPr>
        <w:t>+</w:t>
      </w:r>
      <w:r w:rsidRPr="00807B8F">
        <w:rPr>
          <w:rFonts w:cs="Times New Roman"/>
          <w:lang w:eastAsia="en-US"/>
        </w:rPr>
        <w:t xml:space="preserve"> (total 10 vessels), CX</w:t>
      </w:r>
      <w:r w:rsidRPr="00807B8F">
        <w:rPr>
          <w:rFonts w:cs="Times New Roman"/>
          <w:vertAlign w:val="subscript"/>
          <w:lang w:eastAsia="en-US"/>
        </w:rPr>
        <w:t>3</w:t>
      </w:r>
      <w:r w:rsidRPr="00807B8F">
        <w:rPr>
          <w:rFonts w:cs="Times New Roman"/>
          <w:lang w:eastAsia="en-US"/>
        </w:rPr>
        <w:t>CR1</w:t>
      </w:r>
      <w:r w:rsidRPr="00807B8F">
        <w:rPr>
          <w:rFonts w:cs="Times New Roman"/>
          <w:vertAlign w:val="superscript"/>
          <w:lang w:eastAsia="en-US"/>
        </w:rPr>
        <w:t>+</w:t>
      </w:r>
      <w:r w:rsidRPr="00807B8F">
        <w:rPr>
          <w:rFonts w:cs="Times New Roman"/>
          <w:lang w:eastAsia="en-US"/>
        </w:rPr>
        <w:t>CD14</w:t>
      </w:r>
      <w:r w:rsidRPr="00807B8F">
        <w:rPr>
          <w:rFonts w:cs="Times New Roman"/>
          <w:vertAlign w:val="superscript"/>
          <w:lang w:eastAsia="en-US"/>
        </w:rPr>
        <w:t xml:space="preserve">+ </w:t>
      </w:r>
      <w:r w:rsidRPr="00807B8F">
        <w:rPr>
          <w:rFonts w:cs="Times New Roman"/>
          <w:lang w:eastAsia="en-US"/>
        </w:rPr>
        <w:t>(5 vessels) and CX</w:t>
      </w:r>
      <w:r w:rsidRPr="00807B8F">
        <w:rPr>
          <w:rFonts w:cs="Times New Roman"/>
          <w:vertAlign w:val="subscript"/>
          <w:lang w:eastAsia="en-US"/>
        </w:rPr>
        <w:t>3</w:t>
      </w:r>
      <w:r w:rsidRPr="00807B8F">
        <w:rPr>
          <w:rFonts w:cs="Times New Roman"/>
          <w:lang w:eastAsia="en-US"/>
        </w:rPr>
        <w:t>CR1</w:t>
      </w:r>
      <w:r w:rsidRPr="00807B8F">
        <w:rPr>
          <w:rFonts w:cs="Times New Roman"/>
          <w:vertAlign w:val="superscript"/>
          <w:lang w:eastAsia="en-US"/>
        </w:rPr>
        <w:t>+</w:t>
      </w:r>
      <w:r w:rsidRPr="00807B8F">
        <w:rPr>
          <w:rFonts w:cs="Times New Roman"/>
          <w:lang w:eastAsia="en-US"/>
        </w:rPr>
        <w:t>CD16</w:t>
      </w:r>
      <w:r w:rsidRPr="00807B8F">
        <w:rPr>
          <w:rFonts w:cs="Times New Roman"/>
          <w:vertAlign w:val="superscript"/>
          <w:lang w:eastAsia="en-US"/>
        </w:rPr>
        <w:t xml:space="preserve">+ </w:t>
      </w:r>
      <w:r w:rsidRPr="00807B8F">
        <w:rPr>
          <w:rFonts w:cs="Times New Roman"/>
          <w:lang w:eastAsia="en-US"/>
        </w:rPr>
        <w:t xml:space="preserve">(5 vessels) cells (expressed as a percentage of all </w:t>
      </w:r>
      <w:proofErr w:type="spellStart"/>
      <w:r w:rsidRPr="00807B8F">
        <w:rPr>
          <w:rFonts w:cs="Times New Roman"/>
          <w:lang w:eastAsia="en-US"/>
        </w:rPr>
        <w:t>marginated</w:t>
      </w:r>
      <w:proofErr w:type="spellEnd"/>
      <w:r w:rsidRPr="00807B8F">
        <w:rPr>
          <w:rFonts w:cs="Times New Roman"/>
          <w:lang w:eastAsia="en-US"/>
        </w:rPr>
        <w:t xml:space="preserve"> cells) was quantified. To obtain dual-labelled fluorescent images, digital photomicrographs from the same field were captured and digitally merged to determine CX</w:t>
      </w:r>
      <w:r w:rsidRPr="00807B8F">
        <w:rPr>
          <w:rFonts w:cs="Times New Roman"/>
          <w:vertAlign w:val="subscript"/>
          <w:lang w:eastAsia="en-US"/>
        </w:rPr>
        <w:t>3</w:t>
      </w:r>
      <w:r w:rsidRPr="00807B8F">
        <w:rPr>
          <w:rFonts w:cs="Times New Roman"/>
          <w:lang w:eastAsia="en-US"/>
        </w:rPr>
        <w:t>CR1</w:t>
      </w:r>
      <w:r w:rsidRPr="00807B8F">
        <w:rPr>
          <w:rFonts w:cs="Times New Roman"/>
          <w:vertAlign w:val="superscript"/>
          <w:lang w:eastAsia="en-US"/>
        </w:rPr>
        <w:t>+</w:t>
      </w:r>
      <w:r w:rsidRPr="00807B8F">
        <w:rPr>
          <w:rFonts w:cs="Times New Roman"/>
          <w:lang w:eastAsia="en-US"/>
        </w:rPr>
        <w:t>CD14</w:t>
      </w:r>
      <w:r w:rsidRPr="00807B8F">
        <w:rPr>
          <w:rFonts w:cs="Times New Roman"/>
          <w:vertAlign w:val="superscript"/>
          <w:lang w:eastAsia="en-US"/>
        </w:rPr>
        <w:t>+</w:t>
      </w:r>
      <w:r w:rsidRPr="00807B8F">
        <w:rPr>
          <w:rFonts w:cs="Times New Roman"/>
          <w:lang w:eastAsia="en-US"/>
        </w:rPr>
        <w:t xml:space="preserve"> and CX</w:t>
      </w:r>
      <w:r w:rsidRPr="00807B8F">
        <w:rPr>
          <w:rFonts w:cs="Times New Roman"/>
          <w:vertAlign w:val="subscript"/>
          <w:lang w:eastAsia="en-US"/>
        </w:rPr>
        <w:t>3</w:t>
      </w:r>
      <w:r w:rsidRPr="00807B8F">
        <w:rPr>
          <w:rFonts w:cs="Times New Roman"/>
          <w:lang w:eastAsia="en-US"/>
        </w:rPr>
        <w:t>CR1</w:t>
      </w:r>
      <w:r w:rsidRPr="00807B8F">
        <w:rPr>
          <w:rFonts w:cs="Times New Roman"/>
          <w:vertAlign w:val="superscript"/>
          <w:lang w:eastAsia="en-US"/>
        </w:rPr>
        <w:t>+</w:t>
      </w:r>
      <w:r w:rsidRPr="00807B8F">
        <w:rPr>
          <w:rFonts w:cs="Times New Roman"/>
          <w:lang w:eastAsia="en-US"/>
        </w:rPr>
        <w:t>CD16</w:t>
      </w:r>
      <w:r w:rsidRPr="00807B8F">
        <w:rPr>
          <w:rFonts w:cs="Times New Roman"/>
          <w:vertAlign w:val="superscript"/>
          <w:lang w:eastAsia="en-US"/>
        </w:rPr>
        <w:t>+</w:t>
      </w:r>
      <w:r w:rsidRPr="00807B8F">
        <w:rPr>
          <w:rFonts w:cs="Times New Roman"/>
          <w:lang w:eastAsia="en-US"/>
        </w:rPr>
        <w:t xml:space="preserve"> cells. Digital micrographs were obtained through the use of a Nikon Eclipse 80i microscope (Nikon UK Ltd, Kingston upon Thames, UK) equipped with a </w:t>
      </w:r>
      <w:proofErr w:type="spellStart"/>
      <w:r w:rsidRPr="00807B8F">
        <w:rPr>
          <w:rFonts w:cs="Times New Roman"/>
          <w:lang w:eastAsia="en-US"/>
        </w:rPr>
        <w:t>QImaging</w:t>
      </w:r>
      <w:proofErr w:type="spellEnd"/>
      <w:r w:rsidRPr="00807B8F">
        <w:rPr>
          <w:rFonts w:cs="Times New Roman"/>
          <w:lang w:eastAsia="en-US"/>
        </w:rPr>
        <w:t xml:space="preserve"> digital camera and </w:t>
      </w:r>
      <w:proofErr w:type="spellStart"/>
      <w:r w:rsidRPr="00807B8F">
        <w:rPr>
          <w:rFonts w:cs="Times New Roman"/>
          <w:lang w:eastAsia="en-US"/>
        </w:rPr>
        <w:t>ImagePro</w:t>
      </w:r>
      <w:proofErr w:type="spellEnd"/>
      <w:r w:rsidRPr="00807B8F">
        <w:rPr>
          <w:rFonts w:cs="Times New Roman"/>
          <w:lang w:eastAsia="en-US"/>
        </w:rPr>
        <w:t xml:space="preserve"> </w:t>
      </w:r>
      <w:proofErr w:type="gramStart"/>
      <w:r w:rsidRPr="00807B8F">
        <w:rPr>
          <w:rFonts w:cs="Times New Roman"/>
          <w:lang w:eastAsia="en-US"/>
        </w:rPr>
        <w:t>Plus</w:t>
      </w:r>
      <w:proofErr w:type="gramEnd"/>
      <w:r w:rsidRPr="00807B8F">
        <w:rPr>
          <w:rFonts w:cs="Times New Roman"/>
          <w:lang w:eastAsia="en-US"/>
        </w:rPr>
        <w:t xml:space="preserve"> 5.1 software (Media Cybernetics, Marlow UK). Cell counts were quantified using the </w:t>
      </w:r>
      <w:proofErr w:type="spellStart"/>
      <w:r w:rsidRPr="00807B8F">
        <w:rPr>
          <w:rFonts w:cs="Times New Roman"/>
          <w:lang w:eastAsia="en-US"/>
        </w:rPr>
        <w:t>ImagePro</w:t>
      </w:r>
      <w:proofErr w:type="spellEnd"/>
      <w:r w:rsidRPr="00807B8F">
        <w:rPr>
          <w:rFonts w:cs="Times New Roman"/>
          <w:lang w:eastAsia="en-US"/>
        </w:rPr>
        <w:t xml:space="preserve"> Plus 5.1 software. Intravascular </w:t>
      </w:r>
      <w:proofErr w:type="spellStart"/>
      <w:r w:rsidRPr="00807B8F">
        <w:rPr>
          <w:rFonts w:cs="Times New Roman"/>
          <w:lang w:eastAsia="en-US"/>
        </w:rPr>
        <w:t>marginated</w:t>
      </w:r>
      <w:proofErr w:type="spellEnd"/>
      <w:r w:rsidRPr="00807B8F">
        <w:rPr>
          <w:rFonts w:cs="Times New Roman"/>
          <w:lang w:eastAsia="en-US"/>
        </w:rPr>
        <w:t xml:space="preserve"> cell counts were standardised to the number of positive cells per </w:t>
      </w:r>
      <w:proofErr w:type="spellStart"/>
      <w:r w:rsidRPr="00807B8F">
        <w:rPr>
          <w:rFonts w:cs="Times New Roman"/>
          <w:lang w:eastAsia="en-US"/>
        </w:rPr>
        <w:t>μm</w:t>
      </w:r>
      <w:proofErr w:type="spellEnd"/>
      <w:r w:rsidRPr="00807B8F">
        <w:rPr>
          <w:rFonts w:cs="Times New Roman"/>
          <w:lang w:eastAsia="en-US"/>
        </w:rPr>
        <w:t xml:space="preserve"> </w:t>
      </w:r>
      <w:r w:rsidRPr="00E04F5D">
        <w:rPr>
          <w:rFonts w:cs="Times New Roman"/>
          <w:lang w:eastAsia="en-US"/>
        </w:rPr>
        <w:t>of vessel circumference</w:t>
      </w:r>
      <w:r w:rsidR="00916C53" w:rsidRPr="00E04F5D">
        <w:rPr>
          <w:rFonts w:cs="Times New Roman"/>
          <w:lang w:eastAsia="en-US"/>
        </w:rPr>
        <w:t>. By</w:t>
      </w:r>
      <w:r w:rsidR="00916C53" w:rsidRPr="00E04F5D">
        <w:rPr>
          <w:rFonts w:cs="Times New Roman"/>
        </w:rPr>
        <w:t xml:space="preserve"> standardizing </w:t>
      </w:r>
      <w:proofErr w:type="spellStart"/>
      <w:r w:rsidR="00916C53" w:rsidRPr="00E04F5D">
        <w:rPr>
          <w:rFonts w:cs="Times New Roman"/>
        </w:rPr>
        <w:t>marginated</w:t>
      </w:r>
      <w:proofErr w:type="spellEnd"/>
      <w:r w:rsidR="00916C53" w:rsidRPr="00E04F5D">
        <w:rPr>
          <w:rFonts w:cs="Times New Roman"/>
        </w:rPr>
        <w:t xml:space="preserve"> cell counts to vessel circumference; </w:t>
      </w:r>
      <w:r w:rsidR="00916C53" w:rsidRPr="00E04F5D">
        <w:rPr>
          <w:rFonts w:cs="Times New Roman"/>
        </w:rPr>
        <w:lastRenderedPageBreak/>
        <w:t xml:space="preserve">bias introduced by counting the number of </w:t>
      </w:r>
      <w:proofErr w:type="spellStart"/>
      <w:r w:rsidR="00916C53" w:rsidRPr="00E04F5D">
        <w:rPr>
          <w:rFonts w:cs="Times New Roman"/>
        </w:rPr>
        <w:t>marginated</w:t>
      </w:r>
      <w:proofErr w:type="spellEnd"/>
      <w:r w:rsidR="00916C53" w:rsidRPr="00E04F5D">
        <w:rPr>
          <w:rFonts w:cs="Times New Roman"/>
        </w:rPr>
        <w:t xml:space="preserve"> cells in vessels with large diameters is reduced (which may contain more </w:t>
      </w:r>
      <w:proofErr w:type="spellStart"/>
      <w:r w:rsidR="00916C53" w:rsidRPr="00E04F5D">
        <w:rPr>
          <w:rFonts w:cs="Times New Roman"/>
        </w:rPr>
        <w:t>marginated</w:t>
      </w:r>
      <w:proofErr w:type="spellEnd"/>
      <w:r w:rsidR="00916C53" w:rsidRPr="00E04F5D">
        <w:rPr>
          <w:rFonts w:cs="Times New Roman"/>
        </w:rPr>
        <w:t xml:space="preserve"> cells merely by the virtue of their size).  </w:t>
      </w:r>
      <w:r w:rsidR="00916C53" w:rsidRPr="00E04F5D">
        <w:rPr>
          <w:rFonts w:cs="Times New Roman"/>
          <w:lang w:eastAsia="en-US"/>
        </w:rPr>
        <w:t xml:space="preserve"> </w:t>
      </w:r>
    </w:p>
    <w:p w14:paraId="60CF0AF9" w14:textId="77777777" w:rsidR="00C7765E" w:rsidRPr="00E04F5D" w:rsidRDefault="00C7765E" w:rsidP="0071244E">
      <w:pPr>
        <w:spacing w:after="200" w:line="480" w:lineRule="auto"/>
        <w:jc w:val="both"/>
        <w:rPr>
          <w:rFonts w:cs="Times New Roman"/>
          <w:lang w:eastAsia="en-US"/>
        </w:rPr>
      </w:pPr>
      <w:proofErr w:type="spellStart"/>
      <w:r w:rsidRPr="00E04F5D">
        <w:rPr>
          <w:rFonts w:cs="Times New Roman"/>
          <w:lang w:eastAsia="en-US"/>
        </w:rPr>
        <w:t>Microvessels</w:t>
      </w:r>
      <w:proofErr w:type="spellEnd"/>
      <w:r w:rsidRPr="00E04F5D">
        <w:rPr>
          <w:rFonts w:cs="Times New Roman"/>
          <w:lang w:eastAsia="en-US"/>
        </w:rPr>
        <w:t xml:space="preserve"> were identified on the basis of their morphology (luminal erythrocyte content, endothelial cell monolayer); confirmatory </w:t>
      </w:r>
      <w:proofErr w:type="spellStart"/>
      <w:r w:rsidRPr="00E04F5D">
        <w:rPr>
          <w:rFonts w:cs="Times New Roman"/>
          <w:lang w:eastAsia="en-US"/>
        </w:rPr>
        <w:t>immunohistochemical</w:t>
      </w:r>
      <w:proofErr w:type="spellEnd"/>
      <w:r w:rsidRPr="00E04F5D">
        <w:rPr>
          <w:rFonts w:cs="Times New Roman"/>
          <w:lang w:eastAsia="en-US"/>
        </w:rPr>
        <w:t xml:space="preserve"> staining of the endothelial cell marker CD34 was performed on serial sections</w:t>
      </w:r>
      <w:r w:rsidR="00811C4A" w:rsidRPr="00E04F5D">
        <w:rPr>
          <w:rFonts w:cs="Times New Roman"/>
          <w:lang w:eastAsia="en-US"/>
        </w:rPr>
        <w:t xml:space="preserve"> </w:t>
      </w:r>
      <w:r w:rsidR="00811C4A" w:rsidRPr="00E04F5D">
        <w:rPr>
          <w:rFonts w:cs="Times New Roman"/>
          <w:lang w:eastAsia="en-US"/>
        </w:rPr>
        <w:fldChar w:fldCharType="begin"/>
      </w:r>
      <w:r w:rsidR="00811C4A" w:rsidRPr="00E04F5D">
        <w:rPr>
          <w:rFonts w:cs="Times New Roman"/>
          <w:lang w:eastAsia="en-US"/>
        </w:rPr>
        <w:instrText xml:space="preserve"> ADDIN EN.CITE &lt;EndNote&gt;&lt;Cite&gt;&lt;Author&gt;Pusztazeri&lt;/Author&gt;&lt;Year&gt;2005&lt;/Year&gt;&lt;RecNum&gt;902&lt;/RecNum&gt;&lt;DisplayText&gt;(3)&lt;/DisplayText&gt;&lt;record&gt;&lt;rec-number&gt;902&lt;/rec-number&gt;&lt;foreign-keys&gt;&lt;key app="EN" db-id="zdftr2xvxfzaaaew92svdx0zet5frf09rzwd" timestamp="1466418460"&gt;902&lt;/key&gt;&lt;/foreign-keys&gt;&lt;ref-type name="Journal Article"&gt;17&lt;/ref-type&gt;&lt;contributors&gt;&lt;authors&gt;&lt;author&gt;Pusztazeri, M P&lt;/author&gt;&lt;author&gt;Seelentag, W&lt;/author&gt;&lt;author&gt;Bosman, F T&lt;/author&gt;&lt;/authors&gt;&lt;/contributors&gt;&lt;titles&gt;&lt;title&gt;Immunohistochemical Expression of Endothelial Markers CD31, CD34, von Willebrand Factor, and Fli-1 in Normal Human Tissues&lt;/title&gt;&lt;secondary-title&gt;Journal of Histochemistry and Cytochemistry&lt;/secondary-title&gt;&lt;/titles&gt;&lt;periodical&gt;&lt;full-title&gt;Journal of Histochemistry and Cytochemistry&lt;/full-title&gt;&lt;/periodical&gt;&lt;pages&gt;385-395&lt;/pages&gt;&lt;volume&gt;54&lt;/volume&gt;&lt;number&gt;4&lt;/number&gt;&lt;dates&gt;&lt;year&gt;2005&lt;/year&gt;&lt;/dates&gt;&lt;urls&gt;&lt;/urls&gt;&lt;/record&gt;&lt;/Cite&gt;&lt;/EndNote&gt;</w:instrText>
      </w:r>
      <w:r w:rsidR="00811C4A" w:rsidRPr="00E04F5D">
        <w:rPr>
          <w:rFonts w:cs="Times New Roman"/>
          <w:lang w:eastAsia="en-US"/>
        </w:rPr>
        <w:fldChar w:fldCharType="separate"/>
      </w:r>
      <w:r w:rsidR="00811C4A" w:rsidRPr="00E04F5D">
        <w:rPr>
          <w:rFonts w:cs="Times New Roman"/>
          <w:noProof/>
          <w:lang w:eastAsia="en-US"/>
        </w:rPr>
        <w:t>(3)</w:t>
      </w:r>
      <w:r w:rsidR="00811C4A" w:rsidRPr="00E04F5D">
        <w:rPr>
          <w:rFonts w:cs="Times New Roman"/>
          <w:lang w:eastAsia="en-US"/>
        </w:rPr>
        <w:fldChar w:fldCharType="end"/>
      </w:r>
      <w:r w:rsidRPr="00E04F5D">
        <w:rPr>
          <w:rFonts w:cs="Times New Roman"/>
          <w:lang w:eastAsia="en-US"/>
        </w:rPr>
        <w:t>.</w:t>
      </w:r>
    </w:p>
    <w:p w14:paraId="0C8835F8" w14:textId="77777777" w:rsidR="009A63BC" w:rsidRPr="00E04F5D" w:rsidRDefault="009A63BC" w:rsidP="009A63BC">
      <w:pPr>
        <w:keepNext/>
        <w:keepLines/>
        <w:spacing w:before="40" w:line="480" w:lineRule="auto"/>
        <w:outlineLvl w:val="3"/>
        <w:rPr>
          <w:rFonts w:eastAsiaTheme="majorEastAsia" w:cs="Times New Roman"/>
          <w:b/>
          <w:iCs/>
          <w:lang w:eastAsia="en-US"/>
        </w:rPr>
      </w:pPr>
      <w:bookmarkStart w:id="3" w:name="_Toc438749062"/>
      <w:r w:rsidRPr="00E04F5D">
        <w:rPr>
          <w:rFonts w:eastAsiaTheme="majorEastAsia" w:cs="Times New Roman"/>
          <w:b/>
          <w:iCs/>
          <w:lang w:eastAsia="en-US"/>
        </w:rPr>
        <w:t>Immunohistochemistry</w:t>
      </w:r>
      <w:bookmarkEnd w:id="3"/>
    </w:p>
    <w:p w14:paraId="7784AAC8" w14:textId="72A78B89" w:rsidR="00631096" w:rsidRPr="00E04F5D" w:rsidRDefault="009A63BC" w:rsidP="009A63BC">
      <w:pPr>
        <w:spacing w:after="200" w:line="480" w:lineRule="auto"/>
        <w:jc w:val="both"/>
        <w:rPr>
          <w:b/>
        </w:rPr>
      </w:pPr>
      <w:r w:rsidRPr="00E04F5D">
        <w:rPr>
          <w:rFonts w:cs="Times New Roman"/>
          <w:lang w:eastAsia="en-US"/>
        </w:rPr>
        <w:t>The entirety of the slide was imaged permitting determination of the overall area of the section. The overall number of Ki67</w:t>
      </w:r>
      <w:r w:rsidRPr="00E04F5D">
        <w:rPr>
          <w:rFonts w:cs="Times New Roman"/>
          <w:vertAlign w:val="superscript"/>
          <w:lang w:eastAsia="en-US"/>
        </w:rPr>
        <w:t>+</w:t>
      </w:r>
      <w:r w:rsidRPr="00E04F5D">
        <w:rPr>
          <w:rFonts w:cs="Times New Roman"/>
          <w:lang w:eastAsia="en-US"/>
        </w:rPr>
        <w:t>/Ki67</w:t>
      </w:r>
      <w:r w:rsidRPr="00E04F5D">
        <w:rPr>
          <w:rFonts w:cs="Times New Roman"/>
          <w:vertAlign w:val="superscript"/>
          <w:lang w:eastAsia="en-US"/>
        </w:rPr>
        <w:t xml:space="preserve">- </w:t>
      </w:r>
      <w:r w:rsidRPr="00E04F5D">
        <w:rPr>
          <w:rFonts w:cs="Times New Roman"/>
          <w:lang w:eastAsia="en-US"/>
        </w:rPr>
        <w:t>alveolar macrophages (identified on the basis of their morphological characteristics) per section was determined and percentage positivity was calculated. AM counts were standardised to the number of positive cells per mm</w:t>
      </w:r>
      <w:r w:rsidRPr="00E04F5D">
        <w:rPr>
          <w:rFonts w:cs="Times New Roman"/>
          <w:vertAlign w:val="superscript"/>
          <w:lang w:eastAsia="en-US"/>
        </w:rPr>
        <w:t>2</w:t>
      </w:r>
      <w:r w:rsidRPr="00E04F5D">
        <w:rPr>
          <w:rFonts w:cs="Times New Roman"/>
          <w:lang w:eastAsia="en-US"/>
        </w:rPr>
        <w:t xml:space="preserve"> of the area of the section.</w:t>
      </w:r>
      <w:r w:rsidR="00631096" w:rsidRPr="00E04F5D">
        <w:rPr>
          <w:b/>
        </w:rPr>
        <w:br w:type="page"/>
      </w:r>
    </w:p>
    <w:p w14:paraId="6820B800" w14:textId="02F476F8" w:rsidR="00811C4A" w:rsidRPr="0036140C" w:rsidRDefault="0036140C" w:rsidP="000D628A">
      <w:pPr>
        <w:jc w:val="both"/>
        <w:rPr>
          <w:b/>
        </w:rPr>
      </w:pPr>
      <w:r w:rsidRPr="0036140C">
        <w:rPr>
          <w:b/>
        </w:rPr>
        <w:lastRenderedPageBreak/>
        <w:t>References</w:t>
      </w:r>
    </w:p>
    <w:p w14:paraId="4A3FCA1E" w14:textId="77777777" w:rsidR="00811C4A" w:rsidRDefault="00811C4A" w:rsidP="000D628A">
      <w:pPr>
        <w:jc w:val="both"/>
      </w:pPr>
    </w:p>
    <w:p w14:paraId="0C39ACE1" w14:textId="0E088FB7" w:rsidR="00811C4A" w:rsidRPr="00811C4A" w:rsidRDefault="00811C4A" w:rsidP="0036140C">
      <w:pPr>
        <w:pStyle w:val="EndNoteBibliography"/>
        <w:spacing w:line="480" w:lineRule="auto"/>
        <w:ind w:left="720" w:hanging="720"/>
        <w:rPr>
          <w:noProof/>
        </w:rPr>
      </w:pPr>
      <w:r>
        <w:fldChar w:fldCharType="begin"/>
      </w:r>
      <w:r>
        <w:instrText xml:space="preserve"> ADDIN EN.REFLIST </w:instrText>
      </w:r>
      <w:r>
        <w:fldChar w:fldCharType="separate"/>
      </w:r>
      <w:r w:rsidRPr="00811C4A">
        <w:rPr>
          <w:noProof/>
        </w:rPr>
        <w:t xml:space="preserve">1. Ravi AK, Khurana S, Lemon J, Plumb J, Booth G, Healy L, Catley M, J V, Singh D. Increased levels of soluble interleukin-6 receptor and CCL3 in COPD sputum. </w:t>
      </w:r>
      <w:r w:rsidR="0036140C">
        <w:rPr>
          <w:i/>
          <w:noProof/>
        </w:rPr>
        <w:t>Respir Res</w:t>
      </w:r>
      <w:r w:rsidRPr="00811C4A">
        <w:rPr>
          <w:i/>
          <w:noProof/>
        </w:rPr>
        <w:t xml:space="preserve"> </w:t>
      </w:r>
      <w:r w:rsidRPr="00811C4A">
        <w:rPr>
          <w:noProof/>
        </w:rPr>
        <w:t>2014; 15: 103.</w:t>
      </w:r>
    </w:p>
    <w:p w14:paraId="1BA9EE43" w14:textId="77777777" w:rsidR="00811C4A" w:rsidRPr="00811C4A" w:rsidRDefault="00811C4A" w:rsidP="0036140C">
      <w:pPr>
        <w:pStyle w:val="EndNoteBibliography"/>
        <w:spacing w:line="480" w:lineRule="auto"/>
        <w:ind w:left="720" w:hanging="720"/>
        <w:rPr>
          <w:noProof/>
        </w:rPr>
      </w:pPr>
      <w:r w:rsidRPr="00811C4A">
        <w:rPr>
          <w:noProof/>
        </w:rPr>
        <w:t>2. Cros J, Cagnard N, Woollard K, Patey N, Zhang S-Y, Senechal B, Puel A, Biswas SK, Moshous D, Picard C, Jais J-P, D'Cruz D, Casanova J-L, Trouillet C, Geissmann F. Human CD14</w:t>
      </w:r>
      <w:r w:rsidRPr="00811C4A">
        <w:rPr>
          <w:noProof/>
          <w:vertAlign w:val="superscript"/>
        </w:rPr>
        <w:t>dim</w:t>
      </w:r>
      <w:r w:rsidRPr="00811C4A">
        <w:rPr>
          <w:noProof/>
        </w:rPr>
        <w:t xml:space="preserve"> Monocytes Patrol and Sense Nucleic acids and viruses via TLR7 and TLR8 receptors. </w:t>
      </w:r>
      <w:r w:rsidRPr="00811C4A">
        <w:rPr>
          <w:i/>
          <w:noProof/>
        </w:rPr>
        <w:t xml:space="preserve">Immunity </w:t>
      </w:r>
      <w:r w:rsidRPr="00811C4A">
        <w:rPr>
          <w:noProof/>
        </w:rPr>
        <w:t>2010; 33: 375-386.</w:t>
      </w:r>
    </w:p>
    <w:p w14:paraId="61262E7E" w14:textId="2CA7B8B8" w:rsidR="00811C4A" w:rsidRPr="00811C4A" w:rsidRDefault="00811C4A" w:rsidP="0036140C">
      <w:pPr>
        <w:pStyle w:val="EndNoteBibliography"/>
        <w:spacing w:line="480" w:lineRule="auto"/>
        <w:ind w:left="720" w:hanging="720"/>
        <w:rPr>
          <w:noProof/>
        </w:rPr>
      </w:pPr>
      <w:r w:rsidRPr="00811C4A">
        <w:rPr>
          <w:noProof/>
        </w:rPr>
        <w:t xml:space="preserve">3. Pusztazeri MP, Seelentag W, Bosman FT. Immunohistochemical Expression of Endothelial Markers CD31, CD34, von Willebrand Factor, and Fli-1 in Normal Human Tissues. </w:t>
      </w:r>
      <w:r w:rsidR="0036140C">
        <w:rPr>
          <w:i/>
          <w:noProof/>
        </w:rPr>
        <w:t>J Histochem Cytochem</w:t>
      </w:r>
      <w:r w:rsidRPr="00811C4A">
        <w:rPr>
          <w:i/>
          <w:noProof/>
        </w:rPr>
        <w:t xml:space="preserve"> </w:t>
      </w:r>
      <w:r w:rsidRPr="00811C4A">
        <w:rPr>
          <w:noProof/>
        </w:rPr>
        <w:t>2005; 54: 385-395.</w:t>
      </w:r>
    </w:p>
    <w:p w14:paraId="10D293C8" w14:textId="77777777" w:rsidR="005C7DC2" w:rsidRDefault="00811C4A" w:rsidP="0036140C">
      <w:pPr>
        <w:spacing w:line="480" w:lineRule="auto"/>
        <w:jc w:val="both"/>
      </w:pPr>
      <w:r>
        <w:fldChar w:fldCharType="end"/>
      </w:r>
    </w:p>
    <w:sectPr w:rsidR="005C7DC2" w:rsidSect="00DA2F77">
      <w:footerReference w:type="default" r:id="rId7"/>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0436C" w14:textId="77777777" w:rsidR="00151171" w:rsidRDefault="00151171" w:rsidP="00151171">
      <w:r>
        <w:separator/>
      </w:r>
    </w:p>
  </w:endnote>
  <w:endnote w:type="continuationSeparator" w:id="0">
    <w:p w14:paraId="1ECABA55" w14:textId="77777777" w:rsidR="00151171" w:rsidRDefault="00151171" w:rsidP="0015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97357"/>
      <w:docPartObj>
        <w:docPartGallery w:val="Page Numbers (Bottom of Page)"/>
        <w:docPartUnique/>
      </w:docPartObj>
    </w:sdtPr>
    <w:sdtEndPr>
      <w:rPr>
        <w:noProof/>
      </w:rPr>
    </w:sdtEndPr>
    <w:sdtContent>
      <w:p w14:paraId="08041140" w14:textId="3DD916C6" w:rsidR="00151171" w:rsidRDefault="00151171">
        <w:pPr>
          <w:pStyle w:val="Footer"/>
          <w:jc w:val="right"/>
        </w:pPr>
        <w:r>
          <w:fldChar w:fldCharType="begin"/>
        </w:r>
        <w:r>
          <w:instrText xml:space="preserve"> PAGE   \* MERGEFORMAT </w:instrText>
        </w:r>
        <w:r>
          <w:fldChar w:fldCharType="separate"/>
        </w:r>
        <w:r w:rsidR="00C91D80">
          <w:rPr>
            <w:noProof/>
          </w:rPr>
          <w:t>4</w:t>
        </w:r>
        <w:r>
          <w:rPr>
            <w:noProof/>
          </w:rPr>
          <w:fldChar w:fldCharType="end"/>
        </w:r>
      </w:p>
    </w:sdtContent>
  </w:sdt>
  <w:p w14:paraId="290530CD" w14:textId="77777777" w:rsidR="00151171" w:rsidRDefault="00151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455EC" w14:textId="77777777" w:rsidR="00151171" w:rsidRDefault="00151171" w:rsidP="00151171">
      <w:r>
        <w:separator/>
      </w:r>
    </w:p>
  </w:footnote>
  <w:footnote w:type="continuationSeparator" w:id="0">
    <w:p w14:paraId="6C1F4231" w14:textId="77777777" w:rsidR="00151171" w:rsidRDefault="00151171" w:rsidP="00151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Resp Crit Care M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ftr2xvxfzaaaew92svdx0zet5frf09rzwd&quot;&gt;IL6 Lit review&lt;record-ids&gt;&lt;item&gt;196&lt;/item&gt;&lt;item&gt;314&lt;/item&gt;&lt;item&gt;902&lt;/item&gt;&lt;/record-ids&gt;&lt;/item&gt;&lt;/Libraries&gt;"/>
  </w:docVars>
  <w:rsids>
    <w:rsidRoot w:val="00E931DD"/>
    <w:rsid w:val="00022036"/>
    <w:rsid w:val="0009536C"/>
    <w:rsid w:val="000B315E"/>
    <w:rsid w:val="000C62F8"/>
    <w:rsid w:val="000D628A"/>
    <w:rsid w:val="000F25E6"/>
    <w:rsid w:val="00141F09"/>
    <w:rsid w:val="00151171"/>
    <w:rsid w:val="001A1C21"/>
    <w:rsid w:val="00232E7A"/>
    <w:rsid w:val="00234F4E"/>
    <w:rsid w:val="00286F2F"/>
    <w:rsid w:val="002A05C0"/>
    <w:rsid w:val="002E50A9"/>
    <w:rsid w:val="003603B2"/>
    <w:rsid w:val="0036140C"/>
    <w:rsid w:val="00382FF5"/>
    <w:rsid w:val="003A1CBF"/>
    <w:rsid w:val="00467DCE"/>
    <w:rsid w:val="0054677E"/>
    <w:rsid w:val="005C7DC2"/>
    <w:rsid w:val="0061437A"/>
    <w:rsid w:val="00631096"/>
    <w:rsid w:val="00632822"/>
    <w:rsid w:val="0071244E"/>
    <w:rsid w:val="00722DF7"/>
    <w:rsid w:val="007A7DB2"/>
    <w:rsid w:val="007B4698"/>
    <w:rsid w:val="007F3C5F"/>
    <w:rsid w:val="00811C4A"/>
    <w:rsid w:val="00813F5D"/>
    <w:rsid w:val="00874072"/>
    <w:rsid w:val="008F140B"/>
    <w:rsid w:val="008F48FF"/>
    <w:rsid w:val="00916C53"/>
    <w:rsid w:val="00977C57"/>
    <w:rsid w:val="009A63BC"/>
    <w:rsid w:val="00A53436"/>
    <w:rsid w:val="00A71290"/>
    <w:rsid w:val="00B00010"/>
    <w:rsid w:val="00B20A40"/>
    <w:rsid w:val="00BA1CC9"/>
    <w:rsid w:val="00BD43D3"/>
    <w:rsid w:val="00BD5ADF"/>
    <w:rsid w:val="00C45493"/>
    <w:rsid w:val="00C62AC6"/>
    <w:rsid w:val="00C7765E"/>
    <w:rsid w:val="00C91D80"/>
    <w:rsid w:val="00D05E2B"/>
    <w:rsid w:val="00D1596E"/>
    <w:rsid w:val="00D6008B"/>
    <w:rsid w:val="00DA2F77"/>
    <w:rsid w:val="00E04F5D"/>
    <w:rsid w:val="00E44B11"/>
    <w:rsid w:val="00E630EC"/>
    <w:rsid w:val="00E72B8A"/>
    <w:rsid w:val="00E913D2"/>
    <w:rsid w:val="00E931DD"/>
    <w:rsid w:val="00FB20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0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B2"/>
    <w:pPr>
      <w:spacing w:after="0" w:line="240" w:lineRule="auto"/>
    </w:pPr>
    <w:rPr>
      <w:rFonts w:ascii="Times New Roman" w:hAnsi="Times New Roman"/>
      <w:sz w:val="24"/>
      <w:szCs w:val="24"/>
      <w:lang w:eastAsia="en-GB"/>
    </w:rPr>
  </w:style>
  <w:style w:type="paragraph" w:styleId="Heading1">
    <w:name w:val="heading 1"/>
    <w:basedOn w:val="Normal"/>
    <w:next w:val="Normal"/>
    <w:link w:val="Heading1Char"/>
    <w:uiPriority w:val="9"/>
    <w:qFormat/>
    <w:rsid w:val="003603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3603B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3603B2"/>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iPriority w:val="9"/>
    <w:unhideWhenUsed/>
    <w:qFormat/>
    <w:rsid w:val="003603B2"/>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Heading5">
    <w:name w:val="heading 5"/>
    <w:basedOn w:val="Normal"/>
    <w:next w:val="Normal"/>
    <w:link w:val="Heading5Char"/>
    <w:uiPriority w:val="9"/>
    <w:unhideWhenUsed/>
    <w:qFormat/>
    <w:rsid w:val="003603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3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03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03B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603B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603B2"/>
    <w:rPr>
      <w:rFonts w:asciiTheme="majorHAnsi" w:eastAsiaTheme="majorEastAsia" w:hAnsiTheme="majorHAnsi" w:cstheme="majorBidi"/>
      <w:color w:val="365F91" w:themeColor="accent1" w:themeShade="BF"/>
      <w:sz w:val="24"/>
      <w:szCs w:val="24"/>
      <w:lang w:eastAsia="en-GB"/>
    </w:rPr>
  </w:style>
  <w:style w:type="paragraph" w:styleId="TOC1">
    <w:name w:val="toc 1"/>
    <w:basedOn w:val="Normal"/>
    <w:next w:val="Normal"/>
    <w:autoRedefine/>
    <w:uiPriority w:val="39"/>
    <w:unhideWhenUsed/>
    <w:qFormat/>
    <w:rsid w:val="003603B2"/>
    <w:pPr>
      <w:spacing w:after="100" w:line="276" w:lineRule="auto"/>
    </w:pPr>
    <w:rPr>
      <w:rFonts w:asciiTheme="minorHAnsi" w:hAnsiTheme="minorHAnsi"/>
      <w:sz w:val="22"/>
      <w:szCs w:val="22"/>
      <w:lang w:eastAsia="en-US"/>
    </w:rPr>
  </w:style>
  <w:style w:type="paragraph" w:styleId="TOC2">
    <w:name w:val="toc 2"/>
    <w:basedOn w:val="Normal"/>
    <w:next w:val="Normal"/>
    <w:autoRedefine/>
    <w:uiPriority w:val="39"/>
    <w:unhideWhenUsed/>
    <w:qFormat/>
    <w:rsid w:val="003603B2"/>
    <w:pPr>
      <w:spacing w:after="100" w:line="276" w:lineRule="auto"/>
      <w:ind w:left="220"/>
    </w:pPr>
    <w:rPr>
      <w:rFonts w:asciiTheme="minorHAnsi" w:hAnsiTheme="minorHAnsi"/>
      <w:sz w:val="22"/>
      <w:szCs w:val="22"/>
      <w:lang w:eastAsia="en-US"/>
    </w:rPr>
  </w:style>
  <w:style w:type="paragraph" w:styleId="TOC3">
    <w:name w:val="toc 3"/>
    <w:basedOn w:val="Normal"/>
    <w:next w:val="Normal"/>
    <w:autoRedefine/>
    <w:uiPriority w:val="39"/>
    <w:unhideWhenUsed/>
    <w:qFormat/>
    <w:rsid w:val="003603B2"/>
    <w:pPr>
      <w:spacing w:after="100" w:line="276" w:lineRule="auto"/>
      <w:ind w:left="440"/>
    </w:pPr>
    <w:rPr>
      <w:rFonts w:asciiTheme="minorHAnsi" w:hAnsiTheme="minorHAnsi"/>
      <w:sz w:val="22"/>
      <w:szCs w:val="22"/>
      <w:lang w:eastAsia="en-US"/>
    </w:rPr>
  </w:style>
  <w:style w:type="paragraph" w:styleId="Caption">
    <w:name w:val="caption"/>
    <w:basedOn w:val="Normal"/>
    <w:next w:val="Normal"/>
    <w:uiPriority w:val="35"/>
    <w:unhideWhenUsed/>
    <w:qFormat/>
    <w:rsid w:val="003603B2"/>
    <w:pPr>
      <w:spacing w:after="200"/>
    </w:pPr>
    <w:rPr>
      <w:rFonts w:asciiTheme="minorHAnsi" w:eastAsiaTheme="minorEastAsia" w:hAnsiTheme="minorHAnsi"/>
      <w:b/>
      <w:bCs/>
      <w:color w:val="4F81BD" w:themeColor="accent1"/>
      <w:sz w:val="18"/>
      <w:szCs w:val="18"/>
      <w:lang w:val="en-US" w:eastAsia="en-US"/>
    </w:rPr>
  </w:style>
  <w:style w:type="character" w:styleId="Strong">
    <w:name w:val="Strong"/>
    <w:basedOn w:val="DefaultParagraphFont"/>
    <w:uiPriority w:val="22"/>
    <w:qFormat/>
    <w:rsid w:val="003603B2"/>
    <w:rPr>
      <w:b/>
      <w:bCs/>
    </w:rPr>
  </w:style>
  <w:style w:type="character" w:styleId="Emphasis">
    <w:name w:val="Emphasis"/>
    <w:basedOn w:val="DefaultParagraphFont"/>
    <w:uiPriority w:val="20"/>
    <w:qFormat/>
    <w:rsid w:val="003603B2"/>
    <w:rPr>
      <w:i/>
      <w:iCs/>
    </w:rPr>
  </w:style>
  <w:style w:type="paragraph" w:styleId="NoSpacing">
    <w:name w:val="No Spacing"/>
    <w:link w:val="NoSpacingChar"/>
    <w:uiPriority w:val="1"/>
    <w:qFormat/>
    <w:rsid w:val="003603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603B2"/>
    <w:rPr>
      <w:rFonts w:eastAsiaTheme="minorEastAsia"/>
      <w:lang w:val="en-US" w:eastAsia="ja-JP"/>
    </w:rPr>
  </w:style>
  <w:style w:type="paragraph" w:styleId="ListParagraph">
    <w:name w:val="List Paragraph"/>
    <w:basedOn w:val="Normal"/>
    <w:uiPriority w:val="34"/>
    <w:qFormat/>
    <w:rsid w:val="003603B2"/>
    <w:pPr>
      <w:spacing w:after="200" w:line="276" w:lineRule="auto"/>
      <w:ind w:left="720"/>
      <w:contextualSpacing/>
    </w:pPr>
    <w:rPr>
      <w:rFonts w:asciiTheme="minorHAnsi" w:hAnsiTheme="minorHAnsi"/>
      <w:sz w:val="22"/>
      <w:szCs w:val="22"/>
      <w:lang w:eastAsia="en-US"/>
    </w:rPr>
  </w:style>
  <w:style w:type="paragraph" w:styleId="TOCHeading">
    <w:name w:val="TOC Heading"/>
    <w:basedOn w:val="Heading1"/>
    <w:next w:val="Normal"/>
    <w:uiPriority w:val="39"/>
    <w:unhideWhenUsed/>
    <w:qFormat/>
    <w:rsid w:val="003603B2"/>
    <w:pPr>
      <w:outlineLvl w:val="9"/>
    </w:pPr>
    <w:rPr>
      <w:lang w:val="en-US" w:eastAsia="ja-JP"/>
    </w:rPr>
  </w:style>
  <w:style w:type="table" w:customStyle="1" w:styleId="TableGrid7">
    <w:name w:val="Table Grid7"/>
    <w:basedOn w:val="TableNormal"/>
    <w:next w:val="TableGrid"/>
    <w:uiPriority w:val="59"/>
    <w:rsid w:val="00141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41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05E2B"/>
    <w:rPr>
      <w:sz w:val="20"/>
      <w:szCs w:val="20"/>
    </w:rPr>
  </w:style>
  <w:style w:type="character" w:customStyle="1" w:styleId="CommentTextChar">
    <w:name w:val="Comment Text Char"/>
    <w:basedOn w:val="DefaultParagraphFont"/>
    <w:link w:val="CommentText"/>
    <w:uiPriority w:val="99"/>
    <w:semiHidden/>
    <w:rsid w:val="00D05E2B"/>
    <w:rPr>
      <w:rFonts w:ascii="Times New Roman" w:hAnsi="Times New Roman"/>
      <w:sz w:val="20"/>
      <w:szCs w:val="20"/>
      <w:lang w:eastAsia="en-GB"/>
    </w:rPr>
  </w:style>
  <w:style w:type="character" w:styleId="CommentReference">
    <w:name w:val="annotation reference"/>
    <w:basedOn w:val="DefaultParagraphFont"/>
    <w:uiPriority w:val="99"/>
    <w:semiHidden/>
    <w:unhideWhenUsed/>
    <w:rsid w:val="00D05E2B"/>
    <w:rPr>
      <w:sz w:val="16"/>
      <w:szCs w:val="16"/>
    </w:rPr>
  </w:style>
  <w:style w:type="paragraph" w:styleId="BalloonText">
    <w:name w:val="Balloon Text"/>
    <w:basedOn w:val="Normal"/>
    <w:link w:val="BalloonTextChar"/>
    <w:uiPriority w:val="99"/>
    <w:semiHidden/>
    <w:unhideWhenUsed/>
    <w:rsid w:val="00D05E2B"/>
    <w:rPr>
      <w:rFonts w:ascii="Tahoma" w:hAnsi="Tahoma" w:cs="Tahoma"/>
      <w:sz w:val="16"/>
      <w:szCs w:val="16"/>
    </w:rPr>
  </w:style>
  <w:style w:type="character" w:customStyle="1" w:styleId="BalloonTextChar">
    <w:name w:val="Balloon Text Char"/>
    <w:basedOn w:val="DefaultParagraphFont"/>
    <w:link w:val="BalloonText"/>
    <w:uiPriority w:val="99"/>
    <w:semiHidden/>
    <w:rsid w:val="00D05E2B"/>
    <w:rPr>
      <w:rFonts w:ascii="Tahoma" w:hAnsi="Tahoma" w:cs="Tahoma"/>
      <w:sz w:val="16"/>
      <w:szCs w:val="16"/>
      <w:lang w:eastAsia="en-GB"/>
    </w:rPr>
  </w:style>
  <w:style w:type="paragraph" w:customStyle="1" w:styleId="EndNoteBibliographyTitle">
    <w:name w:val="EndNote Bibliography Title"/>
    <w:basedOn w:val="Normal"/>
    <w:rsid w:val="00811C4A"/>
    <w:pPr>
      <w:jc w:val="center"/>
    </w:pPr>
  </w:style>
  <w:style w:type="paragraph" w:customStyle="1" w:styleId="EndNoteBibliography">
    <w:name w:val="EndNote Bibliography"/>
    <w:basedOn w:val="Normal"/>
    <w:rsid w:val="00811C4A"/>
    <w:pPr>
      <w:jc w:val="both"/>
    </w:pPr>
  </w:style>
  <w:style w:type="character" w:styleId="LineNumber">
    <w:name w:val="line number"/>
    <w:basedOn w:val="DefaultParagraphFont"/>
    <w:uiPriority w:val="99"/>
    <w:semiHidden/>
    <w:unhideWhenUsed/>
    <w:rsid w:val="00DA2F77"/>
  </w:style>
  <w:style w:type="paragraph" w:styleId="Header">
    <w:name w:val="header"/>
    <w:basedOn w:val="Normal"/>
    <w:link w:val="HeaderChar"/>
    <w:uiPriority w:val="99"/>
    <w:unhideWhenUsed/>
    <w:rsid w:val="00151171"/>
    <w:pPr>
      <w:tabs>
        <w:tab w:val="center" w:pos="4513"/>
        <w:tab w:val="right" w:pos="9026"/>
      </w:tabs>
    </w:pPr>
  </w:style>
  <w:style w:type="character" w:customStyle="1" w:styleId="HeaderChar">
    <w:name w:val="Header Char"/>
    <w:basedOn w:val="DefaultParagraphFont"/>
    <w:link w:val="Header"/>
    <w:uiPriority w:val="99"/>
    <w:rsid w:val="00151171"/>
    <w:rPr>
      <w:rFonts w:ascii="Times New Roman" w:hAnsi="Times New Roman"/>
      <w:sz w:val="24"/>
      <w:szCs w:val="24"/>
      <w:lang w:eastAsia="en-GB"/>
    </w:rPr>
  </w:style>
  <w:style w:type="paragraph" w:styleId="Footer">
    <w:name w:val="footer"/>
    <w:basedOn w:val="Normal"/>
    <w:link w:val="FooterChar"/>
    <w:uiPriority w:val="99"/>
    <w:unhideWhenUsed/>
    <w:rsid w:val="00151171"/>
    <w:pPr>
      <w:tabs>
        <w:tab w:val="center" w:pos="4513"/>
        <w:tab w:val="right" w:pos="9026"/>
      </w:tabs>
    </w:pPr>
  </w:style>
  <w:style w:type="character" w:customStyle="1" w:styleId="FooterChar">
    <w:name w:val="Footer Char"/>
    <w:basedOn w:val="DefaultParagraphFont"/>
    <w:link w:val="Footer"/>
    <w:uiPriority w:val="99"/>
    <w:rsid w:val="00151171"/>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B2"/>
    <w:pPr>
      <w:spacing w:after="0" w:line="240" w:lineRule="auto"/>
    </w:pPr>
    <w:rPr>
      <w:rFonts w:ascii="Times New Roman" w:hAnsi="Times New Roman"/>
      <w:sz w:val="24"/>
      <w:szCs w:val="24"/>
      <w:lang w:eastAsia="en-GB"/>
    </w:rPr>
  </w:style>
  <w:style w:type="paragraph" w:styleId="Heading1">
    <w:name w:val="heading 1"/>
    <w:basedOn w:val="Normal"/>
    <w:next w:val="Normal"/>
    <w:link w:val="Heading1Char"/>
    <w:uiPriority w:val="9"/>
    <w:qFormat/>
    <w:rsid w:val="003603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3603B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3603B2"/>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iPriority w:val="9"/>
    <w:unhideWhenUsed/>
    <w:qFormat/>
    <w:rsid w:val="003603B2"/>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Heading5">
    <w:name w:val="heading 5"/>
    <w:basedOn w:val="Normal"/>
    <w:next w:val="Normal"/>
    <w:link w:val="Heading5Char"/>
    <w:uiPriority w:val="9"/>
    <w:unhideWhenUsed/>
    <w:qFormat/>
    <w:rsid w:val="003603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3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03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03B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603B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603B2"/>
    <w:rPr>
      <w:rFonts w:asciiTheme="majorHAnsi" w:eastAsiaTheme="majorEastAsia" w:hAnsiTheme="majorHAnsi" w:cstheme="majorBidi"/>
      <w:color w:val="365F91" w:themeColor="accent1" w:themeShade="BF"/>
      <w:sz w:val="24"/>
      <w:szCs w:val="24"/>
      <w:lang w:eastAsia="en-GB"/>
    </w:rPr>
  </w:style>
  <w:style w:type="paragraph" w:styleId="TOC1">
    <w:name w:val="toc 1"/>
    <w:basedOn w:val="Normal"/>
    <w:next w:val="Normal"/>
    <w:autoRedefine/>
    <w:uiPriority w:val="39"/>
    <w:unhideWhenUsed/>
    <w:qFormat/>
    <w:rsid w:val="003603B2"/>
    <w:pPr>
      <w:spacing w:after="100" w:line="276" w:lineRule="auto"/>
    </w:pPr>
    <w:rPr>
      <w:rFonts w:asciiTheme="minorHAnsi" w:hAnsiTheme="minorHAnsi"/>
      <w:sz w:val="22"/>
      <w:szCs w:val="22"/>
      <w:lang w:eastAsia="en-US"/>
    </w:rPr>
  </w:style>
  <w:style w:type="paragraph" w:styleId="TOC2">
    <w:name w:val="toc 2"/>
    <w:basedOn w:val="Normal"/>
    <w:next w:val="Normal"/>
    <w:autoRedefine/>
    <w:uiPriority w:val="39"/>
    <w:unhideWhenUsed/>
    <w:qFormat/>
    <w:rsid w:val="003603B2"/>
    <w:pPr>
      <w:spacing w:after="100" w:line="276" w:lineRule="auto"/>
      <w:ind w:left="220"/>
    </w:pPr>
    <w:rPr>
      <w:rFonts w:asciiTheme="minorHAnsi" w:hAnsiTheme="minorHAnsi"/>
      <w:sz w:val="22"/>
      <w:szCs w:val="22"/>
      <w:lang w:eastAsia="en-US"/>
    </w:rPr>
  </w:style>
  <w:style w:type="paragraph" w:styleId="TOC3">
    <w:name w:val="toc 3"/>
    <w:basedOn w:val="Normal"/>
    <w:next w:val="Normal"/>
    <w:autoRedefine/>
    <w:uiPriority w:val="39"/>
    <w:unhideWhenUsed/>
    <w:qFormat/>
    <w:rsid w:val="003603B2"/>
    <w:pPr>
      <w:spacing w:after="100" w:line="276" w:lineRule="auto"/>
      <w:ind w:left="440"/>
    </w:pPr>
    <w:rPr>
      <w:rFonts w:asciiTheme="minorHAnsi" w:hAnsiTheme="minorHAnsi"/>
      <w:sz w:val="22"/>
      <w:szCs w:val="22"/>
      <w:lang w:eastAsia="en-US"/>
    </w:rPr>
  </w:style>
  <w:style w:type="paragraph" w:styleId="Caption">
    <w:name w:val="caption"/>
    <w:basedOn w:val="Normal"/>
    <w:next w:val="Normal"/>
    <w:uiPriority w:val="35"/>
    <w:unhideWhenUsed/>
    <w:qFormat/>
    <w:rsid w:val="003603B2"/>
    <w:pPr>
      <w:spacing w:after="200"/>
    </w:pPr>
    <w:rPr>
      <w:rFonts w:asciiTheme="minorHAnsi" w:eastAsiaTheme="minorEastAsia" w:hAnsiTheme="minorHAnsi"/>
      <w:b/>
      <w:bCs/>
      <w:color w:val="4F81BD" w:themeColor="accent1"/>
      <w:sz w:val="18"/>
      <w:szCs w:val="18"/>
      <w:lang w:val="en-US" w:eastAsia="en-US"/>
    </w:rPr>
  </w:style>
  <w:style w:type="character" w:styleId="Strong">
    <w:name w:val="Strong"/>
    <w:basedOn w:val="DefaultParagraphFont"/>
    <w:uiPriority w:val="22"/>
    <w:qFormat/>
    <w:rsid w:val="003603B2"/>
    <w:rPr>
      <w:b/>
      <w:bCs/>
    </w:rPr>
  </w:style>
  <w:style w:type="character" w:styleId="Emphasis">
    <w:name w:val="Emphasis"/>
    <w:basedOn w:val="DefaultParagraphFont"/>
    <w:uiPriority w:val="20"/>
    <w:qFormat/>
    <w:rsid w:val="003603B2"/>
    <w:rPr>
      <w:i/>
      <w:iCs/>
    </w:rPr>
  </w:style>
  <w:style w:type="paragraph" w:styleId="NoSpacing">
    <w:name w:val="No Spacing"/>
    <w:link w:val="NoSpacingChar"/>
    <w:uiPriority w:val="1"/>
    <w:qFormat/>
    <w:rsid w:val="003603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603B2"/>
    <w:rPr>
      <w:rFonts w:eastAsiaTheme="minorEastAsia"/>
      <w:lang w:val="en-US" w:eastAsia="ja-JP"/>
    </w:rPr>
  </w:style>
  <w:style w:type="paragraph" w:styleId="ListParagraph">
    <w:name w:val="List Paragraph"/>
    <w:basedOn w:val="Normal"/>
    <w:uiPriority w:val="34"/>
    <w:qFormat/>
    <w:rsid w:val="003603B2"/>
    <w:pPr>
      <w:spacing w:after="200" w:line="276" w:lineRule="auto"/>
      <w:ind w:left="720"/>
      <w:contextualSpacing/>
    </w:pPr>
    <w:rPr>
      <w:rFonts w:asciiTheme="minorHAnsi" w:hAnsiTheme="minorHAnsi"/>
      <w:sz w:val="22"/>
      <w:szCs w:val="22"/>
      <w:lang w:eastAsia="en-US"/>
    </w:rPr>
  </w:style>
  <w:style w:type="paragraph" w:styleId="TOCHeading">
    <w:name w:val="TOC Heading"/>
    <w:basedOn w:val="Heading1"/>
    <w:next w:val="Normal"/>
    <w:uiPriority w:val="39"/>
    <w:unhideWhenUsed/>
    <w:qFormat/>
    <w:rsid w:val="003603B2"/>
    <w:pPr>
      <w:outlineLvl w:val="9"/>
    </w:pPr>
    <w:rPr>
      <w:lang w:val="en-US" w:eastAsia="ja-JP"/>
    </w:rPr>
  </w:style>
  <w:style w:type="table" w:customStyle="1" w:styleId="TableGrid7">
    <w:name w:val="Table Grid7"/>
    <w:basedOn w:val="TableNormal"/>
    <w:next w:val="TableGrid"/>
    <w:uiPriority w:val="59"/>
    <w:rsid w:val="00141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41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05E2B"/>
    <w:rPr>
      <w:sz w:val="20"/>
      <w:szCs w:val="20"/>
    </w:rPr>
  </w:style>
  <w:style w:type="character" w:customStyle="1" w:styleId="CommentTextChar">
    <w:name w:val="Comment Text Char"/>
    <w:basedOn w:val="DefaultParagraphFont"/>
    <w:link w:val="CommentText"/>
    <w:uiPriority w:val="99"/>
    <w:semiHidden/>
    <w:rsid w:val="00D05E2B"/>
    <w:rPr>
      <w:rFonts w:ascii="Times New Roman" w:hAnsi="Times New Roman"/>
      <w:sz w:val="20"/>
      <w:szCs w:val="20"/>
      <w:lang w:eastAsia="en-GB"/>
    </w:rPr>
  </w:style>
  <w:style w:type="character" w:styleId="CommentReference">
    <w:name w:val="annotation reference"/>
    <w:basedOn w:val="DefaultParagraphFont"/>
    <w:uiPriority w:val="99"/>
    <w:semiHidden/>
    <w:unhideWhenUsed/>
    <w:rsid w:val="00D05E2B"/>
    <w:rPr>
      <w:sz w:val="16"/>
      <w:szCs w:val="16"/>
    </w:rPr>
  </w:style>
  <w:style w:type="paragraph" w:styleId="BalloonText">
    <w:name w:val="Balloon Text"/>
    <w:basedOn w:val="Normal"/>
    <w:link w:val="BalloonTextChar"/>
    <w:uiPriority w:val="99"/>
    <w:semiHidden/>
    <w:unhideWhenUsed/>
    <w:rsid w:val="00D05E2B"/>
    <w:rPr>
      <w:rFonts w:ascii="Tahoma" w:hAnsi="Tahoma" w:cs="Tahoma"/>
      <w:sz w:val="16"/>
      <w:szCs w:val="16"/>
    </w:rPr>
  </w:style>
  <w:style w:type="character" w:customStyle="1" w:styleId="BalloonTextChar">
    <w:name w:val="Balloon Text Char"/>
    <w:basedOn w:val="DefaultParagraphFont"/>
    <w:link w:val="BalloonText"/>
    <w:uiPriority w:val="99"/>
    <w:semiHidden/>
    <w:rsid w:val="00D05E2B"/>
    <w:rPr>
      <w:rFonts w:ascii="Tahoma" w:hAnsi="Tahoma" w:cs="Tahoma"/>
      <w:sz w:val="16"/>
      <w:szCs w:val="16"/>
      <w:lang w:eastAsia="en-GB"/>
    </w:rPr>
  </w:style>
  <w:style w:type="paragraph" w:customStyle="1" w:styleId="EndNoteBibliographyTitle">
    <w:name w:val="EndNote Bibliography Title"/>
    <w:basedOn w:val="Normal"/>
    <w:rsid w:val="00811C4A"/>
    <w:pPr>
      <w:jc w:val="center"/>
    </w:pPr>
  </w:style>
  <w:style w:type="paragraph" w:customStyle="1" w:styleId="EndNoteBibliography">
    <w:name w:val="EndNote Bibliography"/>
    <w:basedOn w:val="Normal"/>
    <w:rsid w:val="00811C4A"/>
    <w:pPr>
      <w:jc w:val="both"/>
    </w:pPr>
  </w:style>
  <w:style w:type="character" w:styleId="LineNumber">
    <w:name w:val="line number"/>
    <w:basedOn w:val="DefaultParagraphFont"/>
    <w:uiPriority w:val="99"/>
    <w:semiHidden/>
    <w:unhideWhenUsed/>
    <w:rsid w:val="00DA2F77"/>
  </w:style>
  <w:style w:type="paragraph" w:styleId="Header">
    <w:name w:val="header"/>
    <w:basedOn w:val="Normal"/>
    <w:link w:val="HeaderChar"/>
    <w:uiPriority w:val="99"/>
    <w:unhideWhenUsed/>
    <w:rsid w:val="00151171"/>
    <w:pPr>
      <w:tabs>
        <w:tab w:val="center" w:pos="4513"/>
        <w:tab w:val="right" w:pos="9026"/>
      </w:tabs>
    </w:pPr>
  </w:style>
  <w:style w:type="character" w:customStyle="1" w:styleId="HeaderChar">
    <w:name w:val="Header Char"/>
    <w:basedOn w:val="DefaultParagraphFont"/>
    <w:link w:val="Header"/>
    <w:uiPriority w:val="99"/>
    <w:rsid w:val="00151171"/>
    <w:rPr>
      <w:rFonts w:ascii="Times New Roman" w:hAnsi="Times New Roman"/>
      <w:sz w:val="24"/>
      <w:szCs w:val="24"/>
      <w:lang w:eastAsia="en-GB"/>
    </w:rPr>
  </w:style>
  <w:style w:type="paragraph" w:styleId="Footer">
    <w:name w:val="footer"/>
    <w:basedOn w:val="Normal"/>
    <w:link w:val="FooterChar"/>
    <w:uiPriority w:val="99"/>
    <w:unhideWhenUsed/>
    <w:rsid w:val="00151171"/>
    <w:pPr>
      <w:tabs>
        <w:tab w:val="center" w:pos="4513"/>
        <w:tab w:val="right" w:pos="9026"/>
      </w:tabs>
    </w:pPr>
  </w:style>
  <w:style w:type="character" w:customStyle="1" w:styleId="FooterChar">
    <w:name w:val="Footer Char"/>
    <w:basedOn w:val="DefaultParagraphFont"/>
    <w:link w:val="Footer"/>
    <w:uiPriority w:val="99"/>
    <w:rsid w:val="00151171"/>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Ravi</dc:creator>
  <cp:lastModifiedBy>Arjun Ravi</cp:lastModifiedBy>
  <cp:revision>3</cp:revision>
  <dcterms:created xsi:type="dcterms:W3CDTF">2017-03-21T15:14:00Z</dcterms:created>
  <dcterms:modified xsi:type="dcterms:W3CDTF">2017-03-22T05:55:00Z</dcterms:modified>
</cp:coreProperties>
</file>