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9A" w:rsidRPr="008B7753" w:rsidRDefault="00FF04A4" w:rsidP="003D379A">
      <w:pPr>
        <w:spacing w:after="0" w:line="480" w:lineRule="auto"/>
        <w:rPr>
          <w:b/>
        </w:rPr>
      </w:pPr>
      <w:r>
        <w:rPr>
          <w:b/>
        </w:rPr>
        <w:t>S</w:t>
      </w:r>
      <w:r w:rsidRPr="008B7753">
        <w:rPr>
          <w:b/>
        </w:rPr>
        <w:t>1</w:t>
      </w:r>
      <w:r w:rsidR="003F732C">
        <w:rPr>
          <w:b/>
        </w:rPr>
        <w:t xml:space="preserve"> </w:t>
      </w:r>
      <w:r w:rsidR="003D379A" w:rsidRPr="008B7753">
        <w:rPr>
          <w:b/>
        </w:rPr>
        <w:t>Table.</w:t>
      </w:r>
      <w:r w:rsidR="003D379A" w:rsidRPr="008B7753">
        <w:t xml:space="preserve"> Univariable odds ratios (95% confidence intervals) for risk factors of hypokalemia and hyperkalemia in 5,130 participants of the </w:t>
      </w:r>
      <w:r w:rsidR="003B6D46" w:rsidRPr="00033011">
        <w:t>Prevention of Renal and Vascular End-stage Disease (PREVEND) study</w:t>
      </w:r>
      <w:r w:rsidR="003D379A" w:rsidRPr="008B7753">
        <w:t>.</w:t>
      </w:r>
    </w:p>
    <w:tbl>
      <w:tblPr>
        <w:tblW w:w="15064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410"/>
        <w:gridCol w:w="2268"/>
        <w:gridCol w:w="1418"/>
        <w:gridCol w:w="2268"/>
        <w:gridCol w:w="2056"/>
      </w:tblGrid>
      <w:tr w:rsidR="003D379A" w:rsidRPr="008B7753" w:rsidTr="006E1C9B">
        <w:trPr>
          <w:trHeight w:val="316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b/>
                <w:lang w:eastAsia="nl-NL"/>
              </w:rPr>
            </w:pPr>
            <w:r w:rsidRPr="008B7753">
              <w:rPr>
                <w:b/>
                <w:lang w:eastAsia="nl-NL"/>
              </w:rPr>
              <w:t>Plasma potassium, mmol/L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tabs>
                <w:tab w:val="left" w:pos="645"/>
                <w:tab w:val="center" w:pos="884"/>
              </w:tabs>
              <w:spacing w:after="0" w:line="480" w:lineRule="auto"/>
              <w:rPr>
                <w:lang w:eastAsia="nl-NL"/>
              </w:rPr>
            </w:pPr>
            <w:r w:rsidRPr="008B7753">
              <w:rPr>
                <w:lang w:eastAsia="nl-NL"/>
              </w:rPr>
              <w:tab/>
              <w:t>2.3-3.4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eastAsia="nl-NL"/>
              </w:rPr>
            </w:pPr>
            <w:r w:rsidRPr="008B7753">
              <w:rPr>
                <w:lang w:eastAsia="nl-NL"/>
              </w:rPr>
              <w:t>3.5-3.9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eastAsia="nl-NL"/>
              </w:rPr>
            </w:pPr>
            <w:r w:rsidRPr="008B7753">
              <w:rPr>
                <w:lang w:eastAsia="nl-NL"/>
              </w:rPr>
              <w:t>4.0-4.4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eastAsia="nl-NL"/>
              </w:rPr>
            </w:pPr>
            <w:r w:rsidRPr="008B7753">
              <w:rPr>
                <w:lang w:eastAsia="nl-NL"/>
              </w:rPr>
              <w:t>4.5-4.9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eastAsia="nl-NL"/>
              </w:rPr>
            </w:pPr>
            <w:r w:rsidRPr="008B7753">
              <w:rPr>
                <w:lang w:eastAsia="nl-NL"/>
              </w:rPr>
              <w:t>5.0-6.3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 xml:space="preserve">Sex, female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male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4.05 (1.38-11.87)*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1.81 (1.45-2.26)***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0.76 (0.67-0.85)***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0.71 (0.53-0.95)*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rPr>
                <w:lang w:eastAsia="nl-NL"/>
              </w:rPr>
              <w:t>Age, y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1.04 (1.00-1.07)*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(1.00-1.01)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(1.00-1.01)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(0.99-1.02)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rPr>
                <w:vertAlign w:val="superscript"/>
              </w:rPr>
            </w:pPr>
            <w:r w:rsidRPr="008B7753">
              <w:t>BMI, kg/m</w:t>
            </w:r>
            <w:r w:rsidRPr="008B7753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1.04 (0.95-1.14)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(0.97-1.03)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0.99 (0.98-1.01)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0.98 (0.94-1.02)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tabs>
                <w:tab w:val="right" w:pos="2586"/>
              </w:tabs>
              <w:spacing w:after="0" w:line="480" w:lineRule="auto"/>
            </w:pPr>
            <w:r w:rsidRPr="008B7753">
              <w:t>eGFR, ml/min/1.73m</w:t>
            </w:r>
            <w:r w:rsidRPr="008B7753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0.97 (0.95-1.00)*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1.01 (1.00-1.01)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0.99 (0.99-1.00)***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0.99 (0.98-1.00)**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tabs>
                <w:tab w:val="right" w:pos="2586"/>
              </w:tabs>
              <w:spacing w:after="0" w:line="480" w:lineRule="auto"/>
            </w:pPr>
            <w:r w:rsidRPr="008B7753">
              <w:t xml:space="preserve">Current smoker,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0.83 (0.33-2.09)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0.56 (0.43-0.72)***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1.54 (1.36-1.75)***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1.35 (0.99-1.83)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tabs>
                <w:tab w:val="right" w:pos="2586"/>
              </w:tabs>
              <w:spacing w:after="0" w:line="480" w:lineRule="auto"/>
            </w:pPr>
            <w:r w:rsidRPr="008B7753">
              <w:t xml:space="preserve">Alcohol consumption,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3.22 (1.44-7.20)**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1.27 (1.00-1.60)*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0.91 (0.79-1.05)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0.69 (0.47-1.01)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tabs>
                <w:tab w:val="right" w:pos="2586"/>
              </w:tabs>
              <w:spacing w:after="0" w:line="480" w:lineRule="auto"/>
            </w:pPr>
            <w:r w:rsidRPr="008B7753">
              <w:t xml:space="preserve">Education, high,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0.20 (0.05-0.86)*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0.88 (0.70-1.10)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0.96 (0.84-1.09)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1.04 (0.76-1.42)</w:t>
            </w:r>
          </w:p>
        </w:tc>
      </w:tr>
      <w:tr w:rsidR="003D379A" w:rsidRPr="008B7753" w:rsidTr="006E1C9B">
        <w:trPr>
          <w:trHeight w:val="316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tabs>
                <w:tab w:val="right" w:pos="2586"/>
              </w:tabs>
              <w:spacing w:after="0" w:line="480" w:lineRule="auto"/>
            </w:pPr>
            <w:r w:rsidRPr="008B7753">
              <w:t xml:space="preserve">White,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0.25 (0.03-1.92)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0.62 (0.27-1.41)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2.96 (1.23-7.12)*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-</w:t>
            </w:r>
          </w:p>
        </w:tc>
      </w:tr>
      <w:tr w:rsidR="003D379A" w:rsidRPr="008B7753" w:rsidTr="006E1C9B">
        <w:trPr>
          <w:trHeight w:val="337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 xml:space="preserve">Type 2 diabetes,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C02E7">
            <w:pPr>
              <w:suppressLineNumbers/>
              <w:spacing w:after="0" w:line="480" w:lineRule="auto"/>
              <w:jc w:val="center"/>
            </w:pPr>
            <w:r w:rsidRPr="008B7753">
              <w:t>16.22 (5.27-</w:t>
            </w:r>
            <w:r w:rsidR="005C02E7">
              <w:t>4</w:t>
            </w:r>
            <w:r w:rsidRPr="008B7753">
              <w:t>9.91)***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2.06 (1.0-4.19)*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1.72 (1.07-2.77)*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1.28 (0.39-4.20)</w:t>
            </w:r>
          </w:p>
        </w:tc>
      </w:tr>
      <w:tr w:rsidR="003D379A" w:rsidRPr="008B7753" w:rsidTr="006E1C9B">
        <w:trPr>
          <w:trHeight w:val="337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rPr>
                <w:lang w:eastAsia="nl-NL"/>
              </w:rPr>
              <w:t xml:space="preserve">Hypertension, </w:t>
            </w:r>
            <w:r w:rsidRPr="008B7753">
              <w:t xml:space="preserve">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7.96 (3.13-20.26)***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1.49 (1.19-1.86)**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0.91 (0.79-1.04)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0.87 (0.62-1.23)</w:t>
            </w:r>
          </w:p>
        </w:tc>
      </w:tr>
      <w:tr w:rsidR="003D379A" w:rsidRPr="008B7753" w:rsidTr="006E1C9B">
        <w:trPr>
          <w:trHeight w:val="337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rPr>
                <w:lang w:val="es-ES" w:eastAsia="nl-NL"/>
              </w:rPr>
            </w:pPr>
            <w:r w:rsidRPr="008B7753">
              <w:rPr>
                <w:lang w:val="es-ES" w:eastAsia="nl-NL"/>
              </w:rPr>
              <w:t xml:space="preserve">ACEi, </w:t>
            </w:r>
            <w:r w:rsidRPr="008B7753">
              <w:rPr>
                <w:lang w:val="es-ES"/>
              </w:rPr>
              <w:t>yes vs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1.60 (0.21-12.10)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1.60 (0.95-2.70)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0.83 (0.56-1.23)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0.80 (0.29-2.21)</w:t>
            </w:r>
          </w:p>
        </w:tc>
      </w:tr>
      <w:tr w:rsidR="003D379A" w:rsidRPr="008B7753" w:rsidTr="006E1C9B">
        <w:trPr>
          <w:trHeight w:val="337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rPr>
                <w:lang w:val="es-ES" w:eastAsia="nl-NL"/>
              </w:rPr>
            </w:pPr>
            <w:r w:rsidRPr="008B7753">
              <w:rPr>
                <w:lang w:val="es-ES" w:eastAsia="nl-NL"/>
              </w:rPr>
              <w:t xml:space="preserve">ARB, </w:t>
            </w:r>
            <w:r w:rsidRPr="008B7753">
              <w:rPr>
                <w:lang w:val="es-ES"/>
              </w:rPr>
              <w:t>yes vs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-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1.51 (0.33-7.04)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  <w:rPr>
                <w:lang w:val="es-ES"/>
              </w:rPr>
            </w:pPr>
            <w:r w:rsidRPr="008B7753">
              <w:rPr>
                <w:lang w:val="es-ES"/>
              </w:rPr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1.56 (0.60-4.06)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1.75 (0.22-13.89)</w:t>
            </w:r>
          </w:p>
        </w:tc>
      </w:tr>
      <w:tr w:rsidR="003D379A" w:rsidRPr="008B7753" w:rsidTr="006E1C9B">
        <w:trPr>
          <w:trHeight w:val="337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rPr>
                <w:lang w:eastAsia="nl-NL"/>
              </w:rPr>
            </w:pPr>
            <w:r w:rsidRPr="008B7753">
              <w:rPr>
                <w:lang w:eastAsia="nl-NL"/>
              </w:rPr>
              <w:lastRenderedPageBreak/>
              <w:t xml:space="preserve">Beta blockers, </w:t>
            </w:r>
            <w:r w:rsidRPr="008B7753">
              <w:t xml:space="preserve">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5.72 (2.05-15.96)***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1.50 (0.99-2.28)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1.06 (0.80-1.41)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1.30 (0.69-2.46)</w:t>
            </w:r>
          </w:p>
        </w:tc>
      </w:tr>
      <w:tr w:rsidR="003D379A" w:rsidRPr="008B7753" w:rsidTr="006E1C9B">
        <w:trPr>
          <w:trHeight w:val="337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 xml:space="preserve">Thiazide diuretics,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23.98 (8.80-65.37)***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6.03 (3.80-9.56)***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0.32 (0.15-0.70)**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0.36 (0.05-2.64)</w:t>
            </w:r>
          </w:p>
        </w:tc>
      </w:tr>
      <w:tr w:rsidR="003D379A" w:rsidRPr="008B7753" w:rsidTr="006E1C9B">
        <w:trPr>
          <w:trHeight w:val="337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 xml:space="preserve">Loop diuretics,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16.05 (1.91-134.72)*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5.17 (1.78-14.99)**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1.54 (0.56-4.25)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1.97 (0.25-15.83)</w:t>
            </w:r>
          </w:p>
        </w:tc>
      </w:tr>
      <w:tr w:rsidR="003D379A" w:rsidRPr="008B7753" w:rsidTr="006E1C9B">
        <w:trPr>
          <w:trHeight w:val="332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 xml:space="preserve">Potassium-sparing diuretics, yes </w:t>
            </w:r>
            <w:proofErr w:type="spellStart"/>
            <w:r w:rsidRPr="008B7753">
              <w:t>vs</w:t>
            </w:r>
            <w:proofErr w:type="spellEnd"/>
            <w:r w:rsidRPr="008B7753">
              <w:t xml:space="preserve"> no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-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7.09 (3.59-14.02)***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0.41 (0.14-1.23)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3.77 (1.25-11.33)*</w:t>
            </w:r>
          </w:p>
        </w:tc>
      </w:tr>
      <w:tr w:rsidR="003D379A" w:rsidRPr="008B7753" w:rsidTr="006E1C9B">
        <w:trPr>
          <w:trHeight w:val="332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>Urinary potassium excretion, mmol/24h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0.96 (0.94-0.98)***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0.99 (0.98-1.00)***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(1.00-1.01)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1.01 (1.00-1.01)</w:t>
            </w:r>
          </w:p>
        </w:tc>
      </w:tr>
      <w:tr w:rsidR="003D379A" w:rsidRPr="008B7753" w:rsidTr="006E1C9B">
        <w:trPr>
          <w:trHeight w:val="332"/>
          <w:jc w:val="center"/>
        </w:trPr>
        <w:tc>
          <w:tcPr>
            <w:tcW w:w="4644" w:type="dxa"/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>Urinary magnesium excretion, mmol/24h</w:t>
            </w:r>
          </w:p>
        </w:tc>
        <w:tc>
          <w:tcPr>
            <w:tcW w:w="2410" w:type="dxa"/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0.55 (0.41-0.75)***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0.89 (0.83-0.95)**</w:t>
            </w:r>
          </w:p>
        </w:tc>
        <w:tc>
          <w:tcPr>
            <w:tcW w:w="141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1.05 (1.01-1.09)*</w:t>
            </w:r>
          </w:p>
        </w:tc>
        <w:tc>
          <w:tcPr>
            <w:tcW w:w="2056" w:type="dxa"/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1.13 (1.03-1.24)**</w:t>
            </w:r>
          </w:p>
        </w:tc>
      </w:tr>
      <w:tr w:rsidR="003D379A" w:rsidRPr="008B7753" w:rsidTr="006E1C9B">
        <w:trPr>
          <w:trHeight w:val="332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</w:pPr>
            <w:r w:rsidRPr="008B7753">
              <w:t>Urinary albumin excretion, mg/24h†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pStyle w:val="Tekstopmerking"/>
              <w:spacing w:after="0" w:line="480" w:lineRule="auto"/>
              <w:jc w:val="center"/>
            </w:pPr>
            <w:r w:rsidRPr="008B7753">
              <w:t>3.23 (1.48-7.04)**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1.14 (0.92-1.42)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1.00 (ref)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0.98 (0.86-1.11)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D379A" w:rsidRPr="008B7753" w:rsidRDefault="003D379A" w:rsidP="005F1E46">
            <w:pPr>
              <w:suppressLineNumbers/>
              <w:spacing w:after="0" w:line="480" w:lineRule="auto"/>
              <w:jc w:val="center"/>
            </w:pPr>
            <w:r w:rsidRPr="008B7753">
              <w:t>1.15 (0.85-1.56)</w:t>
            </w:r>
          </w:p>
        </w:tc>
      </w:tr>
    </w:tbl>
    <w:p w:rsidR="003D379A" w:rsidRPr="008B7753" w:rsidRDefault="003D379A" w:rsidP="003D379A">
      <w:pPr>
        <w:suppressLineNumbers/>
        <w:spacing w:after="0" w:line="480" w:lineRule="auto"/>
      </w:pPr>
      <w:r w:rsidRPr="008B7753">
        <w:t>O</w:t>
      </w:r>
      <w:r w:rsidR="00E871C2">
        <w:t>dds ratio</w:t>
      </w:r>
      <w:r w:rsidRPr="008B7753">
        <w:t xml:space="preserve">s (95% </w:t>
      </w:r>
      <w:r w:rsidR="00E871C2">
        <w:t>confidence intervals</w:t>
      </w:r>
      <w:r w:rsidRPr="008B7753">
        <w:t xml:space="preserve">) are calculated with multinomial regression analyses. </w:t>
      </w:r>
    </w:p>
    <w:p w:rsidR="003D379A" w:rsidRPr="008B7753" w:rsidRDefault="003D379A" w:rsidP="003D379A">
      <w:pPr>
        <w:suppressLineNumbers/>
        <w:spacing w:after="0" w:line="480" w:lineRule="auto"/>
      </w:pPr>
      <w:r w:rsidRPr="008B7753">
        <w:t>*</w:t>
      </w:r>
      <w:r w:rsidR="006E1C9B">
        <w:t xml:space="preserve"> </w:t>
      </w:r>
      <w:r w:rsidRPr="008B7753">
        <w:t>P&lt;0.05, **</w:t>
      </w:r>
      <w:r w:rsidR="006E1C9B">
        <w:t xml:space="preserve"> </w:t>
      </w:r>
      <w:r w:rsidRPr="008B7753">
        <w:t>P&lt;0.01, ***</w:t>
      </w:r>
      <w:r w:rsidR="006E1C9B">
        <w:t xml:space="preserve"> </w:t>
      </w:r>
      <w:r w:rsidRPr="008B7753">
        <w:t>P&lt;0.001.</w:t>
      </w:r>
    </w:p>
    <w:p w:rsidR="003D379A" w:rsidRPr="008B7753" w:rsidRDefault="003D379A" w:rsidP="003D379A">
      <w:pPr>
        <w:suppressLineNumbers/>
        <w:spacing w:after="0" w:line="480" w:lineRule="auto"/>
      </w:pPr>
      <w:r w:rsidRPr="008B7753">
        <w:t>†</w:t>
      </w:r>
      <w:r w:rsidR="006E1C9B">
        <w:t xml:space="preserve"> </w:t>
      </w:r>
      <w:r w:rsidRPr="008B7753">
        <w:t>Natural log(</w:t>
      </w:r>
      <w:proofErr w:type="spellStart"/>
      <w:r w:rsidRPr="008B7753">
        <w:t>ln</w:t>
      </w:r>
      <w:proofErr w:type="spellEnd"/>
      <w:r w:rsidRPr="008B7753">
        <w:t>)-transformed.</w:t>
      </w:r>
    </w:p>
    <w:p w:rsidR="003D379A" w:rsidRPr="008B7753" w:rsidRDefault="003D379A" w:rsidP="003D379A">
      <w:pPr>
        <w:spacing w:after="0" w:line="480" w:lineRule="auto"/>
        <w:rPr>
          <w:b/>
        </w:rPr>
      </w:pPr>
      <w:r w:rsidRPr="008B7753">
        <w:t>Abbreviations: ACEi, angiotensin converting enzyme inhibitor; ARB, angiotensin receptor blockers; BMI, body mass index; PREVEND, Prevention of Renal and Vascular End-Stage Disease.</w:t>
      </w:r>
      <w:bookmarkStart w:id="0" w:name="_GoBack"/>
      <w:bookmarkEnd w:id="0"/>
    </w:p>
    <w:sectPr w:rsidR="003D379A" w:rsidRPr="008B7753" w:rsidSect="003D3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0" w:rsidRDefault="00FD36D0" w:rsidP="003477C7">
      <w:pPr>
        <w:spacing w:after="0" w:line="240" w:lineRule="auto"/>
      </w:pPr>
      <w:r>
        <w:separator/>
      </w:r>
    </w:p>
  </w:endnote>
  <w:endnote w:type="continuationSeparator" w:id="0">
    <w:p w:rsidR="00FD36D0" w:rsidRDefault="00FD36D0" w:rsidP="003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D0" w:rsidRDefault="00FD36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62711"/>
      <w:docPartObj>
        <w:docPartGallery w:val="Page Numbers (Bottom of Page)"/>
        <w:docPartUnique/>
      </w:docPartObj>
    </w:sdtPr>
    <w:sdtEndPr/>
    <w:sdtContent>
      <w:p w:rsidR="00FD36D0" w:rsidRDefault="00FD36D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2C" w:rsidRPr="003F732C">
          <w:rPr>
            <w:noProof/>
            <w:lang w:val="nl-NL"/>
          </w:rPr>
          <w:t>1</w:t>
        </w:r>
        <w:r>
          <w:fldChar w:fldCharType="end"/>
        </w:r>
      </w:p>
    </w:sdtContent>
  </w:sdt>
  <w:p w:rsidR="00FD36D0" w:rsidRDefault="00FD36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D0" w:rsidRDefault="00FD36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0" w:rsidRDefault="00FD36D0" w:rsidP="003477C7">
      <w:pPr>
        <w:spacing w:after="0" w:line="240" w:lineRule="auto"/>
      </w:pPr>
      <w:r>
        <w:separator/>
      </w:r>
    </w:p>
  </w:footnote>
  <w:footnote w:type="continuationSeparator" w:id="0">
    <w:p w:rsidR="00FD36D0" w:rsidRDefault="00FD36D0" w:rsidP="0034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D0" w:rsidRDefault="00FD36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D0" w:rsidRDefault="0093059D">
    <w:pPr>
      <w:pStyle w:val="Koptekst"/>
    </w:pPr>
    <w:r>
      <w:t>Supporting</w:t>
    </w:r>
    <w:r w:rsidR="00FD36D0">
      <w:t xml:space="preserve">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D0" w:rsidRDefault="00FD36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A"/>
    <w:rsid w:val="00081FA2"/>
    <w:rsid w:val="00087F51"/>
    <w:rsid w:val="000B3E0D"/>
    <w:rsid w:val="00155A0F"/>
    <w:rsid w:val="001F4AB6"/>
    <w:rsid w:val="00202562"/>
    <w:rsid w:val="0023517E"/>
    <w:rsid w:val="002365A0"/>
    <w:rsid w:val="00260C38"/>
    <w:rsid w:val="002660C7"/>
    <w:rsid w:val="002806A3"/>
    <w:rsid w:val="002E4BB6"/>
    <w:rsid w:val="003405B9"/>
    <w:rsid w:val="003477C7"/>
    <w:rsid w:val="003B6D46"/>
    <w:rsid w:val="003B7D84"/>
    <w:rsid w:val="003C7A0F"/>
    <w:rsid w:val="003D379A"/>
    <w:rsid w:val="003F732C"/>
    <w:rsid w:val="00407C32"/>
    <w:rsid w:val="00431CC9"/>
    <w:rsid w:val="004809CA"/>
    <w:rsid w:val="0048752D"/>
    <w:rsid w:val="004C6B6B"/>
    <w:rsid w:val="004E3983"/>
    <w:rsid w:val="00523797"/>
    <w:rsid w:val="00540A65"/>
    <w:rsid w:val="005A4177"/>
    <w:rsid w:val="005B69A5"/>
    <w:rsid w:val="005C02E7"/>
    <w:rsid w:val="005D2835"/>
    <w:rsid w:val="005F1E46"/>
    <w:rsid w:val="00625C7E"/>
    <w:rsid w:val="00644677"/>
    <w:rsid w:val="00647A68"/>
    <w:rsid w:val="006B1848"/>
    <w:rsid w:val="006C3FF1"/>
    <w:rsid w:val="006E1C9B"/>
    <w:rsid w:val="006F46EB"/>
    <w:rsid w:val="006F6663"/>
    <w:rsid w:val="0070041E"/>
    <w:rsid w:val="00715D50"/>
    <w:rsid w:val="00763147"/>
    <w:rsid w:val="007739B6"/>
    <w:rsid w:val="007751CE"/>
    <w:rsid w:val="00792482"/>
    <w:rsid w:val="007D031C"/>
    <w:rsid w:val="0081701E"/>
    <w:rsid w:val="008C06CD"/>
    <w:rsid w:val="008C2ED9"/>
    <w:rsid w:val="008D3E3B"/>
    <w:rsid w:val="008E58C4"/>
    <w:rsid w:val="0093059D"/>
    <w:rsid w:val="00941F07"/>
    <w:rsid w:val="0095342A"/>
    <w:rsid w:val="00967D9A"/>
    <w:rsid w:val="00975EE5"/>
    <w:rsid w:val="00A07429"/>
    <w:rsid w:val="00A16D2A"/>
    <w:rsid w:val="00A221E7"/>
    <w:rsid w:val="00A22D1C"/>
    <w:rsid w:val="00A724DE"/>
    <w:rsid w:val="00A83B25"/>
    <w:rsid w:val="00A90D74"/>
    <w:rsid w:val="00A94E26"/>
    <w:rsid w:val="00A966F9"/>
    <w:rsid w:val="00AA1F6A"/>
    <w:rsid w:val="00AD661D"/>
    <w:rsid w:val="00B424A8"/>
    <w:rsid w:val="00B50072"/>
    <w:rsid w:val="00B7094A"/>
    <w:rsid w:val="00B716E6"/>
    <w:rsid w:val="00BC4499"/>
    <w:rsid w:val="00C27F19"/>
    <w:rsid w:val="00C33386"/>
    <w:rsid w:val="00C35AC4"/>
    <w:rsid w:val="00C43B36"/>
    <w:rsid w:val="00C82AA9"/>
    <w:rsid w:val="00C91809"/>
    <w:rsid w:val="00D16CE3"/>
    <w:rsid w:val="00D70668"/>
    <w:rsid w:val="00D820E7"/>
    <w:rsid w:val="00D82109"/>
    <w:rsid w:val="00D84212"/>
    <w:rsid w:val="00DC6A75"/>
    <w:rsid w:val="00DF69AC"/>
    <w:rsid w:val="00E120B4"/>
    <w:rsid w:val="00E246F0"/>
    <w:rsid w:val="00E362C5"/>
    <w:rsid w:val="00E43D07"/>
    <w:rsid w:val="00E62094"/>
    <w:rsid w:val="00E6273F"/>
    <w:rsid w:val="00E871C2"/>
    <w:rsid w:val="00E905F2"/>
    <w:rsid w:val="00E9620A"/>
    <w:rsid w:val="00EE4BF0"/>
    <w:rsid w:val="00EF056A"/>
    <w:rsid w:val="00EF5D77"/>
    <w:rsid w:val="00F20E27"/>
    <w:rsid w:val="00F36B0A"/>
    <w:rsid w:val="00F410D0"/>
    <w:rsid w:val="00F90B01"/>
    <w:rsid w:val="00FB004F"/>
    <w:rsid w:val="00FC1B6B"/>
    <w:rsid w:val="00FD1D19"/>
    <w:rsid w:val="00FD36D0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79A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rsid w:val="003D379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379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alweb">
    <w:name w:val="Normal (Web)"/>
    <w:basedOn w:val="Standaard"/>
    <w:uiPriority w:val="99"/>
    <w:rsid w:val="003D379A"/>
    <w:pPr>
      <w:spacing w:before="100" w:beforeAutospacing="1" w:after="100" w:afterAutospacing="1" w:line="240" w:lineRule="auto"/>
    </w:pPr>
    <w:rPr>
      <w:rFonts w:eastAsia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4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7C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4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7C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52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79A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rsid w:val="003D379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379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alweb">
    <w:name w:val="Normal (Web)"/>
    <w:basedOn w:val="Standaard"/>
    <w:uiPriority w:val="99"/>
    <w:rsid w:val="003D379A"/>
    <w:pPr>
      <w:spacing w:before="100" w:beforeAutospacing="1" w:after="100" w:afterAutospacing="1" w:line="240" w:lineRule="auto"/>
    </w:pPr>
    <w:rPr>
      <w:rFonts w:eastAsia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4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7C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4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7C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52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Universitair Medisch Centrum Groningen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Kieneker, LM (int)</dc:creator>
  <cp:lastModifiedBy>Kieneker, LM (int)</cp:lastModifiedBy>
  <cp:revision>3</cp:revision>
  <dcterms:created xsi:type="dcterms:W3CDTF">2017-03-16T09:54:00Z</dcterms:created>
  <dcterms:modified xsi:type="dcterms:W3CDTF">2017-03-16T09:57:00Z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12902</vt:lpwstr>
  </property>
  <property fmtid="{D5CDD505-2E9C-101B-9397-08002B2CF9AE}" pid="3" name="WnCSubscriberId">
    <vt:lpwstr>5225</vt:lpwstr>
  </property>
  <property fmtid="{D5CDD505-2E9C-101B-9397-08002B2CF9AE}" pid="4" name="WnCOutputStyleId">
    <vt:lpwstr>571</vt:lpwstr>
  </property>
  <property fmtid="{D5CDD505-2E9C-101B-9397-08002B2CF9AE}" pid="5" name="RWProductId">
    <vt:lpwstr>WnC</vt:lpwstr>
  </property>
  <property fmtid="{D5CDD505-2E9C-101B-9397-08002B2CF9AE}" pid="6" name="WnC4Folder">
    <vt:lpwstr>Documents///Supplementary Material_plasma potassium, diuretics and risk of developing chronic kidney disease_13-10</vt:lpwstr>
  </property>
</Properties>
</file>