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71" w:rsidRDefault="00794371" w:rsidP="000F2BDB">
      <w:pPr>
        <w:rPr>
          <w:lang w:val="en-US"/>
        </w:rPr>
      </w:pPr>
      <w:bookmarkStart w:id="0" w:name="_GoBack"/>
      <w:bookmarkEnd w:id="0"/>
    </w:p>
    <w:p w:rsidR="000F2BDB" w:rsidRPr="000F2BDB" w:rsidRDefault="00F366E4" w:rsidP="000F2BDB">
      <w:pPr>
        <w:rPr>
          <w:lang w:val="en-US"/>
        </w:rPr>
      </w:pPr>
      <w:r w:rsidRPr="000F2BDB">
        <w:rPr>
          <w:lang w:val="en-US"/>
        </w:rPr>
        <w:t>Supporting materials</w:t>
      </w:r>
      <w:r w:rsidR="000F2BDB" w:rsidRPr="000F2BDB">
        <w:rPr>
          <w:lang w:val="en-US"/>
        </w:rPr>
        <w:t xml:space="preserve"> </w:t>
      </w:r>
      <w:r w:rsidR="000F2BDB">
        <w:rPr>
          <w:lang w:val="en-US"/>
        </w:rPr>
        <w:t xml:space="preserve">for </w:t>
      </w:r>
      <w:r w:rsidR="000F2BDB" w:rsidRPr="000F2BDB">
        <w:rPr>
          <w:lang w:val="en-US"/>
        </w:rPr>
        <w:t>the manuscript</w:t>
      </w:r>
      <w:r w:rsidR="000F2BDB">
        <w:rPr>
          <w:lang w:val="en-US"/>
        </w:rPr>
        <w:t xml:space="preserve"> “</w:t>
      </w:r>
      <w:r w:rsidR="000F2BDB" w:rsidRPr="000F2BDB">
        <w:rPr>
          <w:bCs/>
          <w:lang w:val="en-US"/>
        </w:rPr>
        <w:t>Intravascular large B cell lymphoma associated with silicone breast implant, HLA-DRB1*11:01, and HLA-DQB1*03:01 manifesting as macrophage activating syndrome and with severe neurological symptoms: a case report</w:t>
      </w:r>
      <w:r w:rsidR="000F2BDB">
        <w:rPr>
          <w:bCs/>
          <w:lang w:val="en-US"/>
        </w:rPr>
        <w:t>”</w:t>
      </w:r>
    </w:p>
    <w:tbl>
      <w:tblPr>
        <w:tblW w:w="6941" w:type="dxa"/>
        <w:tblLayout w:type="fixed"/>
        <w:tblCellMar>
          <w:left w:w="10" w:type="dxa"/>
          <w:right w:w="10" w:type="dxa"/>
        </w:tblCellMar>
        <w:tblLook w:val="0000" w:firstRow="0" w:lastRow="0" w:firstColumn="0" w:lastColumn="0" w:noHBand="0" w:noVBand="0"/>
      </w:tblPr>
      <w:tblGrid>
        <w:gridCol w:w="2265"/>
        <w:gridCol w:w="709"/>
        <w:gridCol w:w="567"/>
        <w:gridCol w:w="851"/>
        <w:gridCol w:w="567"/>
        <w:gridCol w:w="706"/>
        <w:gridCol w:w="709"/>
        <w:gridCol w:w="567"/>
      </w:tblGrid>
      <w:tr w:rsidR="00A57376" w:rsidRPr="00182C8F" w:rsidTr="00A57376">
        <w:trPr>
          <w:trHeight w:val="459"/>
        </w:trPr>
        <w:tc>
          <w:tcPr>
            <w:tcW w:w="6941" w:type="dxa"/>
            <w:gridSpan w:val="8"/>
            <w:tcBorders>
              <w:top w:val="single" w:sz="4" w:space="0" w:color="auto"/>
              <w:left w:val="single" w:sz="4" w:space="0" w:color="auto"/>
              <w:bottom w:val="single" w:sz="2" w:space="0" w:color="000000"/>
              <w:right w:val="single" w:sz="4" w:space="0" w:color="auto"/>
            </w:tcBorders>
          </w:tcPr>
          <w:p w:rsidR="00A57376" w:rsidRDefault="00A57376" w:rsidP="000F2BDB">
            <w:pPr>
              <w:pStyle w:val="TableContents"/>
              <w:spacing w:line="360" w:lineRule="auto"/>
              <w:jc w:val="center"/>
              <w:rPr>
                <w:sz w:val="16"/>
                <w:szCs w:val="16"/>
              </w:rPr>
            </w:pPr>
            <w:r>
              <w:rPr>
                <w:sz w:val="16"/>
                <w:szCs w:val="16"/>
              </w:rPr>
              <w:t>Follow up laboratory data</w:t>
            </w:r>
          </w:p>
        </w:tc>
      </w:tr>
      <w:tr w:rsidR="00A57376" w:rsidTr="00A57376">
        <w:tc>
          <w:tcPr>
            <w:tcW w:w="2265" w:type="dxa"/>
            <w:tcBorders>
              <w:left w:val="single" w:sz="4" w:space="0" w:color="auto"/>
              <w:bottom w:val="single" w:sz="2" w:space="0" w:color="000000"/>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proofErr w:type="spellStart"/>
            <w:r>
              <w:rPr>
                <w:sz w:val="14"/>
                <w:szCs w:val="14"/>
              </w:rPr>
              <w:t>Analyte</w:t>
            </w:r>
            <w:proofErr w:type="spellEnd"/>
          </w:p>
        </w:tc>
        <w:tc>
          <w:tcPr>
            <w:tcW w:w="709" w:type="dxa"/>
            <w:tcBorders>
              <w:bottom w:val="single" w:sz="2" w:space="0" w:color="000000"/>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Reference</w:t>
            </w:r>
          </w:p>
        </w:tc>
        <w:tc>
          <w:tcPr>
            <w:tcW w:w="567" w:type="dxa"/>
            <w:tcBorders>
              <w:bottom w:val="single" w:sz="2" w:space="0" w:color="000000"/>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Month</w:t>
            </w:r>
          </w:p>
          <w:p w:rsidR="00A57376" w:rsidRDefault="00A57376" w:rsidP="006E695F">
            <w:pPr>
              <w:pStyle w:val="TableContents"/>
              <w:spacing w:line="360" w:lineRule="auto"/>
              <w:jc w:val="center"/>
              <w:rPr>
                <w:sz w:val="14"/>
                <w:szCs w:val="14"/>
              </w:rPr>
            </w:pPr>
            <w:r>
              <w:rPr>
                <w:sz w:val="14"/>
                <w:szCs w:val="14"/>
              </w:rPr>
              <w:t>4</w:t>
            </w:r>
          </w:p>
        </w:tc>
        <w:tc>
          <w:tcPr>
            <w:tcW w:w="851" w:type="dxa"/>
            <w:tcBorders>
              <w:bottom w:val="single" w:sz="2" w:space="0" w:color="000000"/>
            </w:tcBorders>
          </w:tcPr>
          <w:p w:rsidR="00A57376" w:rsidRDefault="00A57376" w:rsidP="006E695F">
            <w:pPr>
              <w:pStyle w:val="TableContents"/>
              <w:spacing w:line="360" w:lineRule="auto"/>
              <w:jc w:val="center"/>
              <w:rPr>
                <w:sz w:val="14"/>
                <w:szCs w:val="14"/>
              </w:rPr>
            </w:pPr>
            <w:r>
              <w:rPr>
                <w:sz w:val="14"/>
                <w:szCs w:val="14"/>
              </w:rPr>
              <w:t>Month</w:t>
            </w:r>
          </w:p>
          <w:p w:rsidR="00A57376" w:rsidRDefault="00A57376" w:rsidP="006E695F">
            <w:pPr>
              <w:pStyle w:val="TableContents"/>
              <w:spacing w:line="360" w:lineRule="auto"/>
              <w:jc w:val="center"/>
              <w:rPr>
                <w:sz w:val="14"/>
                <w:szCs w:val="14"/>
              </w:rPr>
            </w:pPr>
            <w:r>
              <w:rPr>
                <w:sz w:val="14"/>
                <w:szCs w:val="14"/>
              </w:rPr>
              <w:t>6</w:t>
            </w:r>
          </w:p>
        </w:tc>
        <w:tc>
          <w:tcPr>
            <w:tcW w:w="567" w:type="dxa"/>
            <w:tcBorders>
              <w:bottom w:val="single" w:sz="2" w:space="0" w:color="000000"/>
            </w:tcBorders>
          </w:tcPr>
          <w:p w:rsidR="00A57376" w:rsidRDefault="00A57376" w:rsidP="006E695F">
            <w:pPr>
              <w:pStyle w:val="TableContents"/>
              <w:spacing w:line="360" w:lineRule="auto"/>
              <w:jc w:val="center"/>
              <w:rPr>
                <w:sz w:val="14"/>
                <w:szCs w:val="14"/>
              </w:rPr>
            </w:pPr>
            <w:r>
              <w:rPr>
                <w:sz w:val="14"/>
                <w:szCs w:val="14"/>
              </w:rPr>
              <w:t>Month</w:t>
            </w:r>
          </w:p>
          <w:p w:rsidR="00A57376" w:rsidRDefault="00A57376" w:rsidP="006E695F">
            <w:pPr>
              <w:pStyle w:val="TableContents"/>
              <w:spacing w:line="360" w:lineRule="auto"/>
              <w:jc w:val="center"/>
              <w:rPr>
                <w:sz w:val="14"/>
                <w:szCs w:val="14"/>
              </w:rPr>
            </w:pPr>
            <w:r>
              <w:rPr>
                <w:sz w:val="14"/>
                <w:szCs w:val="14"/>
              </w:rPr>
              <w:t>9</w:t>
            </w:r>
          </w:p>
        </w:tc>
        <w:tc>
          <w:tcPr>
            <w:tcW w:w="706" w:type="dxa"/>
            <w:tcBorders>
              <w:bottom w:val="single" w:sz="2" w:space="0" w:color="000000"/>
            </w:tcBorders>
          </w:tcPr>
          <w:p w:rsidR="00A57376" w:rsidRDefault="00A57376" w:rsidP="006E695F">
            <w:pPr>
              <w:pStyle w:val="TableContents"/>
              <w:spacing w:line="360" w:lineRule="auto"/>
              <w:jc w:val="center"/>
              <w:rPr>
                <w:sz w:val="14"/>
                <w:szCs w:val="14"/>
              </w:rPr>
            </w:pPr>
            <w:r>
              <w:rPr>
                <w:sz w:val="14"/>
                <w:szCs w:val="14"/>
              </w:rPr>
              <w:t>Month</w:t>
            </w:r>
          </w:p>
          <w:p w:rsidR="00A57376" w:rsidRDefault="00A57376" w:rsidP="006E695F">
            <w:pPr>
              <w:pStyle w:val="TableContents"/>
              <w:spacing w:line="360" w:lineRule="auto"/>
              <w:jc w:val="center"/>
              <w:rPr>
                <w:sz w:val="14"/>
                <w:szCs w:val="14"/>
              </w:rPr>
            </w:pPr>
            <w:r>
              <w:rPr>
                <w:sz w:val="14"/>
                <w:szCs w:val="14"/>
              </w:rPr>
              <w:t>12</w:t>
            </w:r>
          </w:p>
        </w:tc>
        <w:tc>
          <w:tcPr>
            <w:tcW w:w="709" w:type="dxa"/>
            <w:tcBorders>
              <w:bottom w:val="single" w:sz="2" w:space="0" w:color="000000"/>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Month</w:t>
            </w:r>
          </w:p>
          <w:p w:rsidR="00A57376" w:rsidRDefault="00A57376" w:rsidP="006E695F">
            <w:pPr>
              <w:pStyle w:val="TableContents"/>
              <w:spacing w:line="360" w:lineRule="auto"/>
              <w:jc w:val="center"/>
              <w:rPr>
                <w:sz w:val="14"/>
                <w:szCs w:val="14"/>
              </w:rPr>
            </w:pPr>
            <w:r>
              <w:rPr>
                <w:sz w:val="14"/>
                <w:szCs w:val="14"/>
              </w:rPr>
              <w:t>15</w:t>
            </w:r>
          </w:p>
        </w:tc>
        <w:tc>
          <w:tcPr>
            <w:tcW w:w="567" w:type="dxa"/>
            <w:tcBorders>
              <w:bottom w:val="single" w:sz="2" w:space="0" w:color="000000"/>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Month</w:t>
            </w:r>
          </w:p>
          <w:p w:rsidR="00A57376" w:rsidRDefault="00A57376" w:rsidP="006E695F">
            <w:pPr>
              <w:pStyle w:val="TableContents"/>
              <w:spacing w:line="360" w:lineRule="auto"/>
              <w:jc w:val="center"/>
              <w:rPr>
                <w:sz w:val="14"/>
                <w:szCs w:val="14"/>
              </w:rPr>
            </w:pPr>
            <w:r>
              <w:rPr>
                <w:sz w:val="14"/>
                <w:szCs w:val="14"/>
              </w:rPr>
              <w:t>21</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pPr>
            <w:r>
              <w:rPr>
                <w:sz w:val="14"/>
                <w:szCs w:val="14"/>
              </w:rPr>
              <w:t>Leukocyte count (x10</w:t>
            </w:r>
            <w:r>
              <w:rPr>
                <w:sz w:val="14"/>
                <w:szCs w:val="14"/>
                <w:vertAlign w:val="superscript"/>
              </w:rPr>
              <w:t>3</w:t>
            </w:r>
            <w:r>
              <w:rPr>
                <w:sz w:val="14"/>
                <w:szCs w:val="14"/>
              </w:rPr>
              <w:t>/µL)</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4.3-11.0</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r>
              <w:rPr>
                <w:b/>
                <w:bCs/>
                <w:sz w:val="14"/>
                <w:szCs w:val="14"/>
              </w:rPr>
              <w:t>2.6</w:t>
            </w:r>
          </w:p>
        </w:tc>
        <w:tc>
          <w:tcPr>
            <w:tcW w:w="851" w:type="dxa"/>
          </w:tcPr>
          <w:p w:rsidR="00A57376" w:rsidRPr="00773C29" w:rsidRDefault="00A57376" w:rsidP="006E695F">
            <w:pPr>
              <w:pStyle w:val="TableContents"/>
              <w:spacing w:line="360" w:lineRule="auto"/>
              <w:jc w:val="center"/>
              <w:rPr>
                <w:bCs/>
                <w:sz w:val="14"/>
                <w:szCs w:val="14"/>
              </w:rPr>
            </w:pPr>
            <w:r>
              <w:rPr>
                <w:bCs/>
                <w:sz w:val="14"/>
                <w:szCs w:val="14"/>
              </w:rPr>
              <w:t>4.4</w:t>
            </w:r>
          </w:p>
        </w:tc>
        <w:tc>
          <w:tcPr>
            <w:tcW w:w="567" w:type="dxa"/>
          </w:tcPr>
          <w:p w:rsidR="00A57376" w:rsidRDefault="00A57376" w:rsidP="006E695F">
            <w:pPr>
              <w:pStyle w:val="TableContents"/>
              <w:spacing w:line="360" w:lineRule="auto"/>
              <w:jc w:val="center"/>
              <w:rPr>
                <w:bCs/>
                <w:sz w:val="14"/>
                <w:szCs w:val="14"/>
              </w:rPr>
            </w:pPr>
            <w:r>
              <w:rPr>
                <w:bCs/>
                <w:sz w:val="14"/>
                <w:szCs w:val="14"/>
              </w:rPr>
              <w:t>4.6</w:t>
            </w:r>
          </w:p>
        </w:tc>
        <w:tc>
          <w:tcPr>
            <w:tcW w:w="706" w:type="dxa"/>
          </w:tcPr>
          <w:p w:rsidR="00A57376" w:rsidRPr="00773C29" w:rsidRDefault="00A57376" w:rsidP="006E695F">
            <w:pPr>
              <w:pStyle w:val="TableContents"/>
              <w:spacing w:line="360" w:lineRule="auto"/>
              <w:jc w:val="center"/>
              <w:rPr>
                <w:bCs/>
                <w:sz w:val="14"/>
                <w:szCs w:val="14"/>
              </w:rPr>
            </w:pPr>
            <w:r>
              <w:rPr>
                <w:bCs/>
                <w:sz w:val="14"/>
                <w:szCs w:val="14"/>
              </w:rPr>
              <w:t>4.0</w:t>
            </w:r>
          </w:p>
        </w:tc>
        <w:tc>
          <w:tcPr>
            <w:tcW w:w="709" w:type="dxa"/>
            <w:shd w:val="clear" w:color="auto" w:fill="auto"/>
            <w:tcMar>
              <w:top w:w="55" w:type="dxa"/>
              <w:left w:w="55" w:type="dxa"/>
              <w:bottom w:w="55" w:type="dxa"/>
              <w:right w:w="55" w:type="dxa"/>
            </w:tcMar>
          </w:tcPr>
          <w:p w:rsidR="00A57376" w:rsidRPr="00773C29" w:rsidRDefault="00A57376" w:rsidP="006E695F">
            <w:pPr>
              <w:pStyle w:val="TableContents"/>
              <w:spacing w:line="360" w:lineRule="auto"/>
              <w:jc w:val="center"/>
              <w:rPr>
                <w:bCs/>
                <w:sz w:val="14"/>
                <w:szCs w:val="14"/>
              </w:rPr>
            </w:pPr>
            <w:r w:rsidRPr="00773C29">
              <w:rPr>
                <w:bCs/>
                <w:sz w:val="14"/>
                <w:szCs w:val="14"/>
              </w:rPr>
              <w:t>4.0</w:t>
            </w:r>
          </w:p>
        </w:tc>
        <w:tc>
          <w:tcPr>
            <w:tcW w:w="567" w:type="dxa"/>
            <w:tcBorders>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5.2</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pPr>
            <w:proofErr w:type="spellStart"/>
            <w:r>
              <w:rPr>
                <w:sz w:val="14"/>
                <w:szCs w:val="14"/>
              </w:rPr>
              <w:t>Polymorphonucleocytes</w:t>
            </w:r>
            <w:proofErr w:type="spellEnd"/>
            <w:r>
              <w:rPr>
                <w:sz w:val="14"/>
                <w:szCs w:val="14"/>
              </w:rPr>
              <w:t xml:space="preserve"> (x10</w:t>
            </w:r>
            <w:r>
              <w:rPr>
                <w:sz w:val="14"/>
                <w:szCs w:val="14"/>
                <w:vertAlign w:val="superscript"/>
              </w:rPr>
              <w:t>3</w:t>
            </w:r>
            <w:r>
              <w:rPr>
                <w:sz w:val="14"/>
                <w:szCs w:val="14"/>
              </w:rPr>
              <w:t>/µL)</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1.9-8.0</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r>
              <w:rPr>
                <w:b/>
                <w:bCs/>
                <w:sz w:val="14"/>
                <w:szCs w:val="14"/>
              </w:rPr>
              <w:t>1.8</w:t>
            </w:r>
          </w:p>
        </w:tc>
        <w:tc>
          <w:tcPr>
            <w:tcW w:w="851" w:type="dxa"/>
          </w:tcPr>
          <w:p w:rsidR="00A57376" w:rsidRPr="00B01B9E" w:rsidRDefault="00A57376" w:rsidP="006E695F">
            <w:pPr>
              <w:pStyle w:val="TableContents"/>
              <w:spacing w:line="360" w:lineRule="auto"/>
              <w:jc w:val="center"/>
              <w:rPr>
                <w:b/>
                <w:bCs/>
                <w:sz w:val="14"/>
                <w:szCs w:val="14"/>
              </w:rPr>
            </w:pPr>
          </w:p>
        </w:tc>
        <w:tc>
          <w:tcPr>
            <w:tcW w:w="567" w:type="dxa"/>
          </w:tcPr>
          <w:p w:rsidR="00A57376" w:rsidRPr="00A57376" w:rsidRDefault="00A57376" w:rsidP="006E695F">
            <w:pPr>
              <w:pStyle w:val="TableContents"/>
              <w:spacing w:line="360" w:lineRule="auto"/>
              <w:jc w:val="center"/>
              <w:rPr>
                <w:bCs/>
                <w:sz w:val="14"/>
                <w:szCs w:val="14"/>
              </w:rPr>
            </w:pPr>
            <w:r w:rsidRPr="00A57376">
              <w:rPr>
                <w:bCs/>
                <w:sz w:val="14"/>
                <w:szCs w:val="14"/>
              </w:rPr>
              <w:t>1.93</w:t>
            </w:r>
          </w:p>
        </w:tc>
        <w:tc>
          <w:tcPr>
            <w:tcW w:w="706" w:type="dxa"/>
          </w:tcPr>
          <w:p w:rsidR="00A57376" w:rsidRPr="00B01B9E" w:rsidRDefault="00A57376" w:rsidP="006E695F">
            <w:pPr>
              <w:pStyle w:val="TableContents"/>
              <w:spacing w:line="360" w:lineRule="auto"/>
              <w:jc w:val="center"/>
              <w:rPr>
                <w:b/>
                <w:bCs/>
                <w:sz w:val="14"/>
                <w:szCs w:val="14"/>
              </w:rPr>
            </w:pPr>
            <w:r>
              <w:rPr>
                <w:b/>
                <w:bCs/>
                <w:sz w:val="14"/>
                <w:szCs w:val="14"/>
              </w:rPr>
              <w:t>1.7</w:t>
            </w:r>
          </w:p>
        </w:tc>
        <w:tc>
          <w:tcPr>
            <w:tcW w:w="709" w:type="dxa"/>
            <w:shd w:val="clear" w:color="auto" w:fill="auto"/>
            <w:tcMar>
              <w:top w:w="55" w:type="dxa"/>
              <w:left w:w="55" w:type="dxa"/>
              <w:bottom w:w="55" w:type="dxa"/>
              <w:right w:w="55" w:type="dxa"/>
            </w:tcMar>
          </w:tcPr>
          <w:p w:rsidR="00A57376" w:rsidRPr="00B01B9E" w:rsidRDefault="00A57376" w:rsidP="006E695F">
            <w:pPr>
              <w:pStyle w:val="TableContents"/>
              <w:spacing w:line="360" w:lineRule="auto"/>
              <w:jc w:val="center"/>
              <w:rPr>
                <w:b/>
                <w:bCs/>
                <w:sz w:val="14"/>
                <w:szCs w:val="14"/>
              </w:rPr>
            </w:pPr>
            <w:r w:rsidRPr="00B01B9E">
              <w:rPr>
                <w:b/>
                <w:bCs/>
                <w:sz w:val="14"/>
                <w:szCs w:val="14"/>
              </w:rPr>
              <w:t>1.7</w:t>
            </w:r>
          </w:p>
        </w:tc>
        <w:tc>
          <w:tcPr>
            <w:tcW w:w="567" w:type="dxa"/>
            <w:tcBorders>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2.1</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Hemoglobin (g/</w:t>
            </w:r>
            <w:proofErr w:type="spellStart"/>
            <w:r>
              <w:rPr>
                <w:sz w:val="14"/>
                <w:szCs w:val="14"/>
              </w:rPr>
              <w:t>dL</w:t>
            </w:r>
            <w:proofErr w:type="spellEnd"/>
            <w:r>
              <w:rPr>
                <w:sz w:val="14"/>
                <w:szCs w:val="14"/>
              </w:rPr>
              <w:t>)</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12-16</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r>
              <w:rPr>
                <w:b/>
                <w:bCs/>
                <w:sz w:val="14"/>
                <w:szCs w:val="14"/>
              </w:rPr>
              <w:t>10,8</w:t>
            </w:r>
          </w:p>
        </w:tc>
        <w:tc>
          <w:tcPr>
            <w:tcW w:w="851" w:type="dxa"/>
          </w:tcPr>
          <w:p w:rsidR="00A57376" w:rsidRPr="00773C29" w:rsidRDefault="00A57376" w:rsidP="00A57376">
            <w:pPr>
              <w:pStyle w:val="TableContents"/>
              <w:spacing w:line="360" w:lineRule="auto"/>
              <w:jc w:val="center"/>
              <w:rPr>
                <w:bCs/>
                <w:sz w:val="14"/>
                <w:szCs w:val="14"/>
              </w:rPr>
            </w:pPr>
            <w:r>
              <w:rPr>
                <w:bCs/>
                <w:sz w:val="14"/>
                <w:szCs w:val="14"/>
              </w:rPr>
              <w:t>13.7</w:t>
            </w:r>
          </w:p>
        </w:tc>
        <w:tc>
          <w:tcPr>
            <w:tcW w:w="567" w:type="dxa"/>
          </w:tcPr>
          <w:p w:rsidR="00A57376" w:rsidRDefault="00A57376" w:rsidP="006E695F">
            <w:pPr>
              <w:pStyle w:val="TableContents"/>
              <w:spacing w:line="360" w:lineRule="auto"/>
              <w:jc w:val="center"/>
              <w:rPr>
                <w:bCs/>
                <w:sz w:val="14"/>
                <w:szCs w:val="14"/>
              </w:rPr>
            </w:pPr>
            <w:r>
              <w:rPr>
                <w:bCs/>
                <w:sz w:val="14"/>
                <w:szCs w:val="14"/>
              </w:rPr>
              <w:t>14.0</w:t>
            </w:r>
          </w:p>
        </w:tc>
        <w:tc>
          <w:tcPr>
            <w:tcW w:w="706" w:type="dxa"/>
          </w:tcPr>
          <w:p w:rsidR="00A57376" w:rsidRPr="00773C29" w:rsidRDefault="00A57376" w:rsidP="006E695F">
            <w:pPr>
              <w:pStyle w:val="TableContents"/>
              <w:spacing w:line="360" w:lineRule="auto"/>
              <w:jc w:val="center"/>
              <w:rPr>
                <w:bCs/>
                <w:sz w:val="14"/>
                <w:szCs w:val="14"/>
              </w:rPr>
            </w:pPr>
            <w:r>
              <w:rPr>
                <w:bCs/>
                <w:sz w:val="14"/>
                <w:szCs w:val="14"/>
              </w:rPr>
              <w:t>13.3</w:t>
            </w:r>
          </w:p>
        </w:tc>
        <w:tc>
          <w:tcPr>
            <w:tcW w:w="709" w:type="dxa"/>
            <w:shd w:val="clear" w:color="auto" w:fill="auto"/>
            <w:tcMar>
              <w:top w:w="55" w:type="dxa"/>
              <w:left w:w="55" w:type="dxa"/>
              <w:bottom w:w="55" w:type="dxa"/>
              <w:right w:w="55" w:type="dxa"/>
            </w:tcMar>
          </w:tcPr>
          <w:p w:rsidR="00A57376" w:rsidRPr="00773C29" w:rsidRDefault="00A57376" w:rsidP="006E695F">
            <w:pPr>
              <w:pStyle w:val="TableContents"/>
              <w:spacing w:line="360" w:lineRule="auto"/>
              <w:jc w:val="center"/>
              <w:rPr>
                <w:bCs/>
                <w:sz w:val="14"/>
                <w:szCs w:val="14"/>
              </w:rPr>
            </w:pPr>
            <w:r w:rsidRPr="00773C29">
              <w:rPr>
                <w:bCs/>
                <w:sz w:val="14"/>
                <w:szCs w:val="14"/>
              </w:rPr>
              <w:t>13.3</w:t>
            </w:r>
          </w:p>
        </w:tc>
        <w:tc>
          <w:tcPr>
            <w:tcW w:w="567" w:type="dxa"/>
            <w:tcBorders>
              <w:right w:val="single" w:sz="4" w:space="0" w:color="auto"/>
            </w:tcBorders>
            <w:shd w:val="clear" w:color="auto" w:fill="auto"/>
            <w:tcMar>
              <w:top w:w="55" w:type="dxa"/>
              <w:left w:w="55" w:type="dxa"/>
              <w:bottom w:w="55" w:type="dxa"/>
              <w:right w:w="55" w:type="dxa"/>
            </w:tcMar>
          </w:tcPr>
          <w:p w:rsidR="00A57376" w:rsidRPr="00121890" w:rsidRDefault="00A57376" w:rsidP="006E695F">
            <w:pPr>
              <w:pStyle w:val="TableContents"/>
              <w:spacing w:line="360" w:lineRule="auto"/>
              <w:jc w:val="center"/>
              <w:rPr>
                <w:bCs/>
                <w:sz w:val="14"/>
                <w:szCs w:val="14"/>
              </w:rPr>
            </w:pPr>
            <w:r w:rsidRPr="00121890">
              <w:rPr>
                <w:bCs/>
                <w:sz w:val="14"/>
                <w:szCs w:val="14"/>
              </w:rPr>
              <w:t>13.9</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pPr>
            <w:r>
              <w:rPr>
                <w:sz w:val="14"/>
                <w:szCs w:val="14"/>
              </w:rPr>
              <w:t>Platelet count (x10</w:t>
            </w:r>
            <w:r>
              <w:rPr>
                <w:sz w:val="14"/>
                <w:szCs w:val="14"/>
                <w:vertAlign w:val="superscript"/>
              </w:rPr>
              <w:t>3</w:t>
            </w:r>
            <w:r>
              <w:rPr>
                <w:sz w:val="14"/>
                <w:szCs w:val="14"/>
              </w:rPr>
              <w:t>/</w:t>
            </w:r>
            <w:proofErr w:type="spellStart"/>
            <w:r>
              <w:rPr>
                <w:sz w:val="14"/>
                <w:szCs w:val="14"/>
              </w:rPr>
              <w:t>μL</w:t>
            </w:r>
            <w:proofErr w:type="spellEnd"/>
            <w:r>
              <w:rPr>
                <w:sz w:val="14"/>
                <w:szCs w:val="14"/>
              </w:rPr>
              <w:t>)</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140-450</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180</w:t>
            </w:r>
          </w:p>
        </w:tc>
        <w:tc>
          <w:tcPr>
            <w:tcW w:w="851" w:type="dxa"/>
          </w:tcPr>
          <w:p w:rsidR="00A57376" w:rsidRPr="00A57376" w:rsidRDefault="00A57376" w:rsidP="006E695F">
            <w:pPr>
              <w:pStyle w:val="TableContents"/>
              <w:spacing w:line="360" w:lineRule="auto"/>
              <w:jc w:val="center"/>
              <w:rPr>
                <w:bCs/>
                <w:sz w:val="14"/>
                <w:szCs w:val="14"/>
              </w:rPr>
            </w:pPr>
            <w:r w:rsidRPr="00A57376">
              <w:rPr>
                <w:bCs/>
                <w:sz w:val="14"/>
                <w:szCs w:val="14"/>
              </w:rPr>
              <w:t>181</w:t>
            </w:r>
          </w:p>
        </w:tc>
        <w:tc>
          <w:tcPr>
            <w:tcW w:w="567" w:type="dxa"/>
          </w:tcPr>
          <w:p w:rsidR="00A57376" w:rsidRPr="00A57376" w:rsidRDefault="00A57376" w:rsidP="006E695F">
            <w:pPr>
              <w:pStyle w:val="TableContents"/>
              <w:spacing w:line="360" w:lineRule="auto"/>
              <w:jc w:val="center"/>
              <w:rPr>
                <w:bCs/>
                <w:sz w:val="14"/>
                <w:szCs w:val="14"/>
              </w:rPr>
            </w:pPr>
            <w:r>
              <w:rPr>
                <w:bCs/>
                <w:sz w:val="14"/>
                <w:szCs w:val="14"/>
              </w:rPr>
              <w:t>180</w:t>
            </w:r>
          </w:p>
        </w:tc>
        <w:tc>
          <w:tcPr>
            <w:tcW w:w="706" w:type="dxa"/>
          </w:tcPr>
          <w:p w:rsidR="00A57376" w:rsidRPr="00A57376" w:rsidRDefault="00A57376" w:rsidP="006E695F">
            <w:pPr>
              <w:pStyle w:val="TableContents"/>
              <w:spacing w:line="360" w:lineRule="auto"/>
              <w:jc w:val="center"/>
              <w:rPr>
                <w:bCs/>
                <w:sz w:val="14"/>
                <w:szCs w:val="14"/>
              </w:rPr>
            </w:pPr>
            <w:r w:rsidRPr="00A57376">
              <w:rPr>
                <w:bCs/>
                <w:sz w:val="14"/>
                <w:szCs w:val="14"/>
              </w:rPr>
              <w:t>180</w:t>
            </w:r>
          </w:p>
        </w:tc>
        <w:tc>
          <w:tcPr>
            <w:tcW w:w="709" w:type="dxa"/>
            <w:shd w:val="clear" w:color="auto" w:fill="auto"/>
            <w:tcMar>
              <w:top w:w="55" w:type="dxa"/>
              <w:left w:w="55" w:type="dxa"/>
              <w:bottom w:w="55" w:type="dxa"/>
              <w:right w:w="55" w:type="dxa"/>
            </w:tcMar>
          </w:tcPr>
          <w:p w:rsidR="00A57376" w:rsidRPr="00A57376" w:rsidRDefault="00A57376" w:rsidP="00A57376">
            <w:pPr>
              <w:pStyle w:val="TableContents"/>
              <w:spacing w:line="360" w:lineRule="auto"/>
              <w:jc w:val="center"/>
              <w:rPr>
                <w:bCs/>
                <w:sz w:val="14"/>
                <w:szCs w:val="14"/>
              </w:rPr>
            </w:pPr>
            <w:r w:rsidRPr="00A57376">
              <w:rPr>
                <w:bCs/>
                <w:sz w:val="14"/>
                <w:szCs w:val="14"/>
              </w:rPr>
              <w:t>175</w:t>
            </w:r>
          </w:p>
        </w:tc>
        <w:tc>
          <w:tcPr>
            <w:tcW w:w="567" w:type="dxa"/>
            <w:tcBorders>
              <w:right w:val="single" w:sz="4" w:space="0" w:color="auto"/>
            </w:tcBorders>
            <w:shd w:val="clear" w:color="auto" w:fill="auto"/>
            <w:tcMar>
              <w:top w:w="55" w:type="dxa"/>
              <w:left w:w="55" w:type="dxa"/>
              <w:bottom w:w="55" w:type="dxa"/>
              <w:right w:w="55" w:type="dxa"/>
            </w:tcMar>
          </w:tcPr>
          <w:p w:rsidR="00A57376" w:rsidRPr="00A57376" w:rsidRDefault="00A57376" w:rsidP="006E695F">
            <w:pPr>
              <w:pStyle w:val="TableContents"/>
              <w:spacing w:line="360" w:lineRule="auto"/>
              <w:jc w:val="center"/>
              <w:rPr>
                <w:bCs/>
                <w:sz w:val="14"/>
                <w:szCs w:val="14"/>
              </w:rPr>
            </w:pPr>
            <w:r w:rsidRPr="00A57376">
              <w:rPr>
                <w:bCs/>
                <w:sz w:val="14"/>
                <w:szCs w:val="14"/>
              </w:rPr>
              <w:t>196</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Ferritin (ng/ml)</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13-150</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c>
          <w:tcPr>
            <w:tcW w:w="851" w:type="dxa"/>
          </w:tcPr>
          <w:p w:rsidR="00A57376" w:rsidRPr="00B01B9E" w:rsidRDefault="00A57376" w:rsidP="006E695F">
            <w:pPr>
              <w:pStyle w:val="TableContents"/>
              <w:spacing w:line="360" w:lineRule="auto"/>
              <w:jc w:val="center"/>
              <w:rPr>
                <w:bCs/>
                <w:sz w:val="14"/>
                <w:szCs w:val="14"/>
              </w:rPr>
            </w:pPr>
          </w:p>
        </w:tc>
        <w:tc>
          <w:tcPr>
            <w:tcW w:w="567" w:type="dxa"/>
          </w:tcPr>
          <w:p w:rsidR="00A57376" w:rsidRDefault="00A57376" w:rsidP="00A57376">
            <w:pPr>
              <w:pStyle w:val="TableContents"/>
              <w:spacing w:line="360" w:lineRule="auto"/>
              <w:jc w:val="center"/>
              <w:rPr>
                <w:bCs/>
                <w:sz w:val="14"/>
                <w:szCs w:val="14"/>
              </w:rPr>
            </w:pPr>
          </w:p>
        </w:tc>
        <w:tc>
          <w:tcPr>
            <w:tcW w:w="706" w:type="dxa"/>
          </w:tcPr>
          <w:p w:rsidR="00A57376" w:rsidRPr="00B01B9E" w:rsidRDefault="00A57376" w:rsidP="00A57376">
            <w:pPr>
              <w:pStyle w:val="TableContents"/>
              <w:spacing w:line="360" w:lineRule="auto"/>
              <w:jc w:val="center"/>
              <w:rPr>
                <w:bCs/>
                <w:sz w:val="14"/>
                <w:szCs w:val="14"/>
              </w:rPr>
            </w:pPr>
            <w:r>
              <w:rPr>
                <w:bCs/>
                <w:sz w:val="14"/>
                <w:szCs w:val="14"/>
              </w:rPr>
              <w:t>94</w:t>
            </w:r>
          </w:p>
        </w:tc>
        <w:tc>
          <w:tcPr>
            <w:tcW w:w="709" w:type="dxa"/>
            <w:shd w:val="clear" w:color="auto" w:fill="auto"/>
            <w:tcMar>
              <w:top w:w="55" w:type="dxa"/>
              <w:left w:w="55" w:type="dxa"/>
              <w:bottom w:w="55" w:type="dxa"/>
              <w:right w:w="55" w:type="dxa"/>
            </w:tcMar>
          </w:tcPr>
          <w:p w:rsidR="00A57376" w:rsidRPr="00B01B9E" w:rsidRDefault="00A57376" w:rsidP="00A57376">
            <w:pPr>
              <w:pStyle w:val="TableContents"/>
              <w:spacing w:line="360" w:lineRule="auto"/>
              <w:jc w:val="center"/>
              <w:rPr>
                <w:bCs/>
                <w:sz w:val="14"/>
                <w:szCs w:val="14"/>
              </w:rPr>
            </w:pPr>
            <w:r>
              <w:rPr>
                <w:bCs/>
                <w:sz w:val="14"/>
                <w:szCs w:val="14"/>
              </w:rPr>
              <w:t>76</w:t>
            </w:r>
          </w:p>
        </w:tc>
        <w:tc>
          <w:tcPr>
            <w:tcW w:w="567" w:type="dxa"/>
            <w:tcBorders>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LDH (U/L)</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120-230</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c>
          <w:tcPr>
            <w:tcW w:w="851" w:type="dxa"/>
          </w:tcPr>
          <w:p w:rsidR="00A57376" w:rsidRDefault="00A57376" w:rsidP="006E695F">
            <w:pPr>
              <w:pStyle w:val="TableContents"/>
              <w:spacing w:line="360" w:lineRule="auto"/>
              <w:jc w:val="center"/>
              <w:rPr>
                <w:b/>
                <w:bCs/>
                <w:sz w:val="14"/>
                <w:szCs w:val="14"/>
              </w:rPr>
            </w:pPr>
          </w:p>
        </w:tc>
        <w:tc>
          <w:tcPr>
            <w:tcW w:w="567" w:type="dxa"/>
          </w:tcPr>
          <w:p w:rsidR="00A57376" w:rsidRPr="00A57376" w:rsidRDefault="00A57376" w:rsidP="00A57376">
            <w:pPr>
              <w:pStyle w:val="TableContents"/>
              <w:spacing w:line="360" w:lineRule="auto"/>
              <w:jc w:val="center"/>
              <w:rPr>
                <w:bCs/>
                <w:sz w:val="14"/>
                <w:szCs w:val="14"/>
              </w:rPr>
            </w:pPr>
            <w:r>
              <w:rPr>
                <w:bCs/>
                <w:sz w:val="14"/>
                <w:szCs w:val="14"/>
              </w:rPr>
              <w:t>164</w:t>
            </w:r>
          </w:p>
        </w:tc>
        <w:tc>
          <w:tcPr>
            <w:tcW w:w="706" w:type="dxa"/>
          </w:tcPr>
          <w:p w:rsidR="00A57376" w:rsidRPr="00A57376" w:rsidRDefault="00A57376" w:rsidP="006E695F">
            <w:pPr>
              <w:pStyle w:val="TableContents"/>
              <w:spacing w:line="360" w:lineRule="auto"/>
              <w:jc w:val="center"/>
              <w:rPr>
                <w:bCs/>
                <w:sz w:val="14"/>
                <w:szCs w:val="14"/>
              </w:rPr>
            </w:pPr>
            <w:r w:rsidRPr="00A57376">
              <w:rPr>
                <w:bCs/>
                <w:sz w:val="14"/>
                <w:szCs w:val="14"/>
              </w:rPr>
              <w:t>172</w:t>
            </w:r>
          </w:p>
        </w:tc>
        <w:tc>
          <w:tcPr>
            <w:tcW w:w="709" w:type="dxa"/>
            <w:shd w:val="clear" w:color="auto" w:fill="auto"/>
            <w:tcMar>
              <w:top w:w="55" w:type="dxa"/>
              <w:left w:w="55" w:type="dxa"/>
              <w:bottom w:w="55" w:type="dxa"/>
              <w:right w:w="55" w:type="dxa"/>
            </w:tcMar>
          </w:tcPr>
          <w:p w:rsidR="00A57376" w:rsidRPr="00A57376" w:rsidRDefault="00A57376" w:rsidP="006E695F">
            <w:pPr>
              <w:pStyle w:val="TableContents"/>
              <w:spacing w:line="360" w:lineRule="auto"/>
              <w:jc w:val="center"/>
              <w:rPr>
                <w:bCs/>
                <w:sz w:val="14"/>
                <w:szCs w:val="14"/>
              </w:rPr>
            </w:pPr>
            <w:r w:rsidRPr="00A57376">
              <w:rPr>
                <w:bCs/>
                <w:sz w:val="14"/>
                <w:szCs w:val="14"/>
              </w:rPr>
              <w:t>153</w:t>
            </w:r>
          </w:p>
        </w:tc>
        <w:tc>
          <w:tcPr>
            <w:tcW w:w="567" w:type="dxa"/>
            <w:tcBorders>
              <w:right w:val="single" w:sz="4" w:space="0" w:color="auto"/>
            </w:tcBorders>
            <w:shd w:val="clear" w:color="auto" w:fill="auto"/>
            <w:tcMar>
              <w:top w:w="55" w:type="dxa"/>
              <w:left w:w="55" w:type="dxa"/>
              <w:bottom w:w="55" w:type="dxa"/>
              <w:right w:w="55" w:type="dxa"/>
            </w:tcMar>
          </w:tcPr>
          <w:p w:rsidR="00A57376" w:rsidRPr="00121890" w:rsidRDefault="00A57376" w:rsidP="006E695F">
            <w:pPr>
              <w:pStyle w:val="TableContents"/>
              <w:spacing w:line="360" w:lineRule="auto"/>
              <w:jc w:val="center"/>
              <w:rPr>
                <w:bCs/>
                <w:sz w:val="14"/>
                <w:szCs w:val="14"/>
              </w:rPr>
            </w:pPr>
            <w:r w:rsidRPr="00121890">
              <w:rPr>
                <w:bCs/>
                <w:sz w:val="14"/>
                <w:szCs w:val="14"/>
              </w:rPr>
              <w:t>162</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AST (IU/liter)</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&lt;40</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27</w:t>
            </w:r>
          </w:p>
        </w:tc>
        <w:tc>
          <w:tcPr>
            <w:tcW w:w="851" w:type="dxa"/>
          </w:tcPr>
          <w:p w:rsidR="00A57376" w:rsidRDefault="00CF6AF8" w:rsidP="006E695F">
            <w:pPr>
              <w:pStyle w:val="TableContents"/>
              <w:spacing w:line="360" w:lineRule="auto"/>
              <w:jc w:val="center"/>
              <w:rPr>
                <w:sz w:val="14"/>
                <w:szCs w:val="14"/>
              </w:rPr>
            </w:pPr>
            <w:r>
              <w:rPr>
                <w:sz w:val="14"/>
                <w:szCs w:val="14"/>
              </w:rPr>
              <w:t>30</w:t>
            </w:r>
          </w:p>
        </w:tc>
        <w:tc>
          <w:tcPr>
            <w:tcW w:w="567" w:type="dxa"/>
          </w:tcPr>
          <w:p w:rsidR="00A57376" w:rsidRDefault="00A57376" w:rsidP="006E695F">
            <w:pPr>
              <w:pStyle w:val="TableContents"/>
              <w:spacing w:line="360" w:lineRule="auto"/>
              <w:jc w:val="center"/>
              <w:rPr>
                <w:sz w:val="14"/>
                <w:szCs w:val="14"/>
              </w:rPr>
            </w:pPr>
          </w:p>
        </w:tc>
        <w:tc>
          <w:tcPr>
            <w:tcW w:w="706" w:type="dxa"/>
          </w:tcPr>
          <w:p w:rsidR="00A57376" w:rsidRDefault="00A57376" w:rsidP="006E695F">
            <w:pPr>
              <w:pStyle w:val="TableContents"/>
              <w:spacing w:line="360" w:lineRule="auto"/>
              <w:jc w:val="center"/>
              <w:rPr>
                <w:sz w:val="14"/>
                <w:szCs w:val="14"/>
              </w:rPr>
            </w:pP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p>
        </w:tc>
        <w:tc>
          <w:tcPr>
            <w:tcW w:w="567" w:type="dxa"/>
            <w:tcBorders>
              <w:right w:val="single" w:sz="4" w:space="0" w:color="auto"/>
            </w:tcBorders>
            <w:shd w:val="clear" w:color="auto" w:fill="auto"/>
            <w:tcMar>
              <w:top w:w="55" w:type="dxa"/>
              <w:left w:w="55" w:type="dxa"/>
              <w:bottom w:w="55" w:type="dxa"/>
              <w:right w:w="55" w:type="dxa"/>
            </w:tcMar>
          </w:tcPr>
          <w:p w:rsidR="00A57376" w:rsidRPr="00121890" w:rsidRDefault="00A57376" w:rsidP="006E695F">
            <w:pPr>
              <w:pStyle w:val="TableContents"/>
              <w:spacing w:line="360" w:lineRule="auto"/>
              <w:jc w:val="center"/>
              <w:rPr>
                <w:bCs/>
                <w:sz w:val="14"/>
                <w:szCs w:val="14"/>
              </w:rPr>
            </w:pPr>
            <w:r w:rsidRPr="00121890">
              <w:rPr>
                <w:bCs/>
                <w:sz w:val="14"/>
                <w:szCs w:val="14"/>
              </w:rPr>
              <w:t>34</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ALT (IU/liter)</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&lt;40</w:t>
            </w:r>
          </w:p>
        </w:tc>
        <w:tc>
          <w:tcPr>
            <w:tcW w:w="567" w:type="dxa"/>
            <w:shd w:val="clear" w:color="auto" w:fill="auto"/>
            <w:tcMar>
              <w:top w:w="55" w:type="dxa"/>
              <w:left w:w="55" w:type="dxa"/>
              <w:bottom w:w="55" w:type="dxa"/>
              <w:right w:w="55" w:type="dxa"/>
            </w:tcMar>
          </w:tcPr>
          <w:p w:rsidR="00A57376" w:rsidRPr="00B1664C" w:rsidRDefault="00A57376" w:rsidP="006E695F">
            <w:pPr>
              <w:pStyle w:val="TableContents"/>
              <w:spacing w:line="360" w:lineRule="auto"/>
              <w:jc w:val="center"/>
              <w:rPr>
                <w:b/>
                <w:sz w:val="14"/>
                <w:szCs w:val="14"/>
              </w:rPr>
            </w:pPr>
            <w:r w:rsidRPr="00B1664C">
              <w:rPr>
                <w:b/>
                <w:sz w:val="14"/>
                <w:szCs w:val="14"/>
              </w:rPr>
              <w:t>73</w:t>
            </w:r>
          </w:p>
        </w:tc>
        <w:tc>
          <w:tcPr>
            <w:tcW w:w="851" w:type="dxa"/>
          </w:tcPr>
          <w:p w:rsidR="00A57376" w:rsidRDefault="00CF6AF8" w:rsidP="006E695F">
            <w:pPr>
              <w:pStyle w:val="TableContents"/>
              <w:spacing w:line="360" w:lineRule="auto"/>
              <w:jc w:val="center"/>
              <w:rPr>
                <w:sz w:val="14"/>
                <w:szCs w:val="14"/>
              </w:rPr>
            </w:pPr>
            <w:r>
              <w:rPr>
                <w:sz w:val="14"/>
                <w:szCs w:val="14"/>
              </w:rPr>
              <w:t>33</w:t>
            </w:r>
          </w:p>
        </w:tc>
        <w:tc>
          <w:tcPr>
            <w:tcW w:w="567" w:type="dxa"/>
          </w:tcPr>
          <w:p w:rsidR="00A57376" w:rsidRDefault="00A57376" w:rsidP="006E695F">
            <w:pPr>
              <w:pStyle w:val="TableContents"/>
              <w:spacing w:line="360" w:lineRule="auto"/>
              <w:jc w:val="center"/>
              <w:rPr>
                <w:sz w:val="14"/>
                <w:szCs w:val="14"/>
              </w:rPr>
            </w:pPr>
          </w:p>
        </w:tc>
        <w:tc>
          <w:tcPr>
            <w:tcW w:w="706" w:type="dxa"/>
          </w:tcPr>
          <w:p w:rsidR="00A57376" w:rsidRDefault="00A57376" w:rsidP="006E695F">
            <w:pPr>
              <w:pStyle w:val="TableContents"/>
              <w:spacing w:line="360" w:lineRule="auto"/>
              <w:jc w:val="center"/>
              <w:rPr>
                <w:sz w:val="14"/>
                <w:szCs w:val="14"/>
              </w:rPr>
            </w:pP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p>
        </w:tc>
        <w:tc>
          <w:tcPr>
            <w:tcW w:w="567" w:type="dxa"/>
            <w:tcBorders>
              <w:right w:val="single" w:sz="4" w:space="0" w:color="auto"/>
            </w:tcBorders>
            <w:shd w:val="clear" w:color="auto" w:fill="auto"/>
            <w:tcMar>
              <w:top w:w="55" w:type="dxa"/>
              <w:left w:w="55" w:type="dxa"/>
              <w:bottom w:w="55" w:type="dxa"/>
              <w:right w:w="55" w:type="dxa"/>
            </w:tcMar>
          </w:tcPr>
          <w:p w:rsidR="00A57376" w:rsidRPr="00121890" w:rsidRDefault="00A57376" w:rsidP="006E695F">
            <w:pPr>
              <w:pStyle w:val="TableContents"/>
              <w:spacing w:line="360" w:lineRule="auto"/>
              <w:jc w:val="center"/>
              <w:rPr>
                <w:bCs/>
                <w:sz w:val="14"/>
                <w:szCs w:val="14"/>
              </w:rPr>
            </w:pPr>
            <w:r w:rsidRPr="00121890">
              <w:rPr>
                <w:bCs/>
                <w:sz w:val="14"/>
                <w:szCs w:val="14"/>
              </w:rPr>
              <w:t>27</w:t>
            </w: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Total bilirubin (mg/</w:t>
            </w:r>
            <w:proofErr w:type="spellStart"/>
            <w:r>
              <w:rPr>
                <w:sz w:val="14"/>
                <w:szCs w:val="14"/>
              </w:rPr>
              <w:t>dL</w:t>
            </w:r>
            <w:proofErr w:type="spellEnd"/>
            <w:r>
              <w:rPr>
                <w:sz w:val="14"/>
                <w:szCs w:val="14"/>
              </w:rPr>
              <w:t>)</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&lt;1.4</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0.5</w:t>
            </w:r>
          </w:p>
        </w:tc>
        <w:tc>
          <w:tcPr>
            <w:tcW w:w="851" w:type="dxa"/>
          </w:tcPr>
          <w:p w:rsidR="00A57376" w:rsidRDefault="00A57376" w:rsidP="006E695F">
            <w:pPr>
              <w:pStyle w:val="TableContents"/>
              <w:spacing w:line="360" w:lineRule="auto"/>
              <w:jc w:val="center"/>
              <w:rPr>
                <w:sz w:val="14"/>
                <w:szCs w:val="14"/>
              </w:rPr>
            </w:pPr>
          </w:p>
        </w:tc>
        <w:tc>
          <w:tcPr>
            <w:tcW w:w="567" w:type="dxa"/>
          </w:tcPr>
          <w:p w:rsidR="00A57376" w:rsidRDefault="00A57376" w:rsidP="006E695F">
            <w:pPr>
              <w:pStyle w:val="TableContents"/>
              <w:spacing w:line="360" w:lineRule="auto"/>
              <w:jc w:val="center"/>
              <w:rPr>
                <w:sz w:val="14"/>
                <w:szCs w:val="14"/>
              </w:rPr>
            </w:pPr>
          </w:p>
        </w:tc>
        <w:tc>
          <w:tcPr>
            <w:tcW w:w="706" w:type="dxa"/>
          </w:tcPr>
          <w:p w:rsidR="00A57376" w:rsidRDefault="00A57376" w:rsidP="006E695F">
            <w:pPr>
              <w:pStyle w:val="TableContents"/>
              <w:spacing w:line="360" w:lineRule="auto"/>
              <w:jc w:val="center"/>
              <w:rPr>
                <w:sz w:val="14"/>
                <w:szCs w:val="14"/>
              </w:rPr>
            </w:pP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p>
        </w:tc>
        <w:tc>
          <w:tcPr>
            <w:tcW w:w="567" w:type="dxa"/>
            <w:tcBorders>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Conjugated bilirubin (mg/</w:t>
            </w:r>
            <w:proofErr w:type="spellStart"/>
            <w:r>
              <w:rPr>
                <w:sz w:val="14"/>
                <w:szCs w:val="14"/>
              </w:rPr>
              <w:t>dL</w:t>
            </w:r>
            <w:proofErr w:type="spellEnd"/>
            <w:r>
              <w:rPr>
                <w:sz w:val="14"/>
                <w:szCs w:val="14"/>
              </w:rPr>
              <w:t>)</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&lt;0,3</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0.2</w:t>
            </w:r>
          </w:p>
        </w:tc>
        <w:tc>
          <w:tcPr>
            <w:tcW w:w="851" w:type="dxa"/>
          </w:tcPr>
          <w:p w:rsidR="00A57376" w:rsidRDefault="00A57376" w:rsidP="006E695F">
            <w:pPr>
              <w:pStyle w:val="TableContents"/>
              <w:spacing w:line="360" w:lineRule="auto"/>
              <w:jc w:val="center"/>
              <w:rPr>
                <w:sz w:val="14"/>
                <w:szCs w:val="14"/>
              </w:rPr>
            </w:pPr>
          </w:p>
        </w:tc>
        <w:tc>
          <w:tcPr>
            <w:tcW w:w="567" w:type="dxa"/>
          </w:tcPr>
          <w:p w:rsidR="00A57376" w:rsidRDefault="00A57376" w:rsidP="006E695F">
            <w:pPr>
              <w:pStyle w:val="TableContents"/>
              <w:spacing w:line="360" w:lineRule="auto"/>
              <w:jc w:val="center"/>
              <w:rPr>
                <w:sz w:val="14"/>
                <w:szCs w:val="14"/>
              </w:rPr>
            </w:pPr>
          </w:p>
        </w:tc>
        <w:tc>
          <w:tcPr>
            <w:tcW w:w="706" w:type="dxa"/>
          </w:tcPr>
          <w:p w:rsidR="00A57376" w:rsidRDefault="00A57376" w:rsidP="006E695F">
            <w:pPr>
              <w:pStyle w:val="TableContents"/>
              <w:spacing w:line="360" w:lineRule="auto"/>
              <w:jc w:val="center"/>
              <w:rPr>
                <w:sz w:val="14"/>
                <w:szCs w:val="14"/>
              </w:rPr>
            </w:pP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p>
        </w:tc>
        <w:tc>
          <w:tcPr>
            <w:tcW w:w="567" w:type="dxa"/>
            <w:tcBorders>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r>
      <w:tr w:rsidR="00A57376" w:rsidTr="00A57376">
        <w:tc>
          <w:tcPr>
            <w:tcW w:w="2265" w:type="dxa"/>
            <w:tcBorders>
              <w:lef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Creatinine (mg/</w:t>
            </w:r>
            <w:proofErr w:type="spellStart"/>
            <w:r>
              <w:rPr>
                <w:sz w:val="14"/>
                <w:szCs w:val="14"/>
              </w:rPr>
              <w:t>dL</w:t>
            </w:r>
            <w:proofErr w:type="spellEnd"/>
            <w:r>
              <w:rPr>
                <w:sz w:val="14"/>
                <w:szCs w:val="14"/>
              </w:rPr>
              <w:t>)</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r>
              <w:rPr>
                <w:sz w:val="14"/>
                <w:szCs w:val="14"/>
              </w:rPr>
              <w:t>0.50-1</w:t>
            </w:r>
          </w:p>
        </w:tc>
        <w:tc>
          <w:tcPr>
            <w:tcW w:w="567"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c>
          <w:tcPr>
            <w:tcW w:w="851" w:type="dxa"/>
          </w:tcPr>
          <w:p w:rsidR="00A57376" w:rsidRPr="00A57376" w:rsidRDefault="00A57376" w:rsidP="006E695F">
            <w:pPr>
              <w:pStyle w:val="TableContents"/>
              <w:spacing w:line="360" w:lineRule="auto"/>
              <w:jc w:val="center"/>
              <w:rPr>
                <w:bCs/>
                <w:sz w:val="14"/>
                <w:szCs w:val="14"/>
              </w:rPr>
            </w:pPr>
          </w:p>
        </w:tc>
        <w:tc>
          <w:tcPr>
            <w:tcW w:w="567" w:type="dxa"/>
          </w:tcPr>
          <w:p w:rsidR="00A57376" w:rsidRPr="00A57376" w:rsidRDefault="00A57376" w:rsidP="006E695F">
            <w:pPr>
              <w:pStyle w:val="TableContents"/>
              <w:spacing w:line="360" w:lineRule="auto"/>
              <w:jc w:val="center"/>
              <w:rPr>
                <w:bCs/>
                <w:sz w:val="14"/>
                <w:szCs w:val="14"/>
              </w:rPr>
            </w:pPr>
            <w:r>
              <w:rPr>
                <w:bCs/>
                <w:sz w:val="14"/>
                <w:szCs w:val="14"/>
              </w:rPr>
              <w:t>0.7</w:t>
            </w:r>
          </w:p>
        </w:tc>
        <w:tc>
          <w:tcPr>
            <w:tcW w:w="706" w:type="dxa"/>
          </w:tcPr>
          <w:p w:rsidR="00A57376" w:rsidRPr="00A57376" w:rsidRDefault="00A57376" w:rsidP="006E695F">
            <w:pPr>
              <w:pStyle w:val="TableContents"/>
              <w:spacing w:line="360" w:lineRule="auto"/>
              <w:jc w:val="center"/>
              <w:rPr>
                <w:bCs/>
                <w:sz w:val="14"/>
                <w:szCs w:val="14"/>
              </w:rPr>
            </w:pPr>
            <w:r w:rsidRPr="00A57376">
              <w:rPr>
                <w:bCs/>
                <w:sz w:val="14"/>
                <w:szCs w:val="14"/>
              </w:rPr>
              <w:t>0.7</w:t>
            </w:r>
          </w:p>
        </w:tc>
        <w:tc>
          <w:tcPr>
            <w:tcW w:w="709" w:type="dxa"/>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c>
          <w:tcPr>
            <w:tcW w:w="567" w:type="dxa"/>
            <w:tcBorders>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p>
        </w:tc>
      </w:tr>
      <w:tr w:rsidR="00A57376" w:rsidTr="00A57376">
        <w:tc>
          <w:tcPr>
            <w:tcW w:w="2265" w:type="dxa"/>
            <w:tcBorders>
              <w:left w:val="single" w:sz="4" w:space="0" w:color="auto"/>
              <w:bottom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rPr>
                <w:sz w:val="14"/>
                <w:szCs w:val="14"/>
              </w:rPr>
            </w:pPr>
            <w:r>
              <w:rPr>
                <w:sz w:val="14"/>
                <w:szCs w:val="14"/>
              </w:rPr>
              <w:t>Cerebrospinal fluid</w:t>
            </w:r>
          </w:p>
        </w:tc>
        <w:tc>
          <w:tcPr>
            <w:tcW w:w="709" w:type="dxa"/>
            <w:tcBorders>
              <w:bottom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sz w:val="14"/>
                <w:szCs w:val="14"/>
              </w:rPr>
            </w:pPr>
          </w:p>
        </w:tc>
        <w:tc>
          <w:tcPr>
            <w:tcW w:w="567" w:type="dxa"/>
            <w:tcBorders>
              <w:bottom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c>
          <w:tcPr>
            <w:tcW w:w="851" w:type="dxa"/>
            <w:tcBorders>
              <w:bottom w:val="single" w:sz="4" w:space="0" w:color="auto"/>
            </w:tcBorders>
          </w:tcPr>
          <w:p w:rsidR="00A57376" w:rsidRPr="00A57376" w:rsidRDefault="00A57376" w:rsidP="00A57376">
            <w:pPr>
              <w:pStyle w:val="TableContents"/>
              <w:spacing w:line="360" w:lineRule="auto"/>
              <w:jc w:val="center"/>
              <w:rPr>
                <w:bCs/>
                <w:sz w:val="14"/>
                <w:szCs w:val="14"/>
              </w:rPr>
            </w:pPr>
            <w:r>
              <w:rPr>
                <w:bCs/>
                <w:sz w:val="14"/>
                <w:szCs w:val="14"/>
              </w:rPr>
              <w:t>Normal values</w:t>
            </w:r>
          </w:p>
        </w:tc>
        <w:tc>
          <w:tcPr>
            <w:tcW w:w="567" w:type="dxa"/>
            <w:tcBorders>
              <w:bottom w:val="single" w:sz="4" w:space="0" w:color="auto"/>
            </w:tcBorders>
          </w:tcPr>
          <w:p w:rsidR="00A57376" w:rsidRDefault="00A57376" w:rsidP="006E695F">
            <w:pPr>
              <w:pStyle w:val="TableContents"/>
              <w:spacing w:line="360" w:lineRule="auto"/>
              <w:jc w:val="center"/>
              <w:rPr>
                <w:b/>
                <w:bCs/>
                <w:sz w:val="14"/>
                <w:szCs w:val="14"/>
              </w:rPr>
            </w:pPr>
          </w:p>
        </w:tc>
        <w:tc>
          <w:tcPr>
            <w:tcW w:w="706" w:type="dxa"/>
            <w:tcBorders>
              <w:bottom w:val="single" w:sz="4" w:space="0" w:color="auto"/>
            </w:tcBorders>
          </w:tcPr>
          <w:p w:rsidR="00A57376" w:rsidRDefault="00A57376" w:rsidP="006E695F">
            <w:pPr>
              <w:pStyle w:val="TableContents"/>
              <w:spacing w:line="360" w:lineRule="auto"/>
              <w:jc w:val="center"/>
              <w:rPr>
                <w:b/>
                <w:bCs/>
                <w:sz w:val="14"/>
                <w:szCs w:val="14"/>
              </w:rPr>
            </w:pPr>
          </w:p>
        </w:tc>
        <w:tc>
          <w:tcPr>
            <w:tcW w:w="709" w:type="dxa"/>
            <w:tcBorders>
              <w:bottom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c>
          <w:tcPr>
            <w:tcW w:w="567" w:type="dxa"/>
            <w:tcBorders>
              <w:bottom w:val="single" w:sz="4" w:space="0" w:color="auto"/>
              <w:right w:val="single" w:sz="4" w:space="0" w:color="auto"/>
            </w:tcBorders>
            <w:shd w:val="clear" w:color="auto" w:fill="auto"/>
            <w:tcMar>
              <w:top w:w="55" w:type="dxa"/>
              <w:left w:w="55" w:type="dxa"/>
              <w:bottom w:w="55" w:type="dxa"/>
              <w:right w:w="55" w:type="dxa"/>
            </w:tcMar>
          </w:tcPr>
          <w:p w:rsidR="00A57376" w:rsidRDefault="00A57376" w:rsidP="006E695F">
            <w:pPr>
              <w:pStyle w:val="TableContents"/>
              <w:spacing w:line="360" w:lineRule="auto"/>
              <w:jc w:val="center"/>
              <w:rPr>
                <w:b/>
                <w:bCs/>
                <w:sz w:val="14"/>
                <w:szCs w:val="14"/>
              </w:rPr>
            </w:pPr>
          </w:p>
        </w:tc>
      </w:tr>
    </w:tbl>
    <w:p w:rsidR="006E695F" w:rsidRDefault="006E695F">
      <w:pPr>
        <w:rPr>
          <w:lang w:val="en-US"/>
        </w:rPr>
      </w:pPr>
    </w:p>
    <w:p w:rsidR="00CF6AF8" w:rsidRDefault="00346A3E">
      <w:pPr>
        <w:rPr>
          <w:lang w:val="en-US"/>
        </w:rPr>
      </w:pPr>
      <w:r w:rsidRPr="007D0ED8">
        <w:rPr>
          <w:b/>
          <w:lang w:val="en-US"/>
        </w:rPr>
        <w:t>Cerebral MRI (month 4):</w:t>
      </w:r>
      <w:r>
        <w:rPr>
          <w:lang w:val="en-US"/>
        </w:rPr>
        <w:t xml:space="preserve"> periventricular leukoencephalopathy (toxicity of chemotherapy?)</w:t>
      </w:r>
    </w:p>
    <w:p w:rsidR="001F2533" w:rsidRPr="001F2533" w:rsidRDefault="001F2533">
      <w:pPr>
        <w:rPr>
          <w:lang w:val="en-US"/>
        </w:rPr>
      </w:pPr>
      <w:r w:rsidRPr="00F366E4">
        <w:rPr>
          <w:b/>
          <w:sz w:val="21"/>
          <w:vertAlign w:val="superscript"/>
          <w:lang w:val="en-US"/>
        </w:rPr>
        <w:t>18</w:t>
      </w:r>
      <w:r w:rsidRPr="00F366E4">
        <w:rPr>
          <w:b/>
          <w:lang w:val="en-US"/>
        </w:rPr>
        <w:t>FDG-PET/CT (month 4):</w:t>
      </w:r>
      <w:r w:rsidRPr="001F2533">
        <w:rPr>
          <w:lang w:val="en-US"/>
        </w:rPr>
        <w:t xml:space="preserve"> no abnormalities</w:t>
      </w:r>
    </w:p>
    <w:p w:rsidR="007016BE" w:rsidRDefault="00346A3E">
      <w:pPr>
        <w:rPr>
          <w:lang w:val="en-US"/>
        </w:rPr>
      </w:pPr>
      <w:r w:rsidRPr="007D0ED8">
        <w:rPr>
          <w:b/>
          <w:lang w:val="en-US"/>
        </w:rPr>
        <w:t>CT of the dead, thorax and abdomen (month 6):</w:t>
      </w:r>
      <w:r>
        <w:rPr>
          <w:lang w:val="en-US"/>
        </w:rPr>
        <w:t xml:space="preserve"> no intracranial abnormalities; lungs with </w:t>
      </w:r>
      <w:proofErr w:type="spellStart"/>
      <w:r>
        <w:rPr>
          <w:lang w:val="en-US"/>
        </w:rPr>
        <w:t>biapical</w:t>
      </w:r>
      <w:proofErr w:type="spellEnd"/>
      <w:r>
        <w:rPr>
          <w:lang w:val="en-US"/>
        </w:rPr>
        <w:t xml:space="preserve"> scars; </w:t>
      </w:r>
      <w:r w:rsidR="007016BE">
        <w:rPr>
          <w:lang w:val="en-US"/>
        </w:rPr>
        <w:t>pericardial fluid</w:t>
      </w:r>
      <w:r w:rsidR="007D0ED8">
        <w:rPr>
          <w:lang w:val="en-US"/>
        </w:rPr>
        <w:t xml:space="preserve"> </w:t>
      </w:r>
      <w:r w:rsidR="007016BE">
        <w:rPr>
          <w:lang w:val="en-US"/>
        </w:rPr>
        <w:t>4 mm in diameter; no enlarged mediastinal lymph</w:t>
      </w:r>
      <w:r w:rsidR="001F2533">
        <w:rPr>
          <w:lang w:val="en-US"/>
        </w:rPr>
        <w:t xml:space="preserve"> </w:t>
      </w:r>
      <w:r w:rsidR="007016BE">
        <w:rPr>
          <w:lang w:val="en-US"/>
        </w:rPr>
        <w:t xml:space="preserve">nodes; </w:t>
      </w:r>
      <w:r w:rsidR="007D0ED8">
        <w:rPr>
          <w:lang w:val="en-US"/>
        </w:rPr>
        <w:t xml:space="preserve">liver enlarged, </w:t>
      </w:r>
      <w:r w:rsidR="007016BE">
        <w:rPr>
          <w:lang w:val="en-US"/>
        </w:rPr>
        <w:t xml:space="preserve">spleen bipolar diameter of 12 cm; </w:t>
      </w:r>
      <w:r w:rsidR="001F2533">
        <w:rPr>
          <w:lang w:val="en-US"/>
        </w:rPr>
        <w:t xml:space="preserve">no enlarged intraabdominal or retroperitoneal lymph nodes; </w:t>
      </w:r>
      <w:r w:rsidR="007016BE">
        <w:rPr>
          <w:lang w:val="en-US"/>
        </w:rPr>
        <w:t>spondylosis on the lumbar spine</w:t>
      </w:r>
      <w:r w:rsidR="001F2533">
        <w:rPr>
          <w:lang w:val="en-US"/>
        </w:rPr>
        <w:t>.</w:t>
      </w:r>
    </w:p>
    <w:p w:rsidR="001F2533" w:rsidRDefault="001F2533">
      <w:pPr>
        <w:rPr>
          <w:lang w:val="en-US"/>
        </w:rPr>
      </w:pPr>
      <w:r w:rsidRPr="001F2533">
        <w:rPr>
          <w:b/>
          <w:lang w:val="en-US"/>
        </w:rPr>
        <w:t>MRI of the thoracolumbar spine (month 6):</w:t>
      </w:r>
      <w:r>
        <w:rPr>
          <w:lang w:val="en-US"/>
        </w:rPr>
        <w:t xml:space="preserve"> disc protrusions T5-T6, L3-L4, L4-L5, L5-S1; no enhancement following contrast medium administration. </w:t>
      </w:r>
    </w:p>
    <w:p w:rsidR="0008094F" w:rsidRPr="00F366E4" w:rsidRDefault="0008094F">
      <w:pPr>
        <w:rPr>
          <w:u w:val="single"/>
          <w:lang w:val="en-US"/>
        </w:rPr>
      </w:pPr>
      <w:r w:rsidRPr="00F366E4">
        <w:rPr>
          <w:u w:val="single"/>
          <w:lang w:val="en-US"/>
        </w:rPr>
        <w:t>Answers to reviewer comments</w:t>
      </w:r>
    </w:p>
    <w:p w:rsidR="0008094F" w:rsidRDefault="0008094F" w:rsidP="0008094F">
      <w:pPr>
        <w:rPr>
          <w:iCs/>
          <w:color w:val="212121"/>
          <w:lang w:val="en-US"/>
        </w:rPr>
      </w:pPr>
      <w:r w:rsidRPr="0008094F">
        <w:rPr>
          <w:rFonts w:ascii="wf segoe-ui normal" w:hAnsi="wf segoe-ui normal"/>
          <w:i/>
          <w:iCs/>
          <w:color w:val="212121"/>
          <w:sz w:val="19"/>
          <w:lang w:val="en-US"/>
        </w:rPr>
        <w:t>Case management </w:t>
      </w:r>
      <w:r w:rsidRPr="0008094F">
        <w:rPr>
          <w:i/>
          <w:iCs/>
          <w:lang w:val="en-US"/>
        </w:rPr>
        <w:br/>
      </w:r>
      <w:r w:rsidRPr="0008094F">
        <w:rPr>
          <w:rFonts w:ascii="wf segoe-ui normal" w:hAnsi="wf segoe-ui normal"/>
          <w:i/>
          <w:iCs/>
          <w:color w:val="212121"/>
          <w:sz w:val="19"/>
          <w:lang w:val="en-US"/>
        </w:rPr>
        <w:t>Reasons for not following the HLH 2004 protocol  </w:t>
      </w:r>
      <w:r w:rsidRPr="0008094F">
        <w:rPr>
          <w:i/>
          <w:iCs/>
          <w:lang w:val="en-US"/>
        </w:rPr>
        <w:br/>
      </w:r>
      <w:r w:rsidRPr="0008094F">
        <w:rPr>
          <w:rFonts w:ascii="wf segoe-ui normal" w:hAnsi="wf segoe-ui normal"/>
          <w:i/>
          <w:iCs/>
          <w:color w:val="212121"/>
          <w:sz w:val="19"/>
          <w:lang w:val="en-US"/>
        </w:rPr>
        <w:t>French study protocol - In this protocol, patients receive prednisolone, anti-</w:t>
      </w:r>
      <w:proofErr w:type="spellStart"/>
      <w:r w:rsidRPr="0008094F">
        <w:rPr>
          <w:rFonts w:ascii="wf segoe-ui normal" w:hAnsi="wf segoe-ui normal"/>
          <w:i/>
          <w:iCs/>
          <w:color w:val="212121"/>
          <w:sz w:val="19"/>
          <w:lang w:val="en-US"/>
        </w:rPr>
        <w:t>thymocyte</w:t>
      </w:r>
      <w:proofErr w:type="spellEnd"/>
      <w:r w:rsidRPr="0008094F">
        <w:rPr>
          <w:rFonts w:ascii="wf segoe-ui normal" w:hAnsi="wf segoe-ui normal"/>
          <w:i/>
          <w:iCs/>
          <w:color w:val="212121"/>
          <w:sz w:val="19"/>
          <w:lang w:val="en-US"/>
        </w:rPr>
        <w:t xml:space="preserve"> globulin (ATG), and Cyclosporine A, which is followed rapidly by HSCT which offers comparable survival to etoposide based regimens. The standard of care remains the etoposide/dexamethasone immune-chemotherapy until further results are obtained. (1)</w:t>
      </w:r>
      <w:r w:rsidRPr="0008094F">
        <w:rPr>
          <w:i/>
          <w:iCs/>
          <w:lang w:val="en-US"/>
        </w:rPr>
        <w:br/>
      </w:r>
      <w:r w:rsidRPr="0008094F">
        <w:rPr>
          <w:rFonts w:ascii="wf segoe-ui normal" w:hAnsi="wf segoe-ui normal"/>
          <w:i/>
          <w:iCs/>
          <w:color w:val="212121"/>
          <w:sz w:val="19"/>
          <w:lang w:val="en-US"/>
        </w:rPr>
        <w:t>Reason for choice of steroid - Regimen consisting of dexamethasone with prednisolone was used </w:t>
      </w:r>
      <w:r w:rsidRPr="0008094F">
        <w:rPr>
          <w:i/>
          <w:iCs/>
          <w:lang w:val="en-US"/>
        </w:rPr>
        <w:br/>
      </w:r>
    </w:p>
    <w:p w:rsidR="0008094F" w:rsidRPr="0008094F" w:rsidRDefault="0008094F" w:rsidP="0008094F">
      <w:pPr>
        <w:rPr>
          <w:lang w:val="en-US"/>
        </w:rPr>
      </w:pPr>
      <w:r w:rsidRPr="0008094F">
        <w:rPr>
          <w:iCs/>
          <w:color w:val="212121"/>
          <w:lang w:val="en-US"/>
        </w:rPr>
        <w:t xml:space="preserve">The HLH 2004 protocol provided treatment recommendations for both familial HLH and reactive HLH including MAS that utilize corticosteroids, cyclosporine, and etoposide as a bridge to transplant. However, it is increasingly recognized that most disorders meeting HLH 2004 criteria will not require such aggressive immunosuppression. Additionally, chemotherapeutic strategies similar to the HLH 2004 protocol carry a high risk for iatrogenic infection and hematologic malignancy. Therefore, the </w:t>
      </w:r>
      <w:r w:rsidRPr="0008094F">
        <w:rPr>
          <w:iCs/>
          <w:color w:val="212121"/>
          <w:lang w:val="en-US"/>
        </w:rPr>
        <w:lastRenderedPageBreak/>
        <w:t xml:space="preserve">management of MAS is far from standardized and remain controversial. Most agree that high doses of corticosteroids are useful. While many practitioners treat MAS with HLH-2004-like approach, less toxic strategies that include </w:t>
      </w:r>
      <w:proofErr w:type="spellStart"/>
      <w:r w:rsidRPr="0008094F">
        <w:rPr>
          <w:iCs/>
          <w:color w:val="212121"/>
          <w:lang w:val="en-US"/>
        </w:rPr>
        <w:t>cyclosporin</w:t>
      </w:r>
      <w:proofErr w:type="spellEnd"/>
      <w:r w:rsidRPr="0008094F">
        <w:rPr>
          <w:iCs/>
          <w:color w:val="212121"/>
          <w:lang w:val="en-US"/>
        </w:rPr>
        <w:t xml:space="preserve">, </w:t>
      </w:r>
      <w:proofErr w:type="spellStart"/>
      <w:r w:rsidRPr="0008094F">
        <w:rPr>
          <w:iCs/>
          <w:color w:val="212121"/>
          <w:lang w:val="en-US"/>
        </w:rPr>
        <w:t>endovenous</w:t>
      </w:r>
      <w:proofErr w:type="spellEnd"/>
      <w:r w:rsidRPr="0008094F">
        <w:rPr>
          <w:iCs/>
          <w:color w:val="212121"/>
          <w:lang w:val="en-US"/>
        </w:rPr>
        <w:t xml:space="preserve"> immunoglobulin, IL-1- or IL-6 blockers have emerged (References 1,4,8).</w:t>
      </w:r>
    </w:p>
    <w:p w:rsidR="0008094F" w:rsidRPr="0008094F" w:rsidRDefault="0008094F" w:rsidP="0008094F">
      <w:pPr>
        <w:rPr>
          <w:lang w:val="en-US"/>
        </w:rPr>
      </w:pPr>
      <w:r w:rsidRPr="0008094F">
        <w:rPr>
          <w:iCs/>
          <w:color w:val="212121"/>
          <w:lang w:val="en-US"/>
        </w:rPr>
        <w:tab/>
        <w:t xml:space="preserve">Most colleagues involved in the treatment of the reported patient were not convinced of the diagnosis of MAS and therefore hesitate to prescribe etoposide. High dose corticosteroids were followed by prompt significant improvement, but this improvement lasted only a few days. Because the addition of </w:t>
      </w:r>
      <w:proofErr w:type="spellStart"/>
      <w:r w:rsidRPr="0008094F">
        <w:rPr>
          <w:iCs/>
          <w:color w:val="212121"/>
          <w:lang w:val="en-US"/>
        </w:rPr>
        <w:t>endovenous</w:t>
      </w:r>
      <w:proofErr w:type="spellEnd"/>
      <w:r w:rsidRPr="0008094F">
        <w:rPr>
          <w:iCs/>
          <w:color w:val="212121"/>
          <w:lang w:val="en-US"/>
        </w:rPr>
        <w:t xml:space="preserve"> </w:t>
      </w:r>
      <w:proofErr w:type="spellStart"/>
      <w:r w:rsidRPr="0008094F">
        <w:rPr>
          <w:iCs/>
          <w:color w:val="212121"/>
          <w:lang w:val="en-US"/>
        </w:rPr>
        <w:t>immunoglobuline</w:t>
      </w:r>
      <w:proofErr w:type="spellEnd"/>
      <w:r w:rsidRPr="0008094F">
        <w:rPr>
          <w:iCs/>
          <w:color w:val="212121"/>
          <w:lang w:val="en-US"/>
        </w:rPr>
        <w:t xml:space="preserve"> and cyclosporine seemed ineffective the breast silicone implant was removed with the intention to remove a possible trigger of MAS. Unexpectedly the histologic examination of tissue adjacent to the prosthesis revealed an ILBCL.</w:t>
      </w:r>
    </w:p>
    <w:p w:rsidR="0008094F" w:rsidRPr="0008094F" w:rsidRDefault="0008094F" w:rsidP="0008094F">
      <w:pPr>
        <w:rPr>
          <w:lang w:val="en-US"/>
        </w:rPr>
      </w:pPr>
      <w:r w:rsidRPr="0008094F">
        <w:rPr>
          <w:iCs/>
          <w:color w:val="212121"/>
          <w:lang w:val="en-US"/>
        </w:rPr>
        <w:tab/>
        <w:t xml:space="preserve">We didn't wont to discuss therapy because we won't burst the frame of an already complex clinical case. Therapy is best dealt with in many review articles including those cited in this case report. The uniqueness of this case report is the combination of the three rare syndromes with their diagnostic and </w:t>
      </w:r>
      <w:proofErr w:type="spellStart"/>
      <w:r w:rsidRPr="0008094F">
        <w:rPr>
          <w:iCs/>
          <w:color w:val="212121"/>
          <w:lang w:val="en-US"/>
        </w:rPr>
        <w:t>pathogenetic</w:t>
      </w:r>
      <w:proofErr w:type="spellEnd"/>
      <w:r w:rsidRPr="0008094F">
        <w:rPr>
          <w:iCs/>
          <w:color w:val="212121"/>
          <w:lang w:val="en-US"/>
        </w:rPr>
        <w:t xml:space="preserve"> implications.</w:t>
      </w:r>
    </w:p>
    <w:p w:rsidR="0008094F" w:rsidRPr="0008094F" w:rsidRDefault="0008094F" w:rsidP="0008094F">
      <w:pPr>
        <w:rPr>
          <w:rFonts w:ascii="wf segoe-ui normal" w:hAnsi="wf segoe-ui normal"/>
          <w:i/>
          <w:iCs/>
          <w:sz w:val="19"/>
          <w:lang w:val="en-US"/>
        </w:rPr>
      </w:pPr>
      <w:r w:rsidRPr="0008094F">
        <w:rPr>
          <w:rFonts w:ascii="wf segoe-ui normal" w:hAnsi="wf segoe-ui normal"/>
          <w:i/>
          <w:iCs/>
          <w:sz w:val="19"/>
          <w:lang w:val="en-US"/>
        </w:rPr>
        <w:t>Radiological confirmation of Spinal involvement.</w:t>
      </w:r>
    </w:p>
    <w:p w:rsidR="0008094F" w:rsidRPr="0008094F" w:rsidRDefault="0008094F" w:rsidP="0008094F">
      <w:pPr>
        <w:rPr>
          <w:lang w:val="en-US"/>
        </w:rPr>
      </w:pPr>
      <w:r w:rsidRPr="0008094F">
        <w:rPr>
          <w:rFonts w:ascii="wf segoe-ui normal" w:hAnsi="wf segoe-ui normal"/>
          <w:i/>
          <w:iCs/>
          <w:sz w:val="19"/>
          <w:lang w:val="en-US"/>
        </w:rPr>
        <w:t xml:space="preserve">A Demyelinating process seems to underlie the neurological manifestations although no attempt has been made to confirm the same by way of radiological or </w:t>
      </w:r>
      <w:proofErr w:type="spellStart"/>
      <w:r w:rsidRPr="0008094F">
        <w:rPr>
          <w:rFonts w:ascii="wf segoe-ui normal" w:hAnsi="wf segoe-ui normal"/>
          <w:i/>
          <w:iCs/>
          <w:sz w:val="19"/>
          <w:lang w:val="en-US"/>
        </w:rPr>
        <w:t>electroneurophysiological</w:t>
      </w:r>
      <w:proofErr w:type="spellEnd"/>
      <w:r w:rsidRPr="0008094F">
        <w:rPr>
          <w:rFonts w:ascii="wf segoe-ui normal" w:hAnsi="wf segoe-ui normal"/>
          <w:i/>
          <w:iCs/>
          <w:sz w:val="19"/>
          <w:lang w:val="en-US"/>
        </w:rPr>
        <w:t xml:space="preserve"> studies.</w:t>
      </w:r>
      <w:r w:rsidRPr="0008094F">
        <w:rPr>
          <w:i/>
          <w:iCs/>
          <w:lang w:val="en-US"/>
        </w:rPr>
        <w:br/>
      </w:r>
      <w:r w:rsidRPr="0008094F">
        <w:rPr>
          <w:rFonts w:ascii="wf segoe-ui normal" w:hAnsi="wf segoe-ui normal"/>
          <w:i/>
          <w:iCs/>
          <w:sz w:val="19"/>
          <w:lang w:val="en-US"/>
        </w:rPr>
        <w:t>This needs to be explained as the patient has completed one and a half years of follow up successfully. </w:t>
      </w:r>
      <w:r w:rsidRPr="0008094F">
        <w:rPr>
          <w:i/>
          <w:iCs/>
          <w:lang w:val="en-US"/>
        </w:rPr>
        <w:br/>
      </w:r>
    </w:p>
    <w:p w:rsidR="0008094F" w:rsidRPr="0008094F" w:rsidRDefault="0008094F" w:rsidP="0008094F">
      <w:pPr>
        <w:rPr>
          <w:lang w:val="en-US"/>
        </w:rPr>
      </w:pPr>
      <w:r w:rsidRPr="0008094F">
        <w:rPr>
          <w:rFonts w:ascii="wf segoe-ui normal" w:hAnsi="wf segoe-ui normal"/>
          <w:iCs/>
          <w:lang w:val="en-US"/>
        </w:rPr>
        <w:t xml:space="preserve">RMI imaging showed merely disc protrusions that did not explain the cauda </w:t>
      </w:r>
      <w:proofErr w:type="spellStart"/>
      <w:r w:rsidRPr="0008094F">
        <w:rPr>
          <w:rFonts w:ascii="wf segoe-ui normal" w:hAnsi="wf segoe-ui normal"/>
          <w:iCs/>
          <w:lang w:val="en-US"/>
        </w:rPr>
        <w:t>equina</w:t>
      </w:r>
      <w:proofErr w:type="spellEnd"/>
      <w:r w:rsidRPr="0008094F">
        <w:rPr>
          <w:rFonts w:ascii="wf segoe-ui normal" w:hAnsi="wf segoe-ui normal"/>
          <w:iCs/>
          <w:lang w:val="en-US"/>
        </w:rPr>
        <w:t xml:space="preserve"> syndrome</w:t>
      </w:r>
    </w:p>
    <w:p w:rsidR="00C21C8A" w:rsidRDefault="00C21C8A" w:rsidP="0008094F">
      <w:pPr>
        <w:rPr>
          <w:rFonts w:ascii="wf segoe-ui normal" w:hAnsi="wf segoe-ui normal"/>
          <w:i/>
          <w:iCs/>
          <w:color w:val="212121"/>
          <w:sz w:val="19"/>
          <w:lang w:val="en-US"/>
        </w:rPr>
      </w:pPr>
    </w:p>
    <w:p w:rsidR="00CF6AF8" w:rsidRDefault="0008094F" w:rsidP="0008094F">
      <w:pPr>
        <w:rPr>
          <w:rFonts w:ascii="wf segoe-ui normal" w:hAnsi="wf segoe-ui normal"/>
          <w:iCs/>
          <w:color w:val="212121"/>
          <w:lang w:val="en-US"/>
        </w:rPr>
      </w:pPr>
      <w:r w:rsidRPr="0008094F">
        <w:rPr>
          <w:rFonts w:ascii="wf segoe-ui normal" w:hAnsi="wf segoe-ui normal"/>
          <w:i/>
          <w:iCs/>
          <w:color w:val="212121"/>
          <w:sz w:val="19"/>
          <w:lang w:val="en-US"/>
        </w:rPr>
        <w:t xml:space="preserve">Use of </w:t>
      </w:r>
      <w:proofErr w:type="spellStart"/>
      <w:r w:rsidRPr="0008094F">
        <w:rPr>
          <w:rFonts w:ascii="wf segoe-ui normal" w:hAnsi="wf segoe-ui normal"/>
          <w:i/>
          <w:iCs/>
          <w:color w:val="212121"/>
          <w:sz w:val="19"/>
          <w:lang w:val="en-US"/>
        </w:rPr>
        <w:t>Naranjos</w:t>
      </w:r>
      <w:proofErr w:type="spellEnd"/>
      <w:r w:rsidRPr="0008094F">
        <w:rPr>
          <w:rFonts w:ascii="wf segoe-ui normal" w:hAnsi="wf segoe-ui normal"/>
          <w:i/>
          <w:iCs/>
          <w:color w:val="212121"/>
          <w:sz w:val="19"/>
          <w:lang w:val="en-US"/>
        </w:rPr>
        <w:t xml:space="preserve"> algorithm or the WHO UMC assessment to suggest causality.</w:t>
      </w:r>
      <w:r w:rsidRPr="0008094F">
        <w:rPr>
          <w:i/>
          <w:iCs/>
          <w:lang w:val="en-US"/>
        </w:rPr>
        <w:br/>
      </w:r>
    </w:p>
    <w:p w:rsidR="0008094F" w:rsidRPr="00CF6AF8" w:rsidRDefault="0008094F" w:rsidP="0008094F">
      <w:pPr>
        <w:rPr>
          <w:rFonts w:ascii="Calibri" w:hAnsi="Calibri"/>
          <w:iCs/>
          <w:color w:val="212121"/>
          <w:lang w:val="en-US"/>
        </w:rPr>
      </w:pPr>
      <w:r w:rsidRPr="00CF6AF8">
        <w:rPr>
          <w:rFonts w:ascii="Calibri" w:hAnsi="Calibri"/>
          <w:iCs/>
          <w:color w:val="212121"/>
          <w:lang w:val="en-US"/>
        </w:rPr>
        <w:t xml:space="preserve">Causality is suggested by the analogy of the silicone implant associated ALK negative anaplastic large cell lymphoma (Discussion subheading 5) and by localization at the side of chronic inflammation (Discussion subheading 5). It seems obvious that for very rare diseases a genetic basis might play a role (Discussion subheadings 2,4,6,7) but collection of further data e. g. HLA determinations or search for polymorphisms of genes related to </w:t>
      </w:r>
      <w:proofErr w:type="spellStart"/>
      <w:r w:rsidRPr="00CF6AF8">
        <w:rPr>
          <w:rFonts w:ascii="Calibri" w:hAnsi="Calibri"/>
          <w:iCs/>
          <w:color w:val="212121"/>
          <w:lang w:val="en-US"/>
        </w:rPr>
        <w:t>fHLH</w:t>
      </w:r>
      <w:proofErr w:type="spellEnd"/>
      <w:r w:rsidRPr="00CF6AF8">
        <w:rPr>
          <w:rFonts w:ascii="Calibri" w:hAnsi="Calibri"/>
          <w:iCs/>
          <w:color w:val="212121"/>
          <w:lang w:val="en-US"/>
        </w:rPr>
        <w:t xml:space="preserve"> are necessary in order to advance this knowledge directed towards a personalized medicine.</w:t>
      </w:r>
    </w:p>
    <w:p w:rsidR="0008094F" w:rsidRPr="0008094F" w:rsidRDefault="0008094F" w:rsidP="0008094F">
      <w:pPr>
        <w:rPr>
          <w:lang w:val="en-US"/>
        </w:rPr>
      </w:pPr>
      <w:r w:rsidRPr="0008094F">
        <w:rPr>
          <w:i/>
          <w:iCs/>
          <w:lang w:val="en-US"/>
        </w:rPr>
        <w:br/>
      </w:r>
      <w:r w:rsidRPr="0008094F">
        <w:rPr>
          <w:rFonts w:ascii="wf segoe-ui normal" w:hAnsi="wf segoe-ui normal"/>
          <w:i/>
          <w:iCs/>
          <w:color w:val="212121"/>
          <w:sz w:val="19"/>
          <w:lang w:val="en-US"/>
        </w:rPr>
        <w:t xml:space="preserve">Serum Ig G levels to be documented as rising </w:t>
      </w:r>
      <w:proofErr w:type="spellStart"/>
      <w:r w:rsidRPr="0008094F">
        <w:rPr>
          <w:rFonts w:ascii="wf segoe-ui normal" w:hAnsi="wf segoe-ui normal"/>
          <w:i/>
          <w:iCs/>
          <w:color w:val="212121"/>
          <w:sz w:val="19"/>
          <w:lang w:val="en-US"/>
        </w:rPr>
        <w:t>titre</w:t>
      </w:r>
      <w:proofErr w:type="spellEnd"/>
      <w:r w:rsidRPr="0008094F">
        <w:rPr>
          <w:rFonts w:ascii="wf segoe-ui normal" w:hAnsi="wf segoe-ui normal"/>
          <w:i/>
          <w:iCs/>
          <w:color w:val="212121"/>
          <w:sz w:val="19"/>
          <w:lang w:val="en-US"/>
        </w:rPr>
        <w:t xml:space="preserve"> of the same could provide necessary evidence of the causative association between Silicone implants and </w:t>
      </w:r>
      <w:proofErr w:type="gramStart"/>
      <w:r w:rsidRPr="0008094F">
        <w:rPr>
          <w:rFonts w:ascii="wf segoe-ui normal" w:hAnsi="wf segoe-ui normal"/>
          <w:i/>
          <w:iCs/>
          <w:color w:val="212121"/>
          <w:sz w:val="19"/>
          <w:lang w:val="en-US"/>
        </w:rPr>
        <w:t>autoimmunity.(</w:t>
      </w:r>
      <w:proofErr w:type="gramEnd"/>
      <w:r w:rsidRPr="0008094F">
        <w:rPr>
          <w:rFonts w:ascii="wf segoe-ui normal" w:hAnsi="wf segoe-ui normal"/>
          <w:i/>
          <w:iCs/>
          <w:color w:val="212121"/>
          <w:sz w:val="19"/>
          <w:lang w:val="en-US"/>
        </w:rPr>
        <w:t>2)</w:t>
      </w:r>
    </w:p>
    <w:p w:rsidR="0008094F" w:rsidRPr="0008094F" w:rsidRDefault="0008094F" w:rsidP="0008094F">
      <w:pPr>
        <w:rPr>
          <w:lang w:val="en-US"/>
        </w:rPr>
      </w:pPr>
      <w:r w:rsidRPr="0008094F">
        <w:rPr>
          <w:iCs/>
          <w:color w:val="212121"/>
          <w:lang w:val="en-US"/>
        </w:rPr>
        <w:t xml:space="preserve">Serum IgG levels were repeatedly within the reference range. Fulfilled major criteria for ASIA are: </w:t>
      </w:r>
      <w:proofErr w:type="spellStart"/>
      <w:r w:rsidRPr="0008094F">
        <w:rPr>
          <w:iCs/>
          <w:color w:val="212121"/>
          <w:lang w:val="en-US"/>
        </w:rPr>
        <w:t>i</w:t>
      </w:r>
      <w:proofErr w:type="spellEnd"/>
      <w:r w:rsidRPr="0008094F">
        <w:rPr>
          <w:iCs/>
          <w:color w:val="212121"/>
          <w:lang w:val="en-US"/>
        </w:rPr>
        <w:t>) exposure to an external stimulus (silicone), ii) “typical” clinical manifestations (sleep disturbances since silicone prosthesis implantation) the other symptoms cannot be differentiated from those of IVLBCL, iii) extensive giant cell-</w:t>
      </w:r>
      <w:proofErr w:type="spellStart"/>
      <w:r w:rsidRPr="0008094F">
        <w:rPr>
          <w:iCs/>
          <w:color w:val="212121"/>
          <w:lang w:val="en-US"/>
        </w:rPr>
        <w:t>lymphohistiocytic</w:t>
      </w:r>
      <w:proofErr w:type="spellEnd"/>
      <w:r w:rsidRPr="0008094F">
        <w:rPr>
          <w:iCs/>
          <w:color w:val="212121"/>
          <w:lang w:val="en-US"/>
        </w:rPr>
        <w:t xml:space="preserve"> foreign body reaction of the tissue adjacent to the silicon implant.</w:t>
      </w:r>
    </w:p>
    <w:p w:rsidR="0008094F" w:rsidRPr="0008094F" w:rsidRDefault="0008094F" w:rsidP="0008094F">
      <w:pPr>
        <w:rPr>
          <w:lang w:val="en-US"/>
        </w:rPr>
      </w:pPr>
      <w:r w:rsidRPr="0008094F">
        <w:rPr>
          <w:i/>
          <w:iCs/>
          <w:lang w:val="en-US"/>
        </w:rPr>
        <w:br/>
      </w:r>
      <w:r w:rsidRPr="0008094F">
        <w:rPr>
          <w:rFonts w:ascii="wf segoe-ui normal" w:hAnsi="wf segoe-ui normal"/>
          <w:i/>
          <w:iCs/>
          <w:color w:val="212121"/>
          <w:sz w:val="19"/>
          <w:lang w:val="en-US"/>
        </w:rPr>
        <w:t>Significance of later development of Icterus in figure needs to be explained further as the same has been excluded from the text.</w:t>
      </w:r>
    </w:p>
    <w:p w:rsidR="0008094F" w:rsidRPr="0008094F" w:rsidRDefault="0008094F" w:rsidP="0008094F">
      <w:pPr>
        <w:rPr>
          <w:lang w:val="en-US"/>
        </w:rPr>
      </w:pPr>
      <w:r w:rsidRPr="0008094F">
        <w:rPr>
          <w:rFonts w:ascii="wf segoe-ui normal" w:hAnsi="wf segoe-ui normal"/>
          <w:iCs/>
          <w:color w:val="212121"/>
          <w:lang w:val="en-US"/>
        </w:rPr>
        <w:t xml:space="preserve">The icterus can be seen in relation to the “cytokine storm” and potential </w:t>
      </w:r>
      <w:proofErr w:type="spellStart"/>
      <w:r w:rsidRPr="0008094F">
        <w:rPr>
          <w:rFonts w:ascii="wf segoe-ui normal" w:hAnsi="wf segoe-ui normal"/>
          <w:iCs/>
          <w:color w:val="212121"/>
          <w:lang w:val="en-US"/>
        </w:rPr>
        <w:t>multiorgan</w:t>
      </w:r>
      <w:proofErr w:type="spellEnd"/>
      <w:r w:rsidRPr="0008094F">
        <w:rPr>
          <w:rFonts w:ascii="wf segoe-ui normal" w:hAnsi="wf segoe-ui normal"/>
          <w:iCs/>
          <w:color w:val="212121"/>
          <w:lang w:val="en-US"/>
        </w:rPr>
        <w:t xml:space="preserve"> involvement of MAS (Reference 7) and /or the potential </w:t>
      </w:r>
      <w:proofErr w:type="spellStart"/>
      <w:r w:rsidRPr="0008094F">
        <w:rPr>
          <w:rFonts w:ascii="wf segoe-ui normal" w:hAnsi="wf segoe-ui normal"/>
          <w:iCs/>
          <w:color w:val="212121"/>
          <w:lang w:val="en-US"/>
        </w:rPr>
        <w:t>multiorgan</w:t>
      </w:r>
      <w:proofErr w:type="spellEnd"/>
      <w:r w:rsidRPr="0008094F">
        <w:rPr>
          <w:rFonts w:ascii="wf segoe-ui normal" w:hAnsi="wf segoe-ui normal"/>
          <w:iCs/>
          <w:color w:val="212121"/>
          <w:lang w:val="en-US"/>
        </w:rPr>
        <w:t xml:space="preserve"> involvement of IVLBCL (References 37-40). Additional inflammation due the surgical removal of the silicone prosthesis or side effects of the general anesthesia might have been further contributing factors to the increased bilirubin level.</w:t>
      </w:r>
      <w:r w:rsidRPr="0008094F">
        <w:rPr>
          <w:iCs/>
          <w:lang w:val="en-US"/>
        </w:rPr>
        <w:br/>
      </w:r>
      <w:r w:rsidRPr="0008094F">
        <w:rPr>
          <w:i/>
          <w:iCs/>
          <w:lang w:val="en-US"/>
        </w:rPr>
        <w:lastRenderedPageBreak/>
        <w:br/>
      </w:r>
      <w:r w:rsidRPr="0008094F">
        <w:rPr>
          <w:rFonts w:ascii="wf segoe-ui normal" w:hAnsi="wf segoe-ui normal"/>
          <w:i/>
          <w:iCs/>
          <w:color w:val="212121"/>
          <w:sz w:val="19"/>
          <w:lang w:val="en-US"/>
        </w:rPr>
        <w:t>Introduction </w:t>
      </w:r>
      <w:r w:rsidRPr="0008094F">
        <w:rPr>
          <w:i/>
          <w:iCs/>
          <w:lang w:val="en-US"/>
        </w:rPr>
        <w:br/>
      </w:r>
      <w:r w:rsidRPr="0008094F">
        <w:rPr>
          <w:rFonts w:ascii="wf segoe-ui normal" w:hAnsi="wf segoe-ui normal"/>
          <w:i/>
          <w:iCs/>
          <w:color w:val="212121"/>
          <w:sz w:val="19"/>
          <w:lang w:val="en-US"/>
        </w:rPr>
        <w:t>The focus is squarely on the role of silicone implants in the pathogenesis of the condition.</w:t>
      </w:r>
    </w:p>
    <w:p w:rsidR="0008094F" w:rsidRPr="0008094F" w:rsidRDefault="0008094F" w:rsidP="0008094F">
      <w:pPr>
        <w:rPr>
          <w:color w:val="212121"/>
          <w:lang w:val="en-US"/>
        </w:rPr>
      </w:pPr>
      <w:r w:rsidRPr="0008094F">
        <w:rPr>
          <w:color w:val="212121"/>
          <w:lang w:val="en-US"/>
        </w:rPr>
        <w:t>Indeed, the association between silicone implant and intravascular large B cell lymphoma (ILBCL) is unique and has not been reported previously. In the cited literature there are hints suggesting a possible/probable causative association between the chronic inflammation due to the silicone implant (ASIA) and the IVLBCL.</w:t>
      </w:r>
    </w:p>
    <w:p w:rsidR="0008094F" w:rsidRPr="0008094F" w:rsidRDefault="0008094F" w:rsidP="0008094F">
      <w:pPr>
        <w:rPr>
          <w:rFonts w:ascii="wf segoe-ui normal" w:hAnsi="wf segoe-ui normal"/>
          <w:i/>
          <w:iCs/>
          <w:color w:val="212121"/>
          <w:sz w:val="19"/>
          <w:lang w:val="en-US"/>
        </w:rPr>
      </w:pPr>
      <w:r w:rsidRPr="0008094F">
        <w:rPr>
          <w:rFonts w:ascii="wf segoe-ui normal" w:hAnsi="wf segoe-ui normal"/>
          <w:i/>
          <w:iCs/>
          <w:color w:val="212121"/>
          <w:sz w:val="19"/>
          <w:lang w:val="en-US"/>
        </w:rPr>
        <w:t>The title suggests the role of HLA polymorphism in the condition which seems to have been overlooked in the introduction.</w:t>
      </w:r>
    </w:p>
    <w:p w:rsidR="00C21C8A" w:rsidRDefault="0008094F" w:rsidP="0008094F">
      <w:pPr>
        <w:rPr>
          <w:iCs/>
          <w:lang w:val="en-US"/>
        </w:rPr>
      </w:pPr>
      <w:r w:rsidRPr="0008094F">
        <w:rPr>
          <w:iCs/>
          <w:color w:val="212121"/>
          <w:lang w:val="en-US"/>
        </w:rPr>
        <w:t>The combination of the three rare and difficult to diagnose syndromes, autoimmune/inflammatory syndrome induced by adjuvant (ASIA), macrophage activation syndrome (MAS), and ILBCL is unique and has not been reported previously. In the cited literature there are indications of interactions between these three rare syndromes, represented in Fig. 3. Because these three rare syndromes may not be well known to the common reader they are introduced in the introduction section. The role of HLA polymorphisms is extensively treated in the discussion section (paragraph 2,4</w:t>
      </w:r>
      <w:proofErr w:type="gramStart"/>
      <w:r w:rsidRPr="0008094F">
        <w:rPr>
          <w:iCs/>
          <w:color w:val="212121"/>
          <w:lang w:val="en-US"/>
        </w:rPr>
        <w:t>)..</w:t>
      </w:r>
      <w:proofErr w:type="gramEnd"/>
      <w:r w:rsidRPr="0008094F">
        <w:rPr>
          <w:iCs/>
          <w:color w:val="212121"/>
          <w:lang w:val="en-US"/>
        </w:rPr>
        <w:t xml:space="preserve"> </w:t>
      </w:r>
      <w:r w:rsidRPr="0008094F">
        <w:rPr>
          <w:iCs/>
          <w:lang w:val="en-US"/>
        </w:rPr>
        <w:br/>
      </w:r>
      <w:r w:rsidRPr="0008094F">
        <w:rPr>
          <w:i/>
          <w:iCs/>
          <w:lang w:val="en-US"/>
        </w:rPr>
        <w:br/>
      </w:r>
      <w:r w:rsidRPr="0008094F">
        <w:rPr>
          <w:rFonts w:ascii="wf segoe-ui normal" w:hAnsi="wf segoe-ui normal"/>
          <w:i/>
          <w:iCs/>
          <w:color w:val="212121"/>
          <w:sz w:val="19"/>
          <w:lang w:val="en-US"/>
        </w:rPr>
        <w:t>Clinical features, Investigations and management need to be incorporated into a flow diagram or a time line highlighting the exact chronological sequence of events.</w:t>
      </w:r>
      <w:r w:rsidRPr="0008094F">
        <w:rPr>
          <w:i/>
          <w:iCs/>
          <w:lang w:val="en-US"/>
        </w:rPr>
        <w:br/>
      </w:r>
    </w:p>
    <w:p w:rsidR="0008094F" w:rsidRPr="0008094F" w:rsidRDefault="0008094F" w:rsidP="0008094F">
      <w:pPr>
        <w:rPr>
          <w:iCs/>
          <w:lang w:val="en-US"/>
        </w:rPr>
      </w:pPr>
      <w:r w:rsidRPr="0008094F">
        <w:rPr>
          <w:iCs/>
          <w:lang w:val="en-US"/>
        </w:rPr>
        <w:t>A time line of the main clinical features has been constructed as Fig. 1.</w:t>
      </w:r>
    </w:p>
    <w:p w:rsidR="00C21C8A" w:rsidRDefault="00C21C8A" w:rsidP="0008094F">
      <w:pPr>
        <w:rPr>
          <w:rFonts w:ascii="wf segoe-ui normal" w:hAnsi="wf segoe-ui normal"/>
          <w:i/>
          <w:iCs/>
          <w:color w:val="212121"/>
          <w:sz w:val="19"/>
          <w:lang w:val="en-US"/>
        </w:rPr>
      </w:pPr>
    </w:p>
    <w:p w:rsidR="0008094F" w:rsidRPr="0008094F" w:rsidRDefault="0008094F" w:rsidP="0008094F">
      <w:pPr>
        <w:rPr>
          <w:rFonts w:ascii="wf segoe-ui normal" w:hAnsi="wf segoe-ui normal"/>
          <w:i/>
          <w:iCs/>
          <w:color w:val="212121"/>
          <w:sz w:val="19"/>
          <w:lang w:val="en-US"/>
        </w:rPr>
      </w:pPr>
      <w:r w:rsidRPr="0008094F">
        <w:rPr>
          <w:rFonts w:ascii="wf segoe-ui normal" w:hAnsi="wf segoe-ui normal"/>
          <w:i/>
          <w:iCs/>
          <w:color w:val="212121"/>
          <w:sz w:val="19"/>
          <w:lang w:val="en-US"/>
        </w:rPr>
        <w:t>Clinical significance of point 6 in discussion needs to be elaborated further.</w:t>
      </w:r>
    </w:p>
    <w:p w:rsidR="0008094F" w:rsidRPr="0008094F" w:rsidRDefault="0008094F" w:rsidP="0008094F">
      <w:pPr>
        <w:rPr>
          <w:rFonts w:ascii="wf segoe-ui normal" w:hAnsi="wf segoe-ui normal"/>
          <w:i/>
          <w:iCs/>
          <w:color w:val="212121"/>
          <w:sz w:val="19"/>
          <w:lang w:val="en-US"/>
        </w:rPr>
      </w:pPr>
    </w:p>
    <w:p w:rsidR="0008094F" w:rsidRPr="0008094F" w:rsidRDefault="0008094F" w:rsidP="0008094F">
      <w:pPr>
        <w:rPr>
          <w:iCs/>
          <w:lang w:val="en-US"/>
        </w:rPr>
      </w:pPr>
      <w:r w:rsidRPr="0008094F">
        <w:rPr>
          <w:iCs/>
          <w:lang w:val="en-US"/>
        </w:rPr>
        <w:t xml:space="preserve">Polymorphisms of genes related to </w:t>
      </w:r>
      <w:proofErr w:type="spellStart"/>
      <w:r w:rsidRPr="0008094F">
        <w:rPr>
          <w:iCs/>
          <w:lang w:val="en-US"/>
        </w:rPr>
        <w:t>fHLH</w:t>
      </w:r>
      <w:proofErr w:type="spellEnd"/>
      <w:r w:rsidRPr="0008094F">
        <w:rPr>
          <w:iCs/>
          <w:lang w:val="en-US"/>
        </w:rPr>
        <w:t xml:space="preserve"> may underlay also MAS (Reference 2,6,107,112,113). Its clinical significance might be elaborated further in the future when more research data will be available.</w:t>
      </w:r>
    </w:p>
    <w:p w:rsidR="0008094F" w:rsidRPr="0008094F" w:rsidRDefault="0008094F" w:rsidP="0008094F">
      <w:pPr>
        <w:rPr>
          <w:lang w:val="en-US"/>
        </w:rPr>
      </w:pPr>
      <w:r w:rsidRPr="0008094F">
        <w:rPr>
          <w:i/>
          <w:iCs/>
          <w:lang w:val="en-US"/>
        </w:rPr>
        <w:br/>
      </w:r>
      <w:r w:rsidRPr="0008094F">
        <w:rPr>
          <w:rFonts w:ascii="wf segoe-ui normal" w:hAnsi="wf segoe-ui normal"/>
          <w:i/>
          <w:iCs/>
          <w:color w:val="212121"/>
          <w:sz w:val="19"/>
          <w:lang w:val="en-US"/>
        </w:rPr>
        <w:t>The recommendation for routine HLA testing for every individual who is supposed to undergo a breast augmentation/mammoplasty seems overreaching and without requisite clinical evidence at present.</w:t>
      </w:r>
    </w:p>
    <w:p w:rsidR="0008094F" w:rsidRPr="0008094F" w:rsidRDefault="0008094F" w:rsidP="0008094F">
      <w:pPr>
        <w:rPr>
          <w:rFonts w:ascii="wf segoe-ui normal" w:hAnsi="wf segoe-ui normal"/>
          <w:i/>
          <w:iCs/>
          <w:color w:val="212121"/>
          <w:sz w:val="19"/>
          <w:lang w:val="en-US"/>
        </w:rPr>
      </w:pPr>
    </w:p>
    <w:p w:rsidR="0008094F" w:rsidRPr="0008094F" w:rsidRDefault="0008094F" w:rsidP="0008094F">
      <w:pPr>
        <w:rPr>
          <w:iCs/>
          <w:lang w:val="en-US"/>
        </w:rPr>
      </w:pPr>
      <w:r w:rsidRPr="0008094F">
        <w:rPr>
          <w:iCs/>
          <w:lang w:val="en-US"/>
        </w:rPr>
        <w:t>The routine HLA testing for every individual who is supposed to undergo a silicon prosthesis implantation is recommended in order to collect further data, that may allow in future to better evaluate the risk of potential important side effects.</w:t>
      </w:r>
    </w:p>
    <w:p w:rsidR="0008094F" w:rsidRPr="0008094F" w:rsidRDefault="0008094F" w:rsidP="0008094F">
      <w:pPr>
        <w:rPr>
          <w:lang w:val="en-US"/>
        </w:rPr>
      </w:pPr>
      <w:r w:rsidRPr="0008094F">
        <w:rPr>
          <w:i/>
          <w:iCs/>
          <w:color w:val="FF0000"/>
          <w:lang w:val="en-US"/>
        </w:rPr>
        <w:br/>
      </w:r>
      <w:r w:rsidRPr="0008094F">
        <w:rPr>
          <w:rFonts w:ascii="wf segoe-ui normal" w:hAnsi="wf segoe-ui normal"/>
          <w:i/>
          <w:iCs/>
          <w:color w:val="212121"/>
          <w:sz w:val="19"/>
          <w:lang w:val="en-US"/>
        </w:rPr>
        <w:t>Factual accuracy</w:t>
      </w:r>
      <w:r w:rsidRPr="0008094F">
        <w:rPr>
          <w:i/>
          <w:iCs/>
          <w:lang w:val="en-US"/>
        </w:rPr>
        <w:br/>
      </w:r>
      <w:r w:rsidRPr="0008094F">
        <w:rPr>
          <w:rFonts w:ascii="wf segoe-ui normal" w:hAnsi="wf segoe-ui normal"/>
          <w:i/>
          <w:iCs/>
          <w:color w:val="212121"/>
          <w:sz w:val="19"/>
          <w:lang w:val="en-US"/>
        </w:rPr>
        <w:t xml:space="preserve">The note below the table depicting the diagnostic criteria for ASIA syndrome states that the criteria were taken from 93 cases who were vaccinated with the Hepatitis C Vaccine, whereas the original criteria were proposed by </w:t>
      </w:r>
      <w:proofErr w:type="spellStart"/>
      <w:r w:rsidRPr="0008094F">
        <w:rPr>
          <w:rFonts w:ascii="wf segoe-ui normal" w:hAnsi="wf segoe-ui normal"/>
          <w:i/>
          <w:iCs/>
          <w:color w:val="212121"/>
          <w:sz w:val="19"/>
          <w:lang w:val="en-US"/>
        </w:rPr>
        <w:t>Dr</w:t>
      </w:r>
      <w:proofErr w:type="spellEnd"/>
      <w:r w:rsidRPr="0008094F">
        <w:rPr>
          <w:rFonts w:ascii="wf segoe-ui normal" w:hAnsi="wf segoe-ui normal"/>
          <w:i/>
          <w:iCs/>
          <w:color w:val="212121"/>
          <w:sz w:val="19"/>
          <w:lang w:val="en-US"/>
        </w:rPr>
        <w:t xml:space="preserve"> Yehuda </w:t>
      </w:r>
      <w:proofErr w:type="spellStart"/>
      <w:r w:rsidRPr="0008094F">
        <w:rPr>
          <w:rFonts w:ascii="wf segoe-ui normal" w:hAnsi="wf segoe-ui normal"/>
          <w:i/>
          <w:iCs/>
          <w:color w:val="212121"/>
          <w:sz w:val="19"/>
          <w:lang w:val="en-US"/>
        </w:rPr>
        <w:t>Schoenfeld</w:t>
      </w:r>
      <w:proofErr w:type="spellEnd"/>
      <w:r w:rsidRPr="0008094F">
        <w:rPr>
          <w:rFonts w:ascii="wf segoe-ui normal" w:hAnsi="wf segoe-ui normal"/>
          <w:i/>
          <w:iCs/>
          <w:color w:val="212121"/>
          <w:sz w:val="19"/>
          <w:lang w:val="en-US"/>
        </w:rPr>
        <w:t> </w:t>
      </w:r>
    </w:p>
    <w:p w:rsidR="0008094F" w:rsidRPr="0008094F" w:rsidRDefault="0008094F" w:rsidP="0008094F">
      <w:pPr>
        <w:rPr>
          <w:rFonts w:ascii="wf segoe-ui normal" w:hAnsi="wf segoe-ui normal"/>
          <w:i/>
          <w:iCs/>
          <w:color w:val="212121"/>
          <w:sz w:val="19"/>
          <w:lang w:val="en-US"/>
        </w:rPr>
      </w:pPr>
    </w:p>
    <w:p w:rsidR="0008094F" w:rsidRDefault="0008094F" w:rsidP="00B446DC">
      <w:pPr>
        <w:rPr>
          <w:rFonts w:ascii="wf segoe-ui normal" w:hAnsi="wf segoe-ui normal"/>
          <w:iCs/>
          <w:color w:val="212121"/>
          <w:lang w:val="en-US"/>
        </w:rPr>
      </w:pPr>
      <w:r w:rsidRPr="0008094F">
        <w:rPr>
          <w:rFonts w:ascii="wf segoe-ui normal" w:hAnsi="wf segoe-ui normal"/>
          <w:iCs/>
          <w:color w:val="212121"/>
          <w:lang w:val="en-US"/>
        </w:rPr>
        <w:t>…</w:t>
      </w:r>
      <w:proofErr w:type="gramStart"/>
      <w:r w:rsidRPr="0008094F">
        <w:rPr>
          <w:rFonts w:ascii="wf segoe-ui normal" w:hAnsi="wf segoe-ui normal"/>
          <w:iCs/>
          <w:color w:val="212121"/>
          <w:lang w:val="en-US"/>
        </w:rPr>
        <w:t>….Table</w:t>
      </w:r>
      <w:proofErr w:type="gramEnd"/>
      <w:r w:rsidRPr="0008094F">
        <w:rPr>
          <w:rFonts w:ascii="wf segoe-ui normal" w:hAnsi="wf segoe-ui normal"/>
          <w:iCs/>
          <w:color w:val="212121"/>
          <w:lang w:val="en-US"/>
        </w:rPr>
        <w:t xml:space="preserve"> 2 Suggested criteria for the diagnosis of ASIA</w:t>
      </w:r>
      <w:r w:rsidRPr="0008094F">
        <w:rPr>
          <w:rFonts w:ascii="wf segoe-ui normal" w:hAnsi="wf segoe-ui normal"/>
          <w:iCs/>
          <w:color w:val="212121"/>
          <w:vertAlign w:val="superscript"/>
          <w:lang w:val="en-US"/>
        </w:rPr>
        <w:t>9</w:t>
      </w:r>
      <w:r w:rsidRPr="0008094F">
        <w:rPr>
          <w:rFonts w:ascii="wf segoe-ui normal" w:hAnsi="wf segoe-ui normal"/>
          <w:iCs/>
          <w:color w:val="212121"/>
          <w:lang w:val="en-US"/>
        </w:rPr>
        <w:t xml:space="preserve"> …….Reference 9 is the article where Dr. Yehuda </w:t>
      </w:r>
      <w:proofErr w:type="spellStart"/>
      <w:r w:rsidRPr="0008094F">
        <w:rPr>
          <w:rFonts w:ascii="wf segoe-ui normal" w:hAnsi="wf segoe-ui normal"/>
          <w:iCs/>
          <w:color w:val="212121"/>
          <w:lang w:val="en-US"/>
        </w:rPr>
        <w:t>Shoenfeld</w:t>
      </w:r>
      <w:proofErr w:type="spellEnd"/>
      <w:r w:rsidRPr="0008094F">
        <w:rPr>
          <w:rFonts w:ascii="wf segoe-ui normal" w:hAnsi="wf segoe-ui normal"/>
          <w:iCs/>
          <w:color w:val="212121"/>
          <w:lang w:val="en-US"/>
        </w:rPr>
        <w:t xml:space="preserve"> coined the definition of ASIA. Reference 12 cited below the table, reported the evaluation of the proposed criteria in 93 cases of ASIA. The article is written by Dr. Yehuda </w:t>
      </w:r>
      <w:proofErr w:type="spellStart"/>
      <w:r w:rsidRPr="0008094F">
        <w:rPr>
          <w:rFonts w:ascii="wf segoe-ui normal" w:hAnsi="wf segoe-ui normal"/>
          <w:iCs/>
          <w:color w:val="212121"/>
          <w:lang w:val="en-US"/>
        </w:rPr>
        <w:t>Shoenfeld</w:t>
      </w:r>
      <w:proofErr w:type="spellEnd"/>
      <w:r w:rsidRPr="0008094F">
        <w:rPr>
          <w:rFonts w:ascii="wf segoe-ui normal" w:hAnsi="wf segoe-ui normal"/>
          <w:iCs/>
          <w:color w:val="212121"/>
          <w:lang w:val="en-US"/>
        </w:rPr>
        <w:t xml:space="preserve"> and his colleagues.</w:t>
      </w:r>
    </w:p>
    <w:p w:rsidR="00794371" w:rsidRDefault="00794371" w:rsidP="00B446DC">
      <w:pPr>
        <w:rPr>
          <w:rFonts w:ascii="wf segoe-ui normal" w:hAnsi="wf segoe-ui normal"/>
          <w:iCs/>
          <w:color w:val="212121"/>
          <w:lang w:val="en-US"/>
        </w:rPr>
      </w:pPr>
    </w:p>
    <w:sectPr w:rsidR="007943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font>
  <w:font w:name="wf segoe-ui 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61"/>
    <w:rsid w:val="0008094F"/>
    <w:rsid w:val="000F2BDB"/>
    <w:rsid w:val="001F2533"/>
    <w:rsid w:val="00290D44"/>
    <w:rsid w:val="00346A3E"/>
    <w:rsid w:val="006B31B0"/>
    <w:rsid w:val="006E695F"/>
    <w:rsid w:val="007016BE"/>
    <w:rsid w:val="00794371"/>
    <w:rsid w:val="007D0ED8"/>
    <w:rsid w:val="00A57376"/>
    <w:rsid w:val="00B446DC"/>
    <w:rsid w:val="00B94C61"/>
    <w:rsid w:val="00C21C8A"/>
    <w:rsid w:val="00CF6AF8"/>
    <w:rsid w:val="00F366E4"/>
    <w:rsid w:val="00F96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C11F"/>
  <w15:chartTrackingRefBased/>
  <w15:docId w15:val="{3014CCA9-C5EA-4531-88F6-4EF0BCAB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4C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B94C6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Textbody">
    <w:name w:val="Text body"/>
    <w:basedOn w:val="Standard"/>
    <w:rsid w:val="0008094F"/>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dc:creator>
  <cp:keywords/>
  <dc:description/>
  <cp:lastModifiedBy>Oswald</cp:lastModifiedBy>
  <cp:revision>3</cp:revision>
  <dcterms:created xsi:type="dcterms:W3CDTF">2016-05-29T06:27:00Z</dcterms:created>
  <dcterms:modified xsi:type="dcterms:W3CDTF">2016-05-29T06:53:00Z</dcterms:modified>
</cp:coreProperties>
</file>