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D61D0" w14:textId="0C097CC3" w:rsidR="00B5335B" w:rsidRDefault="00C26F32">
      <w:pPr>
        <w:pBdr>
          <w:top w:val="nil"/>
          <w:left w:val="nil"/>
          <w:bottom w:val="nil"/>
          <w:right w:val="nil"/>
          <w:between w:val="nil"/>
        </w:pBdr>
        <w:spacing w:after="320"/>
        <w:jc w:val="center"/>
        <w:rPr>
          <w:b/>
          <w:color w:val="000000"/>
        </w:rPr>
      </w:pPr>
      <w:r>
        <w:rPr>
          <w:b/>
          <w:color w:val="000000"/>
        </w:rPr>
        <w:t xml:space="preserve">Supporting Figures </w:t>
      </w:r>
    </w:p>
    <w:p w14:paraId="3E9E2987" w14:textId="77777777" w:rsidR="00B5335B" w:rsidRDefault="00000000">
      <w:pPr>
        <w:keepNext/>
      </w:pPr>
      <w:r>
        <w:rPr>
          <w:noProof/>
        </w:rPr>
        <w:lastRenderedPageBreak/>
        <w:drawing>
          <wp:inline distT="0" distB="0" distL="0" distR="0" wp14:anchorId="2AE9935E" wp14:editId="5DC733EB">
            <wp:extent cx="5189927" cy="5966235"/>
            <wp:effectExtent l="0" t="0" r="0" b="0"/>
            <wp:docPr id="633252543" name="image1.png" descr="A screenshot of a computer scree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screenshot of a computer scree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9927" cy="5966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BE606" w14:textId="7B544BF6" w:rsidR="00B5335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S1 </w:t>
      </w:r>
      <w:r w:rsidR="005D20E0">
        <w:rPr>
          <w:b/>
          <w:color w:val="000000"/>
        </w:rPr>
        <w:t>Fig</w:t>
      </w:r>
      <w:r>
        <w:rPr>
          <w:b/>
          <w:color w:val="000000"/>
        </w:rPr>
        <w:t xml:space="preserve">. </w:t>
      </w:r>
      <w:r>
        <w:rPr>
          <w:color w:val="000000"/>
        </w:rPr>
        <w:t>Heatmap for the overlapped up- and down-regulated DECs for each microarray datasets, A: GSE101124, B: GSE182471. The heatmap was created by R package ‘</w:t>
      </w:r>
      <w:proofErr w:type="spellStart"/>
      <w:r>
        <w:rPr>
          <w:color w:val="000000"/>
        </w:rPr>
        <w:t>gplots</w:t>
      </w:r>
      <w:proofErr w:type="spellEnd"/>
      <w:r>
        <w:rPr>
          <w:color w:val="000000"/>
        </w:rPr>
        <w:t xml:space="preserve">’. DECs: differently expressed </w:t>
      </w:r>
      <w:proofErr w:type="spellStart"/>
      <w:r>
        <w:rPr>
          <w:color w:val="000000"/>
        </w:rPr>
        <w:t>circRNAs</w:t>
      </w:r>
      <w:proofErr w:type="spellEnd"/>
      <w:r>
        <w:rPr>
          <w:color w:val="000000"/>
        </w:rPr>
        <w:t>.</w:t>
      </w:r>
    </w:p>
    <w:p w14:paraId="61A4670B" w14:textId="77777777" w:rsidR="00B5335B" w:rsidRDefault="00B5335B">
      <w:pPr>
        <w:keepNext/>
      </w:pPr>
    </w:p>
    <w:p w14:paraId="7B11FC4A" w14:textId="77777777" w:rsidR="00B5335B" w:rsidRDefault="00000000">
      <w:pPr>
        <w:keepNext/>
      </w:pPr>
      <w:r>
        <w:rPr>
          <w:noProof/>
        </w:rPr>
        <w:drawing>
          <wp:inline distT="0" distB="0" distL="0" distR="0" wp14:anchorId="3E1FB61B" wp14:editId="619A0DB0">
            <wp:extent cx="8775980" cy="6075679"/>
            <wp:effectExtent l="0" t="0" r="0" b="0"/>
            <wp:docPr id="63325254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980" cy="6075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08A747" w14:textId="20FE0062" w:rsidR="00B5335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b/>
          <w:color w:val="000000"/>
        </w:rPr>
      </w:pPr>
      <w:r>
        <w:rPr>
          <w:b/>
          <w:color w:val="000000"/>
        </w:rPr>
        <w:t xml:space="preserve">S2 </w:t>
      </w:r>
      <w:r w:rsidR="005D20E0">
        <w:rPr>
          <w:b/>
          <w:color w:val="000000"/>
        </w:rPr>
        <w:t>Fig</w:t>
      </w:r>
      <w:r>
        <w:rPr>
          <w:b/>
          <w:color w:val="000000"/>
        </w:rPr>
        <w:t>.</w:t>
      </w:r>
      <w:r>
        <w:rPr>
          <w:color w:val="000000"/>
        </w:rPr>
        <w:t xml:space="preserve"> Enrichment analysis results for the significant signaling pathways that the three miRNAs (</w:t>
      </w:r>
      <w:r>
        <w:rPr>
          <w:i/>
          <w:color w:val="000000"/>
        </w:rPr>
        <w:t>miR-486-5p</w:t>
      </w:r>
      <w:r>
        <w:rPr>
          <w:color w:val="000000"/>
        </w:rPr>
        <w:t xml:space="preserve">, </w:t>
      </w:r>
      <w:r>
        <w:rPr>
          <w:i/>
          <w:color w:val="000000"/>
        </w:rPr>
        <w:t>miR-141-5p</w:t>
      </w:r>
      <w:r>
        <w:rPr>
          <w:color w:val="000000"/>
        </w:rPr>
        <w:t xml:space="preserve">, and </w:t>
      </w:r>
      <w:r>
        <w:rPr>
          <w:i/>
          <w:color w:val="000000"/>
        </w:rPr>
        <w:t>miR-183-5p</w:t>
      </w:r>
      <w:r>
        <w:rPr>
          <w:color w:val="000000"/>
        </w:rPr>
        <w:t xml:space="preserve">) related according to the MIENTURNET (http://userver.bio.uniroma1.it/apps/mienturnet/). A: KEGG pathways, B: </w:t>
      </w:r>
      <w:proofErr w:type="spellStart"/>
      <w:r>
        <w:rPr>
          <w:color w:val="000000"/>
        </w:rPr>
        <w:t>Reactome</w:t>
      </w:r>
      <w:proofErr w:type="spellEnd"/>
      <w:r>
        <w:rPr>
          <w:color w:val="000000"/>
        </w:rPr>
        <w:t xml:space="preserve"> pathways, C: Disease Ontology, D: </w:t>
      </w:r>
      <w:proofErr w:type="spellStart"/>
      <w:r>
        <w:rPr>
          <w:color w:val="000000"/>
        </w:rPr>
        <w:t>WikiPathways</w:t>
      </w:r>
      <w:proofErr w:type="spellEnd"/>
      <w:r>
        <w:rPr>
          <w:color w:val="000000"/>
        </w:rPr>
        <w:t>.</w:t>
      </w:r>
    </w:p>
    <w:p w14:paraId="73064D7E" w14:textId="77777777" w:rsidR="00B5335B" w:rsidRDefault="00000000">
      <w:pPr>
        <w:keepNext/>
      </w:pPr>
      <w:r>
        <w:rPr>
          <w:noProof/>
        </w:rPr>
        <w:lastRenderedPageBreak/>
        <w:drawing>
          <wp:inline distT="0" distB="0" distL="0" distR="0" wp14:anchorId="6E0BF7A5" wp14:editId="5C28658F">
            <wp:extent cx="8778240" cy="3473010"/>
            <wp:effectExtent l="0" t="0" r="0" b="0"/>
            <wp:docPr id="6332525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3473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D7E0F8" w14:textId="453CE738" w:rsidR="00B5335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S3 </w:t>
      </w:r>
      <w:r w:rsidR="005D20E0">
        <w:rPr>
          <w:b/>
          <w:color w:val="000000"/>
        </w:rPr>
        <w:t>Fig</w:t>
      </w:r>
      <w:r>
        <w:rPr>
          <w:b/>
          <w:color w:val="000000"/>
        </w:rPr>
        <w:t xml:space="preserve">. </w:t>
      </w:r>
      <w:r>
        <w:rPr>
          <w:color w:val="000000"/>
        </w:rPr>
        <w:t xml:space="preserve">Structural patterns of the three DECs by the Cancer-Specific </w:t>
      </w:r>
      <w:proofErr w:type="spellStart"/>
      <w:r>
        <w:rPr>
          <w:color w:val="000000"/>
        </w:rPr>
        <w:t>CircRNA</w:t>
      </w:r>
      <w:proofErr w:type="spellEnd"/>
      <w:r>
        <w:rPr>
          <w:color w:val="000000"/>
        </w:rPr>
        <w:t xml:space="preserve"> (CSCD v2.0, http://geneyun.net/CSCD2/), a: </w:t>
      </w:r>
      <w:r>
        <w:rPr>
          <w:i/>
          <w:color w:val="000000"/>
        </w:rPr>
        <w:t>has_circRNA_0000375</w:t>
      </w:r>
      <w:r>
        <w:rPr>
          <w:color w:val="000000"/>
        </w:rPr>
        <w:t xml:space="preserve">, b: </w:t>
      </w:r>
      <w:r>
        <w:rPr>
          <w:i/>
          <w:color w:val="000000"/>
        </w:rPr>
        <w:t>has_circRNA_0000515</w:t>
      </w:r>
      <w:r>
        <w:rPr>
          <w:color w:val="000000"/>
        </w:rPr>
        <w:t xml:space="preserve">, c: </w:t>
      </w:r>
      <w:r>
        <w:rPr>
          <w:i/>
          <w:color w:val="000000"/>
        </w:rPr>
        <w:t>has_circRNA_0016201</w:t>
      </w:r>
      <w:r>
        <w:rPr>
          <w:color w:val="000000"/>
        </w:rPr>
        <w:t xml:space="preserve">. DECs: differently expressed </w:t>
      </w:r>
      <w:proofErr w:type="spellStart"/>
      <w:r>
        <w:rPr>
          <w:color w:val="000000"/>
        </w:rPr>
        <w:t>circRNAs</w:t>
      </w:r>
      <w:proofErr w:type="spellEnd"/>
      <w:r>
        <w:rPr>
          <w:color w:val="000000"/>
        </w:rPr>
        <w:t>.</w:t>
      </w:r>
    </w:p>
    <w:p w14:paraId="1BDE7039" w14:textId="77777777" w:rsidR="00B5335B" w:rsidRDefault="00B5335B"/>
    <w:p w14:paraId="3F840449" w14:textId="77777777" w:rsidR="00B5335B" w:rsidRDefault="00B5335B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</w:p>
    <w:p w14:paraId="46A54C98" w14:textId="77777777" w:rsidR="00B5335B" w:rsidRDefault="00000000">
      <w:pPr>
        <w:keepNext/>
      </w:pPr>
      <w:r>
        <w:rPr>
          <w:noProof/>
        </w:rPr>
        <w:lastRenderedPageBreak/>
        <w:drawing>
          <wp:inline distT="0" distB="0" distL="0" distR="0" wp14:anchorId="14CCF917" wp14:editId="167CAE8A">
            <wp:extent cx="8063450" cy="5291121"/>
            <wp:effectExtent l="0" t="0" r="0" b="0"/>
            <wp:docPr id="633252546" name="image8.png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screen shot of a computer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3450" cy="5291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784885" w14:textId="356E46B5" w:rsidR="00B5335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b/>
          <w:color w:val="000000"/>
        </w:rPr>
        <w:t>S</w:t>
      </w:r>
      <w:r>
        <w:rPr>
          <w:b/>
        </w:rPr>
        <w:t>4</w:t>
      </w:r>
      <w:r>
        <w:rPr>
          <w:b/>
          <w:color w:val="000000"/>
        </w:rPr>
        <w:t xml:space="preserve"> </w:t>
      </w:r>
      <w:r w:rsidR="005D20E0">
        <w:rPr>
          <w:b/>
          <w:color w:val="000000"/>
        </w:rPr>
        <w:t>Fig</w:t>
      </w:r>
      <w:r>
        <w:rPr>
          <w:b/>
          <w:color w:val="000000"/>
        </w:rPr>
        <w:t>.</w:t>
      </w:r>
      <w:r>
        <w:rPr>
          <w:color w:val="000000"/>
        </w:rPr>
        <w:t xml:space="preserve">  The heatmap of 18 selected differentially expressed genes in BLBC versus control group.</w:t>
      </w:r>
    </w:p>
    <w:p w14:paraId="77830655" w14:textId="77777777" w:rsidR="00B5335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4840AD0A" wp14:editId="743B285B">
            <wp:extent cx="8777948" cy="6019165"/>
            <wp:effectExtent l="0" t="0" r="0" b="0"/>
            <wp:docPr id="63325254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7948" cy="6019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96D9EB" w14:textId="033202DA" w:rsidR="00B5335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b/>
          <w:color w:val="000000"/>
        </w:rPr>
        <w:t>S</w:t>
      </w:r>
      <w:r>
        <w:rPr>
          <w:b/>
        </w:rPr>
        <w:t>5</w:t>
      </w:r>
      <w:r>
        <w:rPr>
          <w:b/>
          <w:color w:val="000000"/>
        </w:rPr>
        <w:t xml:space="preserve"> </w:t>
      </w:r>
      <w:r w:rsidR="005D20E0">
        <w:rPr>
          <w:b/>
          <w:color w:val="000000"/>
        </w:rPr>
        <w:t>Fig</w:t>
      </w:r>
      <w:r>
        <w:rPr>
          <w:b/>
          <w:color w:val="000000"/>
        </w:rPr>
        <w:t>.</w:t>
      </w:r>
      <w:r>
        <w:rPr>
          <w:color w:val="000000"/>
        </w:rPr>
        <w:t xml:space="preserve">  Overall survival analysis results of 18 selected genes (TCGA).</w:t>
      </w:r>
    </w:p>
    <w:p w14:paraId="4E331411" w14:textId="77777777" w:rsidR="00B5335B" w:rsidRDefault="00000000">
      <w:pPr>
        <w:spacing w:before="240"/>
      </w:pPr>
      <w:r>
        <w:rPr>
          <w:noProof/>
        </w:rPr>
        <w:lastRenderedPageBreak/>
        <w:drawing>
          <wp:inline distT="0" distB="0" distL="0" distR="0" wp14:anchorId="1C880F17" wp14:editId="2AB7ABB7">
            <wp:extent cx="8777948" cy="6019165"/>
            <wp:effectExtent l="0" t="0" r="0" b="0"/>
            <wp:docPr id="6332525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7948" cy="6019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5A838" w14:textId="30A41AC5" w:rsidR="00B5335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b/>
          <w:color w:val="000000"/>
        </w:rPr>
      </w:pPr>
      <w:r>
        <w:rPr>
          <w:b/>
          <w:color w:val="000000"/>
        </w:rPr>
        <w:t>S</w:t>
      </w:r>
      <w:r>
        <w:rPr>
          <w:b/>
        </w:rPr>
        <w:t>6</w:t>
      </w:r>
      <w:r>
        <w:rPr>
          <w:b/>
          <w:color w:val="000000"/>
        </w:rPr>
        <w:t xml:space="preserve"> </w:t>
      </w:r>
      <w:r w:rsidR="005D20E0">
        <w:rPr>
          <w:b/>
          <w:color w:val="000000"/>
        </w:rPr>
        <w:t>Fig</w:t>
      </w:r>
      <w:r>
        <w:rPr>
          <w:b/>
          <w:color w:val="000000"/>
        </w:rPr>
        <w:t>.</w:t>
      </w:r>
      <w:r>
        <w:rPr>
          <w:color w:val="000000"/>
        </w:rPr>
        <w:t xml:space="preserve">  Disease-free survival analysis results of 18 selected genes (TCGA).</w:t>
      </w:r>
    </w:p>
    <w:p w14:paraId="4063303B" w14:textId="77777777" w:rsidR="00B5335B" w:rsidRDefault="00B5335B"/>
    <w:p w14:paraId="383E10A4" w14:textId="77777777" w:rsidR="00B5335B" w:rsidRDefault="00B5335B">
      <w:pPr>
        <w:keepNext/>
      </w:pPr>
    </w:p>
    <w:p w14:paraId="401128D0" w14:textId="77777777" w:rsidR="00B5335B" w:rsidRDefault="00B5335B">
      <w:pPr>
        <w:keepNext/>
      </w:pPr>
    </w:p>
    <w:p w14:paraId="6D57871B" w14:textId="77777777" w:rsidR="00B5335B" w:rsidRDefault="00B5335B">
      <w:pPr>
        <w:keepNext/>
      </w:pPr>
    </w:p>
    <w:p w14:paraId="51E704F4" w14:textId="77777777" w:rsidR="00B5335B" w:rsidRDefault="00000000">
      <w:pPr>
        <w:keepNext/>
      </w:pPr>
      <w:r>
        <w:rPr>
          <w:noProof/>
        </w:rPr>
        <w:drawing>
          <wp:inline distT="0" distB="0" distL="0" distR="0" wp14:anchorId="63435475" wp14:editId="290C0990">
            <wp:extent cx="8776747" cy="4383404"/>
            <wp:effectExtent l="0" t="0" r="0" b="0"/>
            <wp:docPr id="6332525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6747" cy="4383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B5DF15" w14:textId="22A3CC8A" w:rsidR="00B5335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b/>
          <w:color w:val="000000"/>
        </w:rPr>
        <w:t>S</w:t>
      </w:r>
      <w:r>
        <w:rPr>
          <w:b/>
        </w:rPr>
        <w:t>7</w:t>
      </w:r>
      <w:r>
        <w:rPr>
          <w:b/>
          <w:color w:val="000000"/>
        </w:rPr>
        <w:t xml:space="preserve"> </w:t>
      </w:r>
      <w:r w:rsidR="005D20E0">
        <w:rPr>
          <w:b/>
          <w:color w:val="000000"/>
        </w:rPr>
        <w:t>Fig</w:t>
      </w:r>
      <w:r>
        <w:rPr>
          <w:b/>
          <w:color w:val="000000"/>
        </w:rPr>
        <w:t>.</w:t>
      </w:r>
      <w:r>
        <w:rPr>
          <w:color w:val="000000"/>
        </w:rPr>
        <w:t xml:space="preserve"> Disease-free survival analysis of selected genes from TCGA and GSE25066 datasets. A: </w:t>
      </w:r>
      <w:r>
        <w:rPr>
          <w:i/>
          <w:color w:val="000000"/>
        </w:rPr>
        <w:t>DLGAP5</w:t>
      </w:r>
      <w:r>
        <w:rPr>
          <w:color w:val="000000"/>
        </w:rPr>
        <w:t xml:space="preserve"> (TCGA), B: </w:t>
      </w:r>
      <w:r>
        <w:rPr>
          <w:i/>
          <w:color w:val="000000"/>
        </w:rPr>
        <w:t>EXO1</w:t>
      </w:r>
      <w:r>
        <w:rPr>
          <w:color w:val="000000"/>
        </w:rPr>
        <w:t xml:space="preserve"> (TCGA), C: </w:t>
      </w:r>
      <w:r>
        <w:rPr>
          <w:i/>
          <w:color w:val="000000"/>
        </w:rPr>
        <w:t>PRAME</w:t>
      </w:r>
      <w:r>
        <w:rPr>
          <w:color w:val="000000"/>
        </w:rPr>
        <w:t xml:space="preserve"> (TCGA), D: </w:t>
      </w:r>
      <w:r>
        <w:rPr>
          <w:i/>
          <w:color w:val="000000"/>
        </w:rPr>
        <w:t>DLGAP5</w:t>
      </w:r>
      <w:r>
        <w:rPr>
          <w:color w:val="000000"/>
        </w:rPr>
        <w:t xml:space="preserve"> (GSE25066), E: </w:t>
      </w:r>
      <w:r>
        <w:rPr>
          <w:i/>
          <w:color w:val="000000"/>
        </w:rPr>
        <w:t>EXO1</w:t>
      </w:r>
      <w:r>
        <w:rPr>
          <w:color w:val="000000"/>
        </w:rPr>
        <w:t xml:space="preserve"> (GSE25066), F: </w:t>
      </w:r>
      <w:r>
        <w:rPr>
          <w:i/>
          <w:color w:val="000000"/>
        </w:rPr>
        <w:t>PRAME</w:t>
      </w:r>
      <w:r>
        <w:rPr>
          <w:color w:val="000000"/>
        </w:rPr>
        <w:t xml:space="preserve"> (GSE25066).</w:t>
      </w:r>
      <w:r>
        <w:rPr>
          <w:b/>
          <w:color w:val="000000"/>
        </w:rPr>
        <w:t xml:space="preserve"> </w:t>
      </w:r>
      <w:r>
        <w:rPr>
          <w:color w:val="000000"/>
        </w:rPr>
        <w:t>DFS: Disease-free survival.</w:t>
      </w:r>
    </w:p>
    <w:p w14:paraId="2A3BE553" w14:textId="77777777" w:rsidR="00B5335B" w:rsidRDefault="00B5335B"/>
    <w:p w14:paraId="56D95993" w14:textId="77777777" w:rsidR="00B5335B" w:rsidRDefault="00B5335B"/>
    <w:p w14:paraId="6B4E2D9F" w14:textId="77777777" w:rsidR="00B5335B" w:rsidRDefault="00000000">
      <w:pPr>
        <w:keepNext/>
      </w:pPr>
      <w:r>
        <w:rPr>
          <w:noProof/>
        </w:rPr>
        <w:lastRenderedPageBreak/>
        <w:drawing>
          <wp:inline distT="0" distB="0" distL="0" distR="0" wp14:anchorId="4DD792DB" wp14:editId="6229C894">
            <wp:extent cx="8613570" cy="4394085"/>
            <wp:effectExtent l="0" t="0" r="0" b="0"/>
            <wp:docPr id="6332525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3570" cy="439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392912" w14:textId="00EA93DE" w:rsidR="00B5335B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b/>
          <w:color w:val="000000"/>
        </w:rPr>
        <w:t>S</w:t>
      </w:r>
      <w:r>
        <w:rPr>
          <w:b/>
        </w:rPr>
        <w:t>8</w:t>
      </w:r>
      <w:r>
        <w:rPr>
          <w:b/>
          <w:color w:val="000000"/>
        </w:rPr>
        <w:t xml:space="preserve"> </w:t>
      </w:r>
      <w:r w:rsidR="005D20E0">
        <w:rPr>
          <w:b/>
          <w:color w:val="000000"/>
        </w:rPr>
        <w:t>Fig</w:t>
      </w:r>
      <w:r>
        <w:rPr>
          <w:b/>
          <w:color w:val="000000"/>
        </w:rPr>
        <w:t>.</w:t>
      </w:r>
      <w:r>
        <w:rPr>
          <w:color w:val="000000"/>
        </w:rPr>
        <w:t xml:space="preserve"> The combined violin and box plots for the normalized expression values of selected genes in tumor versus normal tissue and PAM50 subtypes. A: </w:t>
      </w:r>
      <w:r>
        <w:rPr>
          <w:i/>
          <w:color w:val="000000"/>
        </w:rPr>
        <w:t>DLGAP5</w:t>
      </w:r>
      <w:r>
        <w:rPr>
          <w:color w:val="000000"/>
        </w:rPr>
        <w:t xml:space="preserve">, </w:t>
      </w:r>
      <w:proofErr w:type="gramStart"/>
      <w:r>
        <w:rPr>
          <w:color w:val="000000"/>
        </w:rPr>
        <w:t>B:</w:t>
      </w:r>
      <w:r>
        <w:rPr>
          <w:i/>
          <w:color w:val="000000"/>
        </w:rPr>
        <w:t>EXO</w:t>
      </w:r>
      <w:proofErr w:type="gramEnd"/>
      <w:r>
        <w:rPr>
          <w:i/>
          <w:color w:val="000000"/>
        </w:rPr>
        <w:t>1</w:t>
      </w:r>
      <w:r>
        <w:rPr>
          <w:color w:val="000000"/>
        </w:rPr>
        <w:t xml:space="preserve">, C: </w:t>
      </w:r>
      <w:r>
        <w:rPr>
          <w:i/>
          <w:color w:val="000000"/>
        </w:rPr>
        <w:t>PRAME</w:t>
      </w:r>
      <w:r>
        <w:rPr>
          <w:color w:val="000000"/>
        </w:rPr>
        <w:t xml:space="preserve">, D: </w:t>
      </w:r>
      <w:r>
        <w:rPr>
          <w:i/>
          <w:color w:val="000000"/>
        </w:rPr>
        <w:t>SDC1</w:t>
      </w:r>
      <w:r>
        <w:rPr>
          <w:color w:val="000000"/>
        </w:rPr>
        <w:t>.</w:t>
      </w:r>
    </w:p>
    <w:p w14:paraId="78E95833" w14:textId="77777777" w:rsidR="00B5335B" w:rsidRDefault="00B5335B"/>
    <w:sectPr w:rsidR="00B5335B">
      <w:pgSz w:w="15840" w:h="12240" w:orient="landscape"/>
      <w:pgMar w:top="936" w:right="1008" w:bottom="936" w:left="1008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206F5" w14:textId="77777777" w:rsidR="004C419B" w:rsidRDefault="004C419B" w:rsidP="00C26F32">
      <w:r>
        <w:separator/>
      </w:r>
    </w:p>
  </w:endnote>
  <w:endnote w:type="continuationSeparator" w:id="0">
    <w:p w14:paraId="32E53C76" w14:textId="77777777" w:rsidR="004C419B" w:rsidRDefault="004C419B" w:rsidP="00C26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D5F333-EAE5-9440-9440-90E4FFC1737C}"/>
    <w:embedBold r:id="rId2" w:fontKey="{558E31FF-E9B7-0740-8AFD-7E01C35C30ED}"/>
    <w:embedItalic r:id="rId3" w:fontKey="{02F1B27E-5167-DC4E-8621-750A35864274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8DCDC84-A28A-8947-A885-655EA11297B8}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Formata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349FBEDE-4236-1946-8E2B-CE04B010C5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640B0DF-2B25-B847-90D6-819AB89B8915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35B0A9F2-4575-3344-A151-9FD3EE9CF142}"/>
    <w:embedItalic r:id="rId14" w:fontKey="{6A77CFD8-3E96-E749-BD90-184624D039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A48C2EA3-8B7F-054E-A743-D34CBF23F6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E178E41A-5F94-614F-9FDA-F2A62E767E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2BD32" w14:textId="77777777" w:rsidR="004C419B" w:rsidRDefault="004C419B" w:rsidP="00C26F32">
      <w:r>
        <w:separator/>
      </w:r>
    </w:p>
  </w:footnote>
  <w:footnote w:type="continuationSeparator" w:id="0">
    <w:p w14:paraId="52332A81" w14:textId="77777777" w:rsidR="004C419B" w:rsidRDefault="004C419B" w:rsidP="00C26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604AF"/>
    <w:multiLevelType w:val="multilevel"/>
    <w:tmpl w:val="B2C0E36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29853531">
    <w:abstractNumId w:val="0"/>
  </w:num>
  <w:num w:numId="2" w16cid:durableId="7199416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35B"/>
    <w:rsid w:val="00025A08"/>
    <w:rsid w:val="004C419B"/>
    <w:rsid w:val="005D20E0"/>
    <w:rsid w:val="00B5335B"/>
    <w:rsid w:val="00C26F32"/>
    <w:rsid w:val="00E5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17AA93"/>
  <w15:docId w15:val="{B85612E6-E09F-4543-AD27-D27AE89EF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D79"/>
  </w:style>
  <w:style w:type="paragraph" w:styleId="Heading1">
    <w:name w:val="heading 1"/>
    <w:basedOn w:val="Normal"/>
    <w:next w:val="Normal"/>
    <w:link w:val="Heading1Char"/>
    <w:uiPriority w:val="9"/>
    <w:qFormat/>
    <w:rsid w:val="00AA710A"/>
    <w:pPr>
      <w:keepNext/>
      <w:numPr>
        <w:numId w:val="1"/>
      </w:numPr>
      <w:spacing w:before="240" w:after="80"/>
      <w:jc w:val="center"/>
      <w:outlineLvl w:val="0"/>
    </w:pPr>
    <w:rPr>
      <w:rFonts w:ascii="Helvetica" w:hAnsi="Helvetica"/>
      <w:smallCaps/>
      <w:kern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710A"/>
    <w:pPr>
      <w:keepNext/>
      <w:numPr>
        <w:ilvl w:val="1"/>
        <w:numId w:val="1"/>
      </w:numPr>
      <w:spacing w:before="120" w:after="60"/>
      <w:outlineLvl w:val="1"/>
    </w:pPr>
    <w:rPr>
      <w:rFonts w:ascii="Helvetica" w:hAnsi="Helvetica"/>
      <w:i/>
      <w:iCs/>
      <w:lang w:val="x-none" w:eastAsia="x-none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4B1E6D"/>
    <w:pPr>
      <w:keepNext/>
      <w:numPr>
        <w:ilvl w:val="2"/>
        <w:numId w:val="1"/>
      </w:numPr>
      <w:outlineLvl w:val="2"/>
    </w:pPr>
    <w:rPr>
      <w:rFonts w:ascii="Helvetica" w:hAnsi="Helvetica"/>
      <w:i/>
      <w:iCs/>
      <w:sz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92D79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92D79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92D79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uiPriority w:val="9"/>
    <w:qFormat/>
    <w:rsid w:val="00192D79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uiPriority w:val="9"/>
    <w:qFormat/>
    <w:rsid w:val="00192D79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uiPriority w:val="9"/>
    <w:qFormat/>
    <w:rsid w:val="00192D79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A710A"/>
    <w:pPr>
      <w:framePr w:w="9360" w:hSpace="187" w:vSpace="187" w:wrap="notBeside" w:vAnchor="text" w:hAnchor="page" w:xAlign="center" w:y="1"/>
      <w:jc w:val="center"/>
    </w:pPr>
    <w:rPr>
      <w:rFonts w:ascii="Helvetica" w:hAnsi="Helvetica"/>
      <w:kern w:val="28"/>
      <w:sz w:val="48"/>
      <w:szCs w:val="48"/>
    </w:rPr>
  </w:style>
  <w:style w:type="paragraph" w:customStyle="1" w:styleId="Abstract">
    <w:name w:val="Abstract"/>
    <w:basedOn w:val="Normal"/>
    <w:next w:val="Normal"/>
    <w:rsid w:val="00AA710A"/>
    <w:pPr>
      <w:spacing w:before="20"/>
      <w:ind w:firstLine="202"/>
      <w:jc w:val="both"/>
    </w:pPr>
    <w:rPr>
      <w:rFonts w:ascii="Helvetica" w:hAnsi="Helvetica"/>
      <w:b/>
      <w:bCs/>
      <w:sz w:val="18"/>
      <w:szCs w:val="18"/>
    </w:rPr>
  </w:style>
  <w:style w:type="paragraph" w:customStyle="1" w:styleId="Authors">
    <w:name w:val="Authors"/>
    <w:basedOn w:val="Normal"/>
    <w:next w:val="Normal"/>
    <w:rsid w:val="00AA710A"/>
    <w:pPr>
      <w:framePr w:w="9072" w:hSpace="187" w:vSpace="187" w:wrap="notBeside" w:vAnchor="text" w:hAnchor="page" w:xAlign="center" w:y="1"/>
      <w:spacing w:after="320"/>
      <w:jc w:val="center"/>
    </w:pPr>
    <w:rPr>
      <w:rFonts w:ascii="Helvetica" w:hAnsi="Helvetica"/>
      <w:sz w:val="22"/>
      <w:szCs w:val="22"/>
    </w:rPr>
  </w:style>
  <w:style w:type="character" w:customStyle="1" w:styleId="MemberType">
    <w:name w:val="MemberType"/>
    <w:rsid w:val="00AA710A"/>
    <w:rPr>
      <w:rFonts w:ascii="Helvetica" w:hAnsi="Helvetica" w:cs="Times New Roman"/>
      <w:i/>
      <w:iCs/>
      <w:sz w:val="22"/>
      <w:szCs w:val="22"/>
    </w:rPr>
  </w:style>
  <w:style w:type="paragraph" w:styleId="FootnoteText">
    <w:name w:val="footnote text"/>
    <w:basedOn w:val="Normal"/>
    <w:link w:val="FootnoteTextChar"/>
    <w:semiHidden/>
    <w:rsid w:val="00AA710A"/>
    <w:pPr>
      <w:ind w:firstLine="202"/>
      <w:jc w:val="both"/>
    </w:pPr>
    <w:rPr>
      <w:rFonts w:ascii="Helvetica" w:hAnsi="Helvetica"/>
      <w:sz w:val="16"/>
      <w:szCs w:val="16"/>
      <w:lang w:val="x-none" w:eastAsia="x-none"/>
    </w:rPr>
  </w:style>
  <w:style w:type="paragraph" w:customStyle="1" w:styleId="References">
    <w:name w:val="References"/>
    <w:basedOn w:val="Normal"/>
    <w:rsid w:val="00192D79"/>
    <w:pPr>
      <w:tabs>
        <w:tab w:val="num" w:pos="720"/>
      </w:tabs>
      <w:ind w:left="720" w:hanging="720"/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rsid w:val="00AA710A"/>
    <w:pPr>
      <w:ind w:firstLine="202"/>
      <w:jc w:val="both"/>
    </w:pPr>
    <w:rPr>
      <w:rFonts w:ascii="Helvetica" w:hAnsi="Helvetica"/>
      <w:b/>
      <w:bCs/>
      <w:sz w:val="18"/>
      <w:szCs w:val="18"/>
    </w:rPr>
  </w:style>
  <w:style w:type="character" w:styleId="FootnoteReference">
    <w:name w:val="footnote reference"/>
    <w:semiHidden/>
    <w:rsid w:val="00192D79"/>
    <w:rPr>
      <w:vertAlign w:val="superscript"/>
    </w:rPr>
  </w:style>
  <w:style w:type="paragraph" w:styleId="Footer">
    <w:name w:val="footer"/>
    <w:basedOn w:val="Normal"/>
    <w:link w:val="FooterChar"/>
    <w:uiPriority w:val="99"/>
    <w:rsid w:val="00192D79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link w:val="TextChar"/>
    <w:rsid w:val="00192D79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rsid w:val="00192D79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rsid w:val="00AA710A"/>
    <w:pPr>
      <w:jc w:val="center"/>
    </w:pPr>
    <w:rPr>
      <w:rFonts w:ascii="Helvetica" w:hAnsi="Helvetica"/>
      <w:smallCaps/>
      <w:sz w:val="16"/>
      <w:szCs w:val="16"/>
    </w:rPr>
  </w:style>
  <w:style w:type="paragraph" w:customStyle="1" w:styleId="ReferenceHead">
    <w:name w:val="Reference Head"/>
    <w:basedOn w:val="Heading1"/>
    <w:link w:val="ReferenceHeadChar"/>
    <w:rsid w:val="00192D79"/>
    <w:pPr>
      <w:numPr>
        <w:numId w:val="0"/>
      </w:numPr>
    </w:pPr>
  </w:style>
  <w:style w:type="paragraph" w:styleId="Header">
    <w:name w:val="header"/>
    <w:basedOn w:val="Normal"/>
    <w:rsid w:val="00192D79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rsid w:val="00192D79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rsid w:val="00192D79"/>
    <w:rPr>
      <w:color w:val="0000FF"/>
      <w:u w:val="single"/>
    </w:rPr>
  </w:style>
  <w:style w:type="character" w:styleId="FollowedHyperlink">
    <w:name w:val="FollowedHyperlink"/>
    <w:rsid w:val="00192D79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92D79"/>
    <w:pPr>
      <w:ind w:left="630" w:hanging="630"/>
    </w:pPr>
    <w:rPr>
      <w:szCs w:val="24"/>
      <w:lang w:val="x-none" w:eastAsia="x-none"/>
    </w:rPr>
  </w:style>
  <w:style w:type="paragraph" w:styleId="DocumentMap">
    <w:name w:val="Document Map"/>
    <w:basedOn w:val="Normal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Normal"/>
    <w:next w:val="Normal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">
    <w:name w:val="A5"/>
    <w:rsid w:val="00426966"/>
    <w:rPr>
      <w:color w:val="00529F"/>
      <w:sz w:val="20"/>
      <w:szCs w:val="20"/>
    </w:rPr>
  </w:style>
  <w:style w:type="paragraph" w:styleId="BalloonText">
    <w:name w:val="Balloon Text"/>
    <w:basedOn w:val="Normal"/>
    <w:link w:val="BalloonTextChar"/>
    <w:rsid w:val="00F33D4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F33D49"/>
    <w:rPr>
      <w:rFonts w:ascii="Tahoma" w:hAnsi="Tahoma" w:cs="Tahoma"/>
      <w:sz w:val="16"/>
      <w:szCs w:val="16"/>
    </w:rPr>
  </w:style>
  <w:style w:type="character" w:customStyle="1" w:styleId="MediumGrid11">
    <w:name w:val="Medium Grid 11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Normal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eastAsia="MS Mincho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Heading1Char">
    <w:name w:val="Heading 1 Char"/>
    <w:link w:val="Heading1"/>
    <w:uiPriority w:val="9"/>
    <w:rsid w:val="00AA710A"/>
    <w:rPr>
      <w:rFonts w:ascii="Helvetica" w:hAnsi="Helvetica"/>
      <w:smallCaps/>
      <w:kern w:val="28"/>
      <w:lang w:val="x-none" w:eastAsia="x-none" w:bidi="ar-SA"/>
    </w:rPr>
  </w:style>
  <w:style w:type="character" w:customStyle="1" w:styleId="ReferenceHeadChar">
    <w:name w:val="Reference Head Char"/>
    <w:link w:val="ReferenceHead"/>
    <w:rsid w:val="003F52AD"/>
    <w:rPr>
      <w:smallCaps/>
      <w:kern w:val="28"/>
    </w:rPr>
  </w:style>
  <w:style w:type="character" w:customStyle="1" w:styleId="Style1Char">
    <w:name w:val="Style1 Char"/>
    <w:link w:val="Style1"/>
    <w:rsid w:val="003F52AD"/>
    <w:rPr>
      <w:smallCaps/>
      <w:kern w:val="28"/>
    </w:rPr>
  </w:style>
  <w:style w:type="paragraph" w:customStyle="1" w:styleId="ColorfulShading-Accent11">
    <w:name w:val="Colorful Shading - Accent 11"/>
    <w:hidden/>
    <w:uiPriority w:val="99"/>
    <w:semiHidden/>
    <w:rsid w:val="001B36B1"/>
  </w:style>
  <w:style w:type="character" w:customStyle="1" w:styleId="BodyText2">
    <w:name w:val="Body Text2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Heading2Char">
    <w:name w:val="Heading 2 Char"/>
    <w:link w:val="Heading2"/>
    <w:uiPriority w:val="9"/>
    <w:rsid w:val="00AA710A"/>
    <w:rPr>
      <w:rFonts w:ascii="Helvetica" w:hAnsi="Helvetica"/>
      <w:i/>
      <w:iCs/>
      <w:lang w:val="x-none" w:eastAsia="x-none" w:bidi="ar-SA"/>
    </w:rPr>
  </w:style>
  <w:style w:type="paragraph" w:customStyle="1" w:styleId="TextL-MAG">
    <w:name w:val="Text L-MAG"/>
    <w:basedOn w:val="Normal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MS Mincho" w:hAnsi="Arial"/>
      <w:sz w:val="18"/>
      <w:szCs w:val="22"/>
      <w:lang w:val="x-none" w:eastAsia="ja-JP"/>
    </w:rPr>
  </w:style>
  <w:style w:type="character" w:customStyle="1" w:styleId="TextL-MAGChar">
    <w:name w:val="Text L-MAG Char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90C10"/>
  </w:style>
  <w:style w:type="character" w:customStyle="1" w:styleId="FootnoteTextChar">
    <w:name w:val="Footnote Text Char"/>
    <w:link w:val="FootnoteText"/>
    <w:semiHidden/>
    <w:rsid w:val="00AA710A"/>
    <w:rPr>
      <w:rFonts w:ascii="Helvetica" w:hAnsi="Helvetica"/>
      <w:sz w:val="16"/>
      <w:szCs w:val="16"/>
      <w:lang w:val="x-none" w:eastAsia="x-none" w:bidi="ar-SA"/>
    </w:rPr>
  </w:style>
  <w:style w:type="character" w:customStyle="1" w:styleId="BodyTextIndentChar">
    <w:name w:val="Body Text Indent Char"/>
    <w:link w:val="BodyTextIndent"/>
    <w:rsid w:val="003F26BD"/>
    <w:rPr>
      <w:szCs w:val="24"/>
    </w:rPr>
  </w:style>
  <w:style w:type="character" w:customStyle="1" w:styleId="m5113501246024331607m-6864882937387638336gmail-il">
    <w:name w:val="m_5113501246024331607m_-6864882937387638336gmail-il"/>
    <w:basedOn w:val="DefaultParagraphFont"/>
    <w:rsid w:val="0076355A"/>
  </w:style>
  <w:style w:type="paragraph" w:customStyle="1" w:styleId="ColorfulList-Accent11">
    <w:name w:val="Colorful List - Accent 11"/>
    <w:basedOn w:val="Normal"/>
    <w:uiPriority w:val="34"/>
    <w:qFormat/>
    <w:rsid w:val="0076355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932B6"/>
  </w:style>
  <w:style w:type="paragraph" w:customStyle="1" w:styleId="StyleHeading18pt">
    <w:name w:val="Style Heading 1 + 8 pt"/>
    <w:basedOn w:val="Heading1"/>
    <w:link w:val="StyleHeading18ptChar"/>
    <w:rsid w:val="00AA710A"/>
    <w:rPr>
      <w:sz w:val="16"/>
    </w:rPr>
  </w:style>
  <w:style w:type="character" w:customStyle="1" w:styleId="StyleHeading18ptChar">
    <w:name w:val="Style Heading 1 + 8 pt Char"/>
    <w:link w:val="StyleHeading18pt"/>
    <w:rsid w:val="00AA710A"/>
    <w:rPr>
      <w:rFonts w:ascii="Helvetica" w:hAnsi="Helvetica"/>
      <w:smallCaps/>
      <w:kern w:val="28"/>
      <w:sz w:val="16"/>
      <w:lang w:val="x-none" w:eastAsia="x-none" w:bidi="ar-SA"/>
    </w:rPr>
  </w:style>
  <w:style w:type="paragraph" w:customStyle="1" w:styleId="RH">
    <w:name w:val="RH"/>
    <w:basedOn w:val="Normal"/>
    <w:rsid w:val="00EA248D"/>
    <w:pPr>
      <w:pBdr>
        <w:bottom w:val="single" w:sz="12" w:space="2" w:color="auto"/>
      </w:pBdr>
      <w:tabs>
        <w:tab w:val="left" w:pos="5679"/>
      </w:tabs>
      <w:ind w:right="900"/>
    </w:pPr>
    <w:rPr>
      <w:rFonts w:ascii="Helvetica" w:hAnsi="Helvetica"/>
      <w:sz w:val="14"/>
      <w:szCs w:val="14"/>
    </w:rPr>
  </w:style>
  <w:style w:type="paragraph" w:customStyle="1" w:styleId="PARA">
    <w:name w:val="PARA"/>
    <w:basedOn w:val="Text"/>
    <w:link w:val="PARAChar"/>
    <w:rsid w:val="0005601C"/>
    <w:pPr>
      <w:ind w:firstLine="0"/>
    </w:pPr>
    <w:rPr>
      <w:rFonts w:ascii="Times" w:hAnsi="Times"/>
    </w:rPr>
  </w:style>
  <w:style w:type="paragraph" w:customStyle="1" w:styleId="PARAIndent">
    <w:name w:val="PARA_Indent"/>
    <w:basedOn w:val="Text"/>
    <w:link w:val="PARAIndentChar"/>
    <w:rsid w:val="00C14887"/>
    <w:pPr>
      <w:spacing w:line="240" w:lineRule="auto"/>
    </w:pPr>
    <w:rPr>
      <w:rFonts w:ascii="Times" w:hAnsi="Times"/>
    </w:rPr>
  </w:style>
  <w:style w:type="character" w:customStyle="1" w:styleId="TextChar">
    <w:name w:val="Text Char"/>
    <w:link w:val="Text"/>
    <w:rsid w:val="007C1C63"/>
    <w:rPr>
      <w:lang w:val="en-US" w:eastAsia="en-US" w:bidi="ar-SA"/>
    </w:rPr>
  </w:style>
  <w:style w:type="character" w:customStyle="1" w:styleId="PARAIndentChar">
    <w:name w:val="PARA_Indent Char"/>
    <w:link w:val="PARAIndent"/>
    <w:rsid w:val="007C1C63"/>
    <w:rPr>
      <w:rFonts w:ascii="Times" w:hAnsi="Times"/>
      <w:lang w:val="en-US" w:eastAsia="en-US" w:bidi="ar-SA"/>
    </w:rPr>
  </w:style>
  <w:style w:type="character" w:customStyle="1" w:styleId="PARAChar">
    <w:name w:val="PARA Char"/>
    <w:link w:val="PARA"/>
    <w:rsid w:val="007C1C63"/>
    <w:rPr>
      <w:rFonts w:ascii="Times" w:hAnsi="Times"/>
      <w:lang w:val="en-US" w:eastAsia="en-US" w:bidi="ar-SA"/>
    </w:rPr>
  </w:style>
  <w:style w:type="character" w:styleId="CommentReference">
    <w:name w:val="annotation reference"/>
    <w:rsid w:val="0008655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6554"/>
  </w:style>
  <w:style w:type="character" w:customStyle="1" w:styleId="CommentTextChar">
    <w:name w:val="Comment Text Char"/>
    <w:link w:val="CommentText"/>
    <w:rsid w:val="0008655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86554"/>
    <w:rPr>
      <w:b/>
      <w:bCs/>
    </w:rPr>
  </w:style>
  <w:style w:type="character" w:customStyle="1" w:styleId="CommentSubjectChar">
    <w:name w:val="Comment Subject Char"/>
    <w:link w:val="CommentSubject"/>
    <w:rsid w:val="00086554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4C6D5C"/>
  </w:style>
  <w:style w:type="paragraph" w:styleId="Caption">
    <w:name w:val="caption"/>
    <w:basedOn w:val="Normal"/>
    <w:next w:val="Normal"/>
    <w:unhideWhenUsed/>
    <w:qFormat/>
    <w:rsid w:val="00441DFD"/>
    <w:rPr>
      <w:b/>
      <w:bCs/>
    </w:rPr>
  </w:style>
  <w:style w:type="table" w:styleId="TableGrid">
    <w:name w:val="Table Grid"/>
    <w:basedOn w:val="TableNormal"/>
    <w:rsid w:val="003E0D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lEMEaEuHTF6vhhmzogNW2wlaTw==">CgMxLjA4AHIhMVFycGh3U2pEc0J3QXJRTWFPRl9EeU5qbEhjWkxzTFNB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McKerahan</dc:creator>
  <cp:lastModifiedBy>Zeyneb Kurt</cp:lastModifiedBy>
  <cp:revision>4</cp:revision>
  <dcterms:created xsi:type="dcterms:W3CDTF">2022-01-26T14:32:00Z</dcterms:created>
  <dcterms:modified xsi:type="dcterms:W3CDTF">2024-03-28T09:03:00Z</dcterms:modified>
</cp:coreProperties>
</file>