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E54AB" w14:textId="77777777" w:rsidR="00654E8F" w:rsidRPr="001549D3" w:rsidRDefault="00654E8F" w:rsidP="00E66209">
      <w:pPr>
        <w:pStyle w:val="SupplementaryMaterial"/>
        <w:suppressLineNumbers w:val="0"/>
        <w:rPr>
          <w:b w:val="0"/>
        </w:rPr>
      </w:pPr>
      <w:r w:rsidRPr="001549D3">
        <w:t>Supplementary Material</w:t>
      </w:r>
    </w:p>
    <w:p w14:paraId="0844BDCC" w14:textId="607DFA56" w:rsidR="00D81011" w:rsidRDefault="004C29A1" w:rsidP="00D81011">
      <w:pPr>
        <w:pStyle w:val="Heading1"/>
      </w:pPr>
      <w:r>
        <w:t xml:space="preserve">Example </w:t>
      </w:r>
      <w:r w:rsidR="00D81011">
        <w:t>Air Mas Back Trajector</w:t>
      </w:r>
      <w:r>
        <w:t>y</w:t>
      </w:r>
      <w:r w:rsidR="00D81011">
        <w:t xml:space="preserve"> for </w:t>
      </w:r>
      <w:r>
        <w:t>Godzilla Dust</w:t>
      </w:r>
    </w:p>
    <w:p w14:paraId="59BEE6A9" w14:textId="641465EE" w:rsidR="00AB0693" w:rsidRPr="00AB0693" w:rsidRDefault="00AB0693" w:rsidP="00EB5564">
      <w:r>
        <w:t xml:space="preserve">Cellulose filters </w:t>
      </w:r>
      <w:r w:rsidR="00EB5564">
        <w:t>collected at Ragged Point, Barbados between</w:t>
      </w:r>
      <w:r>
        <w:t xml:space="preserve"> June </w:t>
      </w:r>
      <w:r w:rsidR="00EB5564">
        <w:t>21</w:t>
      </w:r>
      <w:r w:rsidR="00EB5564" w:rsidRPr="00EB5564">
        <w:rPr>
          <w:vertAlign w:val="superscript"/>
        </w:rPr>
        <w:t>st</w:t>
      </w:r>
      <w:r w:rsidR="00EB5564">
        <w:t>-24</w:t>
      </w:r>
      <w:r w:rsidR="00EB5564" w:rsidRPr="00EB5564">
        <w:rPr>
          <w:vertAlign w:val="superscript"/>
        </w:rPr>
        <w:t>th</w:t>
      </w:r>
      <w:r w:rsidR="00EB5564">
        <w:t>, 2020, were used for the seawater incubation. Air mass back trajectories (</w:t>
      </w:r>
      <w:r w:rsidR="00D93023">
        <w:t xml:space="preserve">from </w:t>
      </w:r>
      <w:r w:rsidR="00EB5564">
        <w:t>NOA</w:t>
      </w:r>
      <w:r w:rsidR="00D93023">
        <w:t>A</w:t>
      </w:r>
      <w:r w:rsidR="00EB5564">
        <w:t xml:space="preserve"> HYSPLIT) confirmed that the dust collected at Ragged Point origina</w:t>
      </w:r>
      <w:r w:rsidR="004C29A1">
        <w:t>ted</w:t>
      </w:r>
      <w:r w:rsidR="00EB5564">
        <w:t xml:space="preserve"> in Northern Africa. </w:t>
      </w:r>
    </w:p>
    <w:p w14:paraId="7253FA16" w14:textId="74E7657E" w:rsidR="00AB0693" w:rsidRDefault="00AB0693" w:rsidP="00AB0693">
      <w:pPr>
        <w:jc w:val="center"/>
      </w:pPr>
      <w:r w:rsidRPr="00AB0693">
        <w:rPr>
          <w:noProof/>
        </w:rPr>
        <w:drawing>
          <wp:inline distT="0" distB="0" distL="0" distR="0" wp14:anchorId="6C2D7B12" wp14:editId="1EC53C8B">
            <wp:extent cx="3749241" cy="4597400"/>
            <wp:effectExtent l="0" t="0" r="0" b="0"/>
            <wp:docPr id="757734341" name="Picture 1" descr="A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34341" name="Picture 1" descr="A screen shot of a map&#10;&#10;Description automatically generated"/>
                    <pic:cNvPicPr/>
                  </pic:nvPicPr>
                  <pic:blipFill rotWithShape="1">
                    <a:blip r:embed="rId12"/>
                    <a:srcRect l="10015" t="20643" r="8816" b="9023"/>
                    <a:stretch/>
                  </pic:blipFill>
                  <pic:spPr bwMode="auto">
                    <a:xfrm>
                      <a:off x="0" y="0"/>
                      <a:ext cx="3751230" cy="4599839"/>
                    </a:xfrm>
                    <a:prstGeom prst="rect">
                      <a:avLst/>
                    </a:prstGeom>
                    <a:ln>
                      <a:noFill/>
                    </a:ln>
                    <a:extLst>
                      <a:ext uri="{53640926-AAD7-44D8-BBD7-CCE9431645EC}">
                        <a14:shadowObscured xmlns:a14="http://schemas.microsoft.com/office/drawing/2010/main"/>
                      </a:ext>
                    </a:extLst>
                  </pic:spPr>
                </pic:pic>
              </a:graphicData>
            </a:graphic>
          </wp:inline>
        </w:drawing>
      </w:r>
    </w:p>
    <w:p w14:paraId="4D74CE3B" w14:textId="22B6855B" w:rsidR="00AB0693" w:rsidRDefault="00AB0693" w:rsidP="00AB0693">
      <w:r w:rsidRPr="00AB0693">
        <w:rPr>
          <w:b/>
          <w:bCs/>
        </w:rPr>
        <w:t>SI Figure 1.</w:t>
      </w:r>
      <w:r>
        <w:t xml:space="preserve"> NOAA HYSPLIT 7-day air mass back trajectory from Ragged Point, Barbados</w:t>
      </w:r>
      <w:r w:rsidR="00EB5564">
        <w:t>. This example back trajectory is from</w:t>
      </w:r>
      <w:r>
        <w:t xml:space="preserve"> 00:00 UTC on June 23, 2020 (during the Godzilla dust event). Trajectories at 500, 1000, and 1500 meters AGL show that air masses reaching the site on the June 23</w:t>
      </w:r>
      <w:r w:rsidRPr="00AB0693">
        <w:rPr>
          <w:vertAlign w:val="superscript"/>
        </w:rPr>
        <w:t>rd</w:t>
      </w:r>
      <w:r>
        <w:t xml:space="preserve"> came from Northern Africa. </w:t>
      </w:r>
    </w:p>
    <w:p w14:paraId="127484DB" w14:textId="77777777" w:rsidR="004C29A1" w:rsidRPr="00AB0693" w:rsidRDefault="004C29A1" w:rsidP="00AB0693"/>
    <w:p w14:paraId="5E584EE8" w14:textId="6626A0B5" w:rsidR="00994A3D" w:rsidRPr="00994A3D" w:rsidRDefault="00D81011" w:rsidP="00D81011">
      <w:pPr>
        <w:pStyle w:val="Heading1"/>
      </w:pPr>
      <w:r w:rsidRPr="00D81011">
        <w:t>ICP-MS Analytical Methods for Total P and Total Fe Concentrations</w:t>
      </w:r>
    </w:p>
    <w:p w14:paraId="25B5848C" w14:textId="6297CF62" w:rsidR="00D81011" w:rsidRDefault="6FEE0FDD" w:rsidP="7D19B3C8">
      <w:pPr>
        <w:pStyle w:val="paragraph"/>
        <w:spacing w:before="0" w:beforeAutospacing="0" w:after="0" w:afterAutospacing="0"/>
        <w:textAlignment w:val="baseline"/>
        <w:rPr>
          <w:rFonts w:ascii="Segoe UI" w:hAnsi="Segoe UI" w:cs="Segoe UI"/>
          <w:sz w:val="18"/>
          <w:szCs w:val="18"/>
        </w:rPr>
      </w:pPr>
      <w:r w:rsidRPr="6FEE0FDD">
        <w:rPr>
          <w:rStyle w:val="normaltextrun"/>
          <w:color w:val="000000" w:themeColor="text1"/>
        </w:rPr>
        <w:t xml:space="preserve">Elemental concentrations in both mineral dust and volcanic ash were determined at the University of Miami, Rosenstiel School of Marine, Atmospheric &amp; Earth Science using triple quadrupole </w:t>
      </w:r>
      <w:r w:rsidRPr="6FEE0FDD">
        <w:rPr>
          <w:rStyle w:val="normaltextrun"/>
          <w:color w:val="000000" w:themeColor="text1"/>
        </w:rPr>
        <w:lastRenderedPageBreak/>
        <w:t xml:space="preserve">inductively coupled plasma mass spectrometry (Agilent 8900, Agilent Technologies, Santa Clara, CA, USA). Sample dilutions were performed in a in a Class 100 UL 1805 certified polypropylene trace metal workstation. The 8900 was equipped with an integrated autosampler (SPS-4) with HEPA filtration and </w:t>
      </w:r>
      <w:proofErr w:type="spellStart"/>
      <w:r w:rsidRPr="6FEE0FDD">
        <w:rPr>
          <w:rStyle w:val="normaltextrun"/>
          <w:color w:val="000000" w:themeColor="text1"/>
        </w:rPr>
        <w:t>coverkit</w:t>
      </w:r>
      <w:proofErr w:type="spellEnd"/>
      <w:r w:rsidRPr="6FEE0FDD">
        <w:rPr>
          <w:rStyle w:val="normaltextrun"/>
          <w:color w:val="000000" w:themeColor="text1"/>
        </w:rPr>
        <w:t xml:space="preserve">, Ni skimmer and sampler cones, and standard electron multiplier detector. In these analyses, the instrument had a standard sample introduction system, including a glass </w:t>
      </w:r>
      <w:proofErr w:type="spellStart"/>
      <w:r w:rsidRPr="6FEE0FDD">
        <w:rPr>
          <w:rStyle w:val="normaltextrun"/>
          <w:color w:val="000000" w:themeColor="text1"/>
        </w:rPr>
        <w:t>MicroMist</w:t>
      </w:r>
      <w:proofErr w:type="spellEnd"/>
      <w:r w:rsidRPr="6FEE0FDD">
        <w:rPr>
          <w:rStyle w:val="normaltextrun"/>
          <w:color w:val="000000" w:themeColor="text1"/>
        </w:rPr>
        <w:t xml:space="preserve"> nebulizer, a quartz double pass spray chamber, and quartz torch with 2.5mm id injector, and either a </w:t>
      </w:r>
      <w:proofErr w:type="gramStart"/>
      <w:r w:rsidRPr="6FEE0FDD">
        <w:rPr>
          <w:rStyle w:val="normaltextrun"/>
          <w:color w:val="000000" w:themeColor="text1"/>
        </w:rPr>
        <w:t>general purpose</w:t>
      </w:r>
      <w:proofErr w:type="gramEnd"/>
      <w:r w:rsidRPr="6FEE0FDD">
        <w:rPr>
          <w:rStyle w:val="normaltextrun"/>
          <w:color w:val="000000" w:themeColor="text1"/>
        </w:rPr>
        <w:t xml:space="preserve"> batch or a batch with UHMI setting of 8 was used for online sample dilution using </w:t>
      </w:r>
      <w:proofErr w:type="spellStart"/>
      <w:r w:rsidRPr="6FEE0FDD">
        <w:rPr>
          <w:rStyle w:val="normaltextrun"/>
          <w:color w:val="000000" w:themeColor="text1"/>
        </w:rPr>
        <w:t>Ar</w:t>
      </w:r>
      <w:proofErr w:type="spellEnd"/>
      <w:r w:rsidRPr="6FEE0FDD">
        <w:rPr>
          <w:rStyle w:val="normaltextrun"/>
          <w:color w:val="000000" w:themeColor="text1"/>
        </w:rPr>
        <w:t xml:space="preserve"> gas. Instrument operation was conducted in Mass Hunter 4.5 Workstation Software (C.01.05). Instrument tuning was conducted prior to each analysis, and the tuning solution contained 1 ug/g Li, Y, and Tl (Agilent Technologies Tuning solution) which allowed for the optimization of signal sensitivity and peak resolution at low, mid, and high m/z ranges as previously (</w:t>
      </w:r>
      <w:proofErr w:type="spellStart"/>
      <w:r w:rsidRPr="6FEE0FDD">
        <w:rPr>
          <w:rStyle w:val="normaltextrun"/>
          <w:color w:val="000000" w:themeColor="text1"/>
        </w:rPr>
        <w:t>Harouaka</w:t>
      </w:r>
      <w:proofErr w:type="spellEnd"/>
      <w:r w:rsidRPr="6FEE0FDD">
        <w:rPr>
          <w:rStyle w:val="normaltextrun"/>
          <w:color w:val="000000" w:themeColor="text1"/>
        </w:rPr>
        <w:t xml:space="preserve"> et al., 2020). Plasma-derived oxides and doubly charged ions were monitored before each analytical batch and maintained below 2% and 3% respectively. Three replicate analyses consisting of 100 sweeps each were conducted for each measurement. Scandium was introduced using the Agilent online internal standard kit to serve as internal standards. An external calibration curve was produced from commercially available multi-element solutions produced by Agilent Technologies and was certified using NIST-traceable </w:t>
      </w:r>
      <w:proofErr w:type="spellStart"/>
      <w:r w:rsidRPr="6FEE0FDD">
        <w:rPr>
          <w:rStyle w:val="normaltextrun"/>
          <w:color w:val="000000" w:themeColor="text1"/>
        </w:rPr>
        <w:t>Spex</w:t>
      </w:r>
      <w:proofErr w:type="spellEnd"/>
      <w:r w:rsidRPr="6FEE0FDD">
        <w:rPr>
          <w:rStyle w:val="normaltextrun"/>
          <w:color w:val="000000" w:themeColor="text1"/>
        </w:rPr>
        <w:t xml:space="preserve"> </w:t>
      </w:r>
      <w:proofErr w:type="spellStart"/>
      <w:r w:rsidRPr="6FEE0FDD">
        <w:rPr>
          <w:rStyle w:val="normaltextrun"/>
          <w:color w:val="000000" w:themeColor="text1"/>
        </w:rPr>
        <w:t>Certiprep</w:t>
      </w:r>
      <w:proofErr w:type="spellEnd"/>
      <w:r w:rsidRPr="6FEE0FDD">
        <w:rPr>
          <w:rStyle w:val="normaltextrun"/>
          <w:color w:val="000000" w:themeColor="text1"/>
        </w:rPr>
        <w:t xml:space="preserve"> solution with reproducibility better than ±8% difference from certified values. For a blank correction, one-eighth of a blank W-41 filter was digested along with the mineral dust sample, then the concentration in the running solution was subtracted from all sample measurements. Filter blank values in the running solution were &lt;2.5% of the mineral dust sample P concentration and &lt;0.2% of the mineral dust sample Fe concentration. An acid blank was used for blank corrections with the volcanic ash. Acid blank values in the running solution were below the instrument's limit of detection for P and &lt;0.4% of the volcanic ash sample Fe concentration. Absolute P and Fe values measured for the samples and CRMs (and the certified values for the CRMs) are reported in SI Table 1. Maximum RSD %s for each element </w:t>
      </w:r>
      <w:proofErr w:type="gramStart"/>
      <w:r w:rsidRPr="6FEE0FDD">
        <w:rPr>
          <w:rStyle w:val="normaltextrun"/>
          <w:color w:val="000000" w:themeColor="text1"/>
        </w:rPr>
        <w:t>are</w:t>
      </w:r>
      <w:proofErr w:type="gramEnd"/>
      <w:r w:rsidRPr="6FEE0FDD">
        <w:rPr>
          <w:rStyle w:val="normaltextrun"/>
          <w:color w:val="000000" w:themeColor="text1"/>
        </w:rPr>
        <w:t xml:space="preserve"> reported in SI Table 2. Method validation was performed using two CRMs; BHVO-2 (Hawaiian Basalt, USGS) and AGV-2 (Guano Valley Andesite, USGS).</w:t>
      </w:r>
      <w:r w:rsidRPr="6FEE0FDD">
        <w:rPr>
          <w:rStyle w:val="normaltextrun"/>
          <w:b/>
          <w:bCs/>
          <w:color w:val="000000" w:themeColor="text1"/>
        </w:rPr>
        <w:t xml:space="preserve"> </w:t>
      </w:r>
      <w:r w:rsidRPr="6FEE0FDD">
        <w:rPr>
          <w:rStyle w:val="normaltextrun"/>
          <w:color w:val="000000" w:themeColor="text1"/>
        </w:rPr>
        <w:t>Calculations of average percent difference from the certified values (</w:t>
      </w:r>
      <w:proofErr w:type="gramStart"/>
      <w:r w:rsidRPr="6FEE0FDD">
        <w:rPr>
          <w:rStyle w:val="normaltextrun"/>
          <w:color w:val="000000" w:themeColor="text1"/>
        </w:rPr>
        <w:t>certified-analyzed</w:t>
      </w:r>
      <w:proofErr w:type="gramEnd"/>
      <w:r w:rsidRPr="6FEE0FDD">
        <w:rPr>
          <w:rStyle w:val="normaltextrun"/>
          <w:color w:val="000000" w:themeColor="text1"/>
        </w:rPr>
        <w:t>)/certified*100), are reported in SI Table 2.  </w:t>
      </w:r>
    </w:p>
    <w:p w14:paraId="3FAAB272" w14:textId="77777777" w:rsidR="00D81011" w:rsidRPr="00352249" w:rsidRDefault="00D81011" w:rsidP="7D19B3C8">
      <w:pPr>
        <w:pStyle w:val="paragraph"/>
        <w:spacing w:before="0" w:beforeAutospacing="0" w:after="0" w:afterAutospacing="0"/>
        <w:textAlignment w:val="baseline"/>
        <w:rPr>
          <w:color w:val="000000" w:themeColor="text1"/>
        </w:rPr>
      </w:pPr>
    </w:p>
    <w:p w14:paraId="2F02E562" w14:textId="67E5A903" w:rsidR="7D19B3C8" w:rsidRDefault="07AF72CF">
      <w:pPr>
        <w:spacing w:after="60"/>
        <w:rPr>
          <w:rFonts w:cs="Times New Roman"/>
          <w:b/>
          <w:bCs/>
          <w:color w:val="000000" w:themeColor="text1"/>
        </w:rPr>
      </w:pPr>
      <w:r w:rsidRPr="00E70ADA">
        <w:rPr>
          <w:rFonts w:cs="Times New Roman"/>
          <w:b/>
          <w:bCs/>
        </w:rPr>
        <w:t>SI Table 1.</w:t>
      </w:r>
      <w:r w:rsidRPr="00E70ADA">
        <w:rPr>
          <w:rFonts w:cs="Times New Roman"/>
        </w:rPr>
        <w:t xml:space="preserve"> Absolute P and Fe values measured for mineral dust, volcanic ash, and CRMs. (CRM values are represented as averages of multiple CRM measurements used as checks)</w:t>
      </w:r>
    </w:p>
    <w:tbl>
      <w:tblPr>
        <w:tblStyle w:val="TableGrid"/>
        <w:tblW w:w="9765" w:type="dxa"/>
        <w:tblLayout w:type="fixed"/>
        <w:tblLook w:val="06A0" w:firstRow="1" w:lastRow="0" w:firstColumn="1" w:lastColumn="0" w:noHBand="1" w:noVBand="1"/>
      </w:tblPr>
      <w:tblGrid>
        <w:gridCol w:w="1953"/>
        <w:gridCol w:w="1953"/>
        <w:gridCol w:w="1953"/>
        <w:gridCol w:w="1953"/>
        <w:gridCol w:w="1953"/>
      </w:tblGrid>
      <w:tr w:rsidR="43FC4B01" w14:paraId="0280164F" w14:textId="77777777" w:rsidTr="60A869A6">
        <w:trPr>
          <w:trHeight w:val="300"/>
        </w:trPr>
        <w:tc>
          <w:tcPr>
            <w:tcW w:w="1953" w:type="dxa"/>
          </w:tcPr>
          <w:p w14:paraId="70EF15E4" w14:textId="495B2C0C" w:rsidR="43FC4B01" w:rsidRPr="00E70ADA" w:rsidRDefault="05385A78" w:rsidP="05385A78">
            <w:pPr>
              <w:rPr>
                <w:rFonts w:eastAsia="Times New Roman" w:cs="Times New Roman"/>
                <w:b/>
                <w:bCs/>
                <w:color w:val="000000" w:themeColor="text1"/>
                <w:sz w:val="20"/>
                <w:szCs w:val="20"/>
              </w:rPr>
            </w:pPr>
            <w:r w:rsidRPr="00E70ADA">
              <w:rPr>
                <w:rFonts w:eastAsia="Times New Roman" w:cs="Times New Roman"/>
                <w:b/>
                <w:bCs/>
                <w:sz w:val="20"/>
                <w:szCs w:val="20"/>
              </w:rPr>
              <w:t>Sample or CRM ID</w:t>
            </w:r>
          </w:p>
        </w:tc>
        <w:tc>
          <w:tcPr>
            <w:tcW w:w="1953" w:type="dxa"/>
          </w:tcPr>
          <w:p w14:paraId="4EC7A220" w14:textId="3A04BE44" w:rsidR="43FC4B01" w:rsidRPr="00E70ADA" w:rsidRDefault="05385A78" w:rsidP="05385A78">
            <w:pPr>
              <w:rPr>
                <w:rFonts w:eastAsia="Times New Roman" w:cs="Times New Roman"/>
                <w:b/>
                <w:bCs/>
                <w:color w:val="000000" w:themeColor="text1"/>
                <w:sz w:val="20"/>
                <w:szCs w:val="20"/>
              </w:rPr>
            </w:pPr>
            <w:r w:rsidRPr="00E70ADA">
              <w:rPr>
                <w:rFonts w:eastAsia="Times New Roman" w:cs="Times New Roman"/>
                <w:b/>
                <w:bCs/>
                <w:sz w:val="20"/>
                <w:szCs w:val="20"/>
              </w:rPr>
              <w:t>Measured P concentration (mg/kg)</w:t>
            </w:r>
          </w:p>
        </w:tc>
        <w:tc>
          <w:tcPr>
            <w:tcW w:w="1953" w:type="dxa"/>
          </w:tcPr>
          <w:p w14:paraId="53CF9C82" w14:textId="71CCD146" w:rsidR="6FEE0FDD" w:rsidRPr="00E70ADA" w:rsidRDefault="05385A78" w:rsidP="05385A78">
            <w:pPr>
              <w:rPr>
                <w:rFonts w:eastAsia="Times New Roman" w:cs="Times New Roman"/>
                <w:b/>
                <w:bCs/>
                <w:color w:val="000000" w:themeColor="text1"/>
                <w:sz w:val="20"/>
                <w:szCs w:val="20"/>
              </w:rPr>
            </w:pPr>
            <w:r w:rsidRPr="00E70ADA">
              <w:rPr>
                <w:rFonts w:eastAsia="Times New Roman" w:cs="Times New Roman"/>
                <w:b/>
                <w:bCs/>
                <w:sz w:val="20"/>
                <w:szCs w:val="20"/>
              </w:rPr>
              <w:t>Certified P concentration (mg/kg) for CRMs only</w:t>
            </w:r>
          </w:p>
        </w:tc>
        <w:tc>
          <w:tcPr>
            <w:tcW w:w="1953" w:type="dxa"/>
          </w:tcPr>
          <w:p w14:paraId="7D59FC48" w14:textId="48BAE6CA" w:rsidR="43FC4B01" w:rsidRPr="00E70ADA" w:rsidRDefault="05385A78" w:rsidP="05385A78">
            <w:pPr>
              <w:rPr>
                <w:rFonts w:eastAsia="Times New Roman" w:cs="Times New Roman"/>
                <w:b/>
                <w:bCs/>
                <w:color w:val="000000" w:themeColor="text1"/>
                <w:sz w:val="20"/>
                <w:szCs w:val="20"/>
              </w:rPr>
            </w:pPr>
            <w:r w:rsidRPr="00E70ADA">
              <w:rPr>
                <w:rFonts w:eastAsia="Times New Roman" w:cs="Times New Roman"/>
                <w:b/>
                <w:bCs/>
                <w:sz w:val="20"/>
                <w:szCs w:val="20"/>
              </w:rPr>
              <w:t>Measured Fe concentration (mg/kg)</w:t>
            </w:r>
          </w:p>
        </w:tc>
        <w:tc>
          <w:tcPr>
            <w:tcW w:w="1953" w:type="dxa"/>
          </w:tcPr>
          <w:p w14:paraId="24C18EFD" w14:textId="25968AEA" w:rsidR="6FEE0FDD" w:rsidRPr="00E70ADA" w:rsidRDefault="05385A78" w:rsidP="05385A78">
            <w:pPr>
              <w:rPr>
                <w:rFonts w:eastAsia="Times New Roman" w:cs="Times New Roman"/>
                <w:b/>
                <w:bCs/>
                <w:color w:val="000000" w:themeColor="text1"/>
                <w:sz w:val="20"/>
                <w:szCs w:val="20"/>
              </w:rPr>
            </w:pPr>
            <w:r w:rsidRPr="00E70ADA">
              <w:rPr>
                <w:rFonts w:eastAsia="Times New Roman" w:cs="Times New Roman"/>
                <w:b/>
                <w:bCs/>
                <w:sz w:val="20"/>
                <w:szCs w:val="20"/>
              </w:rPr>
              <w:t>Certified Fe concentration (mg/kg) for CRMs only</w:t>
            </w:r>
          </w:p>
        </w:tc>
      </w:tr>
      <w:tr w:rsidR="43FC4B01" w14:paraId="26F5A996" w14:textId="77777777" w:rsidTr="60A869A6">
        <w:trPr>
          <w:trHeight w:val="300"/>
        </w:trPr>
        <w:tc>
          <w:tcPr>
            <w:tcW w:w="1953" w:type="dxa"/>
          </w:tcPr>
          <w:p w14:paraId="053C0045" w14:textId="7647AECE" w:rsidR="43FC4B01" w:rsidRPr="00E70ADA" w:rsidRDefault="05385A78" w:rsidP="05385A78">
            <w:pPr>
              <w:rPr>
                <w:rFonts w:eastAsia="Times New Roman" w:cs="Times New Roman"/>
                <w:color w:val="000000" w:themeColor="text1"/>
                <w:sz w:val="20"/>
                <w:szCs w:val="20"/>
              </w:rPr>
            </w:pPr>
            <w:r w:rsidRPr="00E70ADA">
              <w:rPr>
                <w:rFonts w:eastAsia="Times New Roman" w:cs="Times New Roman"/>
                <w:sz w:val="20"/>
                <w:szCs w:val="20"/>
              </w:rPr>
              <w:t>Godzilla mineral dust</w:t>
            </w:r>
          </w:p>
        </w:tc>
        <w:tc>
          <w:tcPr>
            <w:tcW w:w="1953" w:type="dxa"/>
          </w:tcPr>
          <w:p w14:paraId="71ED0318" w14:textId="63FB1847" w:rsidR="13F3EA17" w:rsidRPr="00E70ADA" w:rsidRDefault="60A869A6" w:rsidP="60A869A6">
            <w:pPr>
              <w:rPr>
                <w:rFonts w:eastAsia="Times New Roman" w:cs="Times New Roman"/>
                <w:sz w:val="20"/>
                <w:szCs w:val="20"/>
              </w:rPr>
            </w:pPr>
            <w:r w:rsidRPr="00E70ADA">
              <w:rPr>
                <w:rFonts w:eastAsia="Times New Roman" w:cs="Times New Roman"/>
                <w:sz w:val="20"/>
                <w:szCs w:val="20"/>
              </w:rPr>
              <w:t>856.</w:t>
            </w:r>
            <w:r w:rsidRPr="60A869A6">
              <w:rPr>
                <w:rFonts w:eastAsia="Times New Roman" w:cs="Times New Roman"/>
                <w:sz w:val="20"/>
                <w:szCs w:val="20"/>
              </w:rPr>
              <w:t>8</w:t>
            </w:r>
          </w:p>
        </w:tc>
        <w:tc>
          <w:tcPr>
            <w:tcW w:w="1953" w:type="dxa"/>
          </w:tcPr>
          <w:p w14:paraId="4E3528BD" w14:textId="61C901CA" w:rsidR="6FEE0FDD" w:rsidRPr="00E70ADA" w:rsidRDefault="60A869A6" w:rsidP="60A869A6">
            <w:pPr>
              <w:rPr>
                <w:rFonts w:eastAsia="Times New Roman" w:cs="Times New Roman"/>
                <w:sz w:val="20"/>
                <w:szCs w:val="20"/>
              </w:rPr>
            </w:pPr>
            <w:r w:rsidRPr="00E70ADA">
              <w:rPr>
                <w:rFonts w:eastAsia="Times New Roman" w:cs="Times New Roman"/>
                <w:sz w:val="20"/>
                <w:szCs w:val="20"/>
              </w:rPr>
              <w:t>N/A</w:t>
            </w:r>
          </w:p>
        </w:tc>
        <w:tc>
          <w:tcPr>
            <w:tcW w:w="1953" w:type="dxa"/>
          </w:tcPr>
          <w:p w14:paraId="6A7D28E3" w14:textId="30942A13" w:rsidR="13F3EA17" w:rsidRPr="00E70ADA" w:rsidRDefault="60A869A6" w:rsidP="60A869A6">
            <w:pPr>
              <w:rPr>
                <w:rFonts w:eastAsia="Times New Roman" w:cs="Times New Roman"/>
                <w:sz w:val="20"/>
                <w:szCs w:val="20"/>
              </w:rPr>
            </w:pPr>
            <w:r w:rsidRPr="00E70ADA">
              <w:rPr>
                <w:rFonts w:eastAsia="Times New Roman" w:cs="Times New Roman"/>
                <w:sz w:val="20"/>
                <w:szCs w:val="20"/>
              </w:rPr>
              <w:t>52177.6</w:t>
            </w:r>
          </w:p>
        </w:tc>
        <w:tc>
          <w:tcPr>
            <w:tcW w:w="1953" w:type="dxa"/>
          </w:tcPr>
          <w:p w14:paraId="5B738791" w14:textId="52D7FFE4" w:rsidR="6FEE0FDD" w:rsidRPr="00E70ADA" w:rsidRDefault="60A869A6" w:rsidP="60A869A6">
            <w:pPr>
              <w:rPr>
                <w:rFonts w:eastAsia="Times New Roman" w:cs="Times New Roman"/>
                <w:sz w:val="20"/>
                <w:szCs w:val="20"/>
              </w:rPr>
            </w:pPr>
            <w:r w:rsidRPr="00E70ADA">
              <w:rPr>
                <w:rFonts w:eastAsia="Times New Roman" w:cs="Times New Roman"/>
                <w:sz w:val="20"/>
                <w:szCs w:val="20"/>
              </w:rPr>
              <w:t>N/A</w:t>
            </w:r>
          </w:p>
        </w:tc>
      </w:tr>
      <w:tr w:rsidR="43FC4B01" w14:paraId="2F3FBB17" w14:textId="77777777" w:rsidTr="60A869A6">
        <w:trPr>
          <w:trHeight w:val="300"/>
        </w:trPr>
        <w:tc>
          <w:tcPr>
            <w:tcW w:w="1953" w:type="dxa"/>
          </w:tcPr>
          <w:p w14:paraId="5314D90E" w14:textId="5D5F10FA" w:rsidR="43FC4B01" w:rsidRPr="00E70ADA" w:rsidRDefault="05385A78" w:rsidP="05385A78">
            <w:pPr>
              <w:rPr>
                <w:rFonts w:eastAsia="Times New Roman" w:cs="Times New Roman"/>
                <w:color w:val="000000" w:themeColor="text1"/>
                <w:sz w:val="20"/>
                <w:szCs w:val="20"/>
              </w:rPr>
            </w:pPr>
            <w:r w:rsidRPr="00E70ADA">
              <w:rPr>
                <w:rFonts w:eastAsia="Times New Roman" w:cs="Times New Roman"/>
                <w:sz w:val="20"/>
                <w:szCs w:val="20"/>
              </w:rPr>
              <w:t xml:space="preserve">La </w:t>
            </w:r>
            <w:proofErr w:type="spellStart"/>
            <w:r w:rsidRPr="00E70ADA">
              <w:rPr>
                <w:rFonts w:eastAsia="Times New Roman" w:cs="Times New Roman"/>
                <w:sz w:val="20"/>
                <w:szCs w:val="20"/>
              </w:rPr>
              <w:t>Soufrière</w:t>
            </w:r>
            <w:proofErr w:type="spellEnd"/>
            <w:r w:rsidRPr="00E70ADA">
              <w:rPr>
                <w:rFonts w:eastAsia="Times New Roman" w:cs="Times New Roman"/>
                <w:sz w:val="20"/>
                <w:szCs w:val="20"/>
              </w:rPr>
              <w:t xml:space="preserve"> volcanic ash</w:t>
            </w:r>
          </w:p>
        </w:tc>
        <w:tc>
          <w:tcPr>
            <w:tcW w:w="1953" w:type="dxa"/>
          </w:tcPr>
          <w:p w14:paraId="492A90D9" w14:textId="6B684ED6" w:rsidR="13F3EA17" w:rsidRPr="00E70ADA" w:rsidRDefault="60A869A6" w:rsidP="60A869A6">
            <w:pPr>
              <w:rPr>
                <w:rFonts w:eastAsia="Times New Roman" w:cs="Times New Roman"/>
                <w:sz w:val="20"/>
                <w:szCs w:val="20"/>
              </w:rPr>
            </w:pPr>
            <w:r w:rsidRPr="00E70ADA">
              <w:rPr>
                <w:rFonts w:eastAsia="Times New Roman" w:cs="Times New Roman"/>
                <w:sz w:val="20"/>
                <w:szCs w:val="20"/>
              </w:rPr>
              <w:t>586.3</w:t>
            </w:r>
          </w:p>
        </w:tc>
        <w:tc>
          <w:tcPr>
            <w:tcW w:w="1953" w:type="dxa"/>
          </w:tcPr>
          <w:p w14:paraId="7B101297" w14:textId="75055703" w:rsidR="6FEE0FDD" w:rsidRPr="00E70ADA" w:rsidRDefault="60A869A6">
            <w:pPr>
              <w:rPr>
                <w:rFonts w:eastAsia="Times New Roman" w:cs="Times New Roman"/>
                <w:sz w:val="20"/>
                <w:szCs w:val="20"/>
              </w:rPr>
            </w:pPr>
            <w:r w:rsidRPr="00E70ADA">
              <w:rPr>
                <w:rFonts w:eastAsia="Times New Roman" w:cs="Times New Roman"/>
                <w:sz w:val="20"/>
                <w:szCs w:val="20"/>
              </w:rPr>
              <w:t>N/A</w:t>
            </w:r>
          </w:p>
        </w:tc>
        <w:tc>
          <w:tcPr>
            <w:tcW w:w="1953" w:type="dxa"/>
          </w:tcPr>
          <w:p w14:paraId="4704102B" w14:textId="00BD53CA" w:rsidR="13F3EA17" w:rsidRPr="00E70ADA" w:rsidRDefault="60A869A6" w:rsidP="60A869A6">
            <w:pPr>
              <w:rPr>
                <w:rFonts w:eastAsia="Times New Roman" w:cs="Times New Roman"/>
                <w:sz w:val="20"/>
                <w:szCs w:val="20"/>
              </w:rPr>
            </w:pPr>
            <w:r w:rsidRPr="00E70ADA">
              <w:rPr>
                <w:rFonts w:eastAsia="Times New Roman" w:cs="Times New Roman"/>
                <w:sz w:val="20"/>
                <w:szCs w:val="20"/>
              </w:rPr>
              <w:t>54169.9</w:t>
            </w:r>
          </w:p>
        </w:tc>
        <w:tc>
          <w:tcPr>
            <w:tcW w:w="1953" w:type="dxa"/>
          </w:tcPr>
          <w:p w14:paraId="3F0F2488" w14:textId="57D39230" w:rsidR="6FEE0FDD" w:rsidRPr="00E70ADA" w:rsidRDefault="60A869A6" w:rsidP="60A869A6">
            <w:pPr>
              <w:rPr>
                <w:rFonts w:eastAsia="Times New Roman" w:cs="Times New Roman"/>
                <w:sz w:val="20"/>
                <w:szCs w:val="20"/>
              </w:rPr>
            </w:pPr>
            <w:r w:rsidRPr="00E70ADA">
              <w:rPr>
                <w:rFonts w:eastAsia="Times New Roman" w:cs="Times New Roman"/>
                <w:sz w:val="20"/>
                <w:szCs w:val="20"/>
              </w:rPr>
              <w:t>N/A</w:t>
            </w:r>
          </w:p>
        </w:tc>
      </w:tr>
      <w:tr w:rsidR="43FC4B01" w14:paraId="48EC6582" w14:textId="77777777" w:rsidTr="60A869A6">
        <w:trPr>
          <w:trHeight w:val="300"/>
        </w:trPr>
        <w:tc>
          <w:tcPr>
            <w:tcW w:w="1953" w:type="dxa"/>
          </w:tcPr>
          <w:p w14:paraId="5F703791" w14:textId="04A02369" w:rsidR="43FC4B01" w:rsidRPr="00E70ADA" w:rsidRDefault="05385A78" w:rsidP="05385A78">
            <w:pPr>
              <w:rPr>
                <w:rFonts w:eastAsia="Times New Roman" w:cs="Times New Roman"/>
                <w:color w:val="000000" w:themeColor="text1"/>
                <w:sz w:val="20"/>
                <w:szCs w:val="20"/>
              </w:rPr>
            </w:pPr>
            <w:r w:rsidRPr="00E70ADA">
              <w:rPr>
                <w:rFonts w:eastAsia="Times New Roman" w:cs="Times New Roman"/>
                <w:sz w:val="20"/>
                <w:szCs w:val="20"/>
              </w:rPr>
              <w:t>AGV-2</w:t>
            </w:r>
          </w:p>
        </w:tc>
        <w:tc>
          <w:tcPr>
            <w:tcW w:w="1953" w:type="dxa"/>
          </w:tcPr>
          <w:p w14:paraId="61BE1F89" w14:textId="57FF669B" w:rsidR="6FEE0FDD" w:rsidRPr="00E70ADA" w:rsidRDefault="60A869A6" w:rsidP="60A869A6">
            <w:pPr>
              <w:rPr>
                <w:rFonts w:eastAsia="Times New Roman" w:cs="Times New Roman"/>
                <w:color w:val="000000" w:themeColor="text1"/>
                <w:sz w:val="20"/>
                <w:szCs w:val="20"/>
              </w:rPr>
            </w:pPr>
            <w:r w:rsidRPr="00E70ADA">
              <w:rPr>
                <w:rFonts w:eastAsia="Times New Roman" w:cs="Times New Roman"/>
                <w:sz w:val="20"/>
                <w:szCs w:val="20"/>
              </w:rPr>
              <w:t>2142.8</w:t>
            </w:r>
          </w:p>
        </w:tc>
        <w:tc>
          <w:tcPr>
            <w:tcW w:w="1953" w:type="dxa"/>
          </w:tcPr>
          <w:p w14:paraId="635A07CB" w14:textId="341D634C" w:rsidR="6FEE0FDD" w:rsidRPr="00E70ADA" w:rsidRDefault="60A869A6" w:rsidP="60A869A6">
            <w:pPr>
              <w:rPr>
                <w:rFonts w:eastAsia="Times New Roman" w:cs="Times New Roman"/>
                <w:sz w:val="20"/>
                <w:szCs w:val="20"/>
              </w:rPr>
            </w:pPr>
            <w:r w:rsidRPr="00E70ADA">
              <w:rPr>
                <w:rFonts w:eastAsia="Times New Roman" w:cs="Times New Roman"/>
                <w:sz w:val="20"/>
                <w:szCs w:val="20"/>
              </w:rPr>
              <w:t>2100</w:t>
            </w:r>
          </w:p>
        </w:tc>
        <w:tc>
          <w:tcPr>
            <w:tcW w:w="1953" w:type="dxa"/>
          </w:tcPr>
          <w:p w14:paraId="725C6B09" w14:textId="63CE7547" w:rsidR="3BB77E1F" w:rsidRPr="00E70ADA" w:rsidRDefault="60A869A6" w:rsidP="60A869A6">
            <w:pPr>
              <w:rPr>
                <w:rFonts w:eastAsia="Times New Roman" w:cs="Times New Roman"/>
                <w:color w:val="000000" w:themeColor="text1"/>
                <w:sz w:val="20"/>
                <w:szCs w:val="20"/>
              </w:rPr>
            </w:pPr>
            <w:r w:rsidRPr="00E70ADA">
              <w:rPr>
                <w:rFonts w:eastAsia="Times New Roman" w:cs="Times New Roman"/>
                <w:sz w:val="20"/>
                <w:szCs w:val="20"/>
              </w:rPr>
              <w:t>49887.2</w:t>
            </w:r>
          </w:p>
        </w:tc>
        <w:tc>
          <w:tcPr>
            <w:tcW w:w="1953" w:type="dxa"/>
          </w:tcPr>
          <w:p w14:paraId="4D15918C" w14:textId="4D66C548" w:rsidR="0672DDB4" w:rsidRPr="00E70ADA" w:rsidRDefault="60A869A6" w:rsidP="60A869A6">
            <w:pPr>
              <w:rPr>
                <w:rFonts w:eastAsia="Times New Roman" w:cs="Times New Roman"/>
                <w:sz w:val="20"/>
                <w:szCs w:val="20"/>
              </w:rPr>
            </w:pPr>
            <w:r w:rsidRPr="00E70ADA">
              <w:rPr>
                <w:rFonts w:eastAsia="Times New Roman" w:cs="Times New Roman"/>
                <w:sz w:val="20"/>
                <w:szCs w:val="20"/>
              </w:rPr>
              <w:t>46800</w:t>
            </w:r>
          </w:p>
        </w:tc>
      </w:tr>
      <w:tr w:rsidR="43FC4B01" w14:paraId="6241BF0B" w14:textId="77777777" w:rsidTr="60A869A6">
        <w:trPr>
          <w:trHeight w:val="300"/>
        </w:trPr>
        <w:tc>
          <w:tcPr>
            <w:tcW w:w="1953" w:type="dxa"/>
          </w:tcPr>
          <w:p w14:paraId="66B5E7B5" w14:textId="50FE6A71" w:rsidR="43FC4B01" w:rsidRPr="00E70ADA" w:rsidRDefault="05385A78">
            <w:pPr>
              <w:rPr>
                <w:rFonts w:eastAsia="Times New Roman" w:cs="Times New Roman"/>
                <w:color w:val="000000" w:themeColor="text1"/>
                <w:sz w:val="20"/>
                <w:szCs w:val="20"/>
              </w:rPr>
            </w:pPr>
            <w:r w:rsidRPr="00E70ADA">
              <w:rPr>
                <w:rFonts w:eastAsia="Times New Roman" w:cs="Times New Roman"/>
                <w:sz w:val="20"/>
                <w:szCs w:val="20"/>
              </w:rPr>
              <w:t>BHVO-2</w:t>
            </w:r>
          </w:p>
        </w:tc>
        <w:tc>
          <w:tcPr>
            <w:tcW w:w="1953" w:type="dxa"/>
          </w:tcPr>
          <w:p w14:paraId="5021212E" w14:textId="5E94CED1" w:rsidR="6FEE0FDD" w:rsidRPr="00E70ADA" w:rsidRDefault="60A869A6" w:rsidP="60A869A6">
            <w:pPr>
              <w:rPr>
                <w:rFonts w:eastAsia="Times New Roman" w:cs="Times New Roman"/>
                <w:color w:val="000000" w:themeColor="text1"/>
                <w:sz w:val="20"/>
                <w:szCs w:val="20"/>
              </w:rPr>
            </w:pPr>
            <w:r w:rsidRPr="00E70ADA">
              <w:rPr>
                <w:rFonts w:eastAsia="Times New Roman" w:cs="Times New Roman"/>
                <w:sz w:val="20"/>
                <w:szCs w:val="20"/>
              </w:rPr>
              <w:t>1197.2</w:t>
            </w:r>
          </w:p>
        </w:tc>
        <w:tc>
          <w:tcPr>
            <w:tcW w:w="1953" w:type="dxa"/>
          </w:tcPr>
          <w:p w14:paraId="6730B894" w14:textId="5870BA8C" w:rsidR="6FEE0FDD" w:rsidRPr="00E70ADA" w:rsidRDefault="60A869A6" w:rsidP="60A869A6">
            <w:pPr>
              <w:rPr>
                <w:rFonts w:eastAsia="Times New Roman" w:cs="Times New Roman"/>
                <w:sz w:val="20"/>
                <w:szCs w:val="20"/>
              </w:rPr>
            </w:pPr>
            <w:r w:rsidRPr="00E70ADA">
              <w:rPr>
                <w:rFonts w:eastAsia="Times New Roman" w:cs="Times New Roman"/>
                <w:sz w:val="20"/>
                <w:szCs w:val="20"/>
              </w:rPr>
              <w:t>1200</w:t>
            </w:r>
          </w:p>
        </w:tc>
        <w:tc>
          <w:tcPr>
            <w:tcW w:w="1953" w:type="dxa"/>
          </w:tcPr>
          <w:p w14:paraId="56958F0E" w14:textId="222812D1" w:rsidR="3BB77E1F" w:rsidRPr="00E70ADA" w:rsidRDefault="60A869A6" w:rsidP="60A869A6">
            <w:pPr>
              <w:rPr>
                <w:rFonts w:eastAsia="Times New Roman" w:cs="Times New Roman"/>
                <w:color w:val="000000" w:themeColor="text1"/>
                <w:sz w:val="20"/>
                <w:szCs w:val="20"/>
              </w:rPr>
            </w:pPr>
            <w:r w:rsidRPr="00E70ADA">
              <w:rPr>
                <w:rFonts w:eastAsia="Times New Roman" w:cs="Times New Roman"/>
                <w:sz w:val="20"/>
                <w:szCs w:val="20"/>
              </w:rPr>
              <w:t>86384.</w:t>
            </w:r>
            <w:r w:rsidRPr="60A869A6">
              <w:rPr>
                <w:rFonts w:eastAsia="Times New Roman" w:cs="Times New Roman"/>
                <w:sz w:val="20"/>
                <w:szCs w:val="20"/>
              </w:rPr>
              <w:t>1</w:t>
            </w:r>
          </w:p>
        </w:tc>
        <w:tc>
          <w:tcPr>
            <w:tcW w:w="1953" w:type="dxa"/>
          </w:tcPr>
          <w:p w14:paraId="051D2F6A" w14:textId="144BC876" w:rsidR="0672DDB4" w:rsidRPr="00E70ADA" w:rsidRDefault="60A869A6" w:rsidP="60A869A6">
            <w:pPr>
              <w:rPr>
                <w:rFonts w:eastAsia="Times New Roman" w:cs="Times New Roman"/>
                <w:b/>
                <w:bCs/>
                <w:sz w:val="28"/>
                <w:szCs w:val="28"/>
              </w:rPr>
            </w:pPr>
            <w:r w:rsidRPr="00E70ADA">
              <w:rPr>
                <w:rFonts w:eastAsia="Times New Roman" w:cs="Times New Roman"/>
                <w:sz w:val="20"/>
                <w:szCs w:val="20"/>
              </w:rPr>
              <w:t>86300</w:t>
            </w:r>
          </w:p>
        </w:tc>
      </w:tr>
    </w:tbl>
    <w:p w14:paraId="05C23B08" w14:textId="76B53C16" w:rsidR="43FC4B01" w:rsidRDefault="43FC4B01"/>
    <w:p w14:paraId="128C931D" w14:textId="34561A0C" w:rsidR="00D81011" w:rsidRPr="00B37D17" w:rsidRDefault="7D19B3C8" w:rsidP="00D81011">
      <w:pPr>
        <w:autoSpaceDE w:val="0"/>
        <w:autoSpaceDN w:val="0"/>
        <w:adjustRightInd w:val="0"/>
        <w:spacing w:after="60"/>
        <w:rPr>
          <w:rFonts w:cs="Times New Roman"/>
          <w:color w:val="000000" w:themeColor="text1"/>
        </w:rPr>
      </w:pPr>
      <w:r w:rsidRPr="7D19B3C8">
        <w:rPr>
          <w:rFonts w:cs="Times New Roman"/>
          <w:b/>
          <w:bCs/>
          <w:color w:val="000000" w:themeColor="text1"/>
        </w:rPr>
        <w:lastRenderedPageBreak/>
        <w:t>SI Table 2.</w:t>
      </w:r>
      <w:r w:rsidRPr="7D19B3C8">
        <w:rPr>
          <w:rFonts w:cs="Times New Roman"/>
          <w:color w:val="000000" w:themeColor="text1"/>
        </w:rPr>
        <w:t xml:space="preserve"> Measurement RSDs and Percent Difference from Certified Reference Values calculated for P and Fe</w:t>
      </w:r>
    </w:p>
    <w:tbl>
      <w:tblPr>
        <w:tblW w:w="8700" w:type="dxa"/>
        <w:tblInd w:w="355" w:type="dxa"/>
        <w:tblLook w:val="04A0" w:firstRow="1" w:lastRow="0" w:firstColumn="1" w:lastColumn="0" w:noHBand="0" w:noVBand="1"/>
      </w:tblPr>
      <w:tblGrid>
        <w:gridCol w:w="927"/>
        <w:gridCol w:w="1293"/>
        <w:gridCol w:w="1170"/>
        <w:gridCol w:w="2250"/>
        <w:gridCol w:w="1350"/>
        <w:gridCol w:w="2070"/>
      </w:tblGrid>
      <w:tr w:rsidR="00D81011" w:rsidRPr="00B37D17" w14:paraId="17E19782" w14:textId="77777777" w:rsidTr="00EC657B">
        <w:trPr>
          <w:trHeight w:val="541"/>
        </w:trPr>
        <w:tc>
          <w:tcPr>
            <w:tcW w:w="567" w:type="dxa"/>
            <w:tcBorders>
              <w:top w:val="single" w:sz="4" w:space="0" w:color="auto"/>
              <w:left w:val="single" w:sz="4" w:space="0" w:color="auto"/>
              <w:bottom w:val="nil"/>
              <w:right w:val="nil"/>
            </w:tcBorders>
            <w:shd w:val="clear" w:color="000000" w:fill="FFFFFF"/>
            <w:noWrap/>
            <w:vAlign w:val="bottom"/>
            <w:hideMark/>
          </w:tcPr>
          <w:p w14:paraId="35F46EE4" w14:textId="77777777" w:rsidR="00D81011" w:rsidRPr="00576218" w:rsidRDefault="00D81011" w:rsidP="00B376A9">
            <w:pPr>
              <w:jc w:val="center"/>
              <w:rPr>
                <w:rFonts w:eastAsia="Times New Roman" w:cs="Times New Roman"/>
                <w:color w:val="000000" w:themeColor="text1"/>
                <w:sz w:val="20"/>
                <w:szCs w:val="20"/>
              </w:rPr>
            </w:pPr>
          </w:p>
        </w:tc>
        <w:tc>
          <w:tcPr>
            <w:tcW w:w="1293" w:type="dxa"/>
            <w:tcBorders>
              <w:top w:val="single" w:sz="4" w:space="0" w:color="auto"/>
              <w:left w:val="nil"/>
              <w:bottom w:val="nil"/>
              <w:right w:val="single" w:sz="4" w:space="0" w:color="auto"/>
            </w:tcBorders>
            <w:shd w:val="clear" w:color="000000" w:fill="FFFFFF"/>
            <w:noWrap/>
            <w:vAlign w:val="bottom"/>
            <w:hideMark/>
          </w:tcPr>
          <w:p w14:paraId="7D4EF2DF" w14:textId="77777777" w:rsidR="00D81011" w:rsidRPr="00576218" w:rsidRDefault="00D81011" w:rsidP="00B376A9">
            <w:pPr>
              <w:jc w:val="center"/>
              <w:rPr>
                <w:rFonts w:eastAsia="Times New Roman" w:cs="Times New Roman"/>
                <w:color w:val="000000" w:themeColor="text1"/>
                <w:sz w:val="20"/>
                <w:szCs w:val="20"/>
              </w:rPr>
            </w:pPr>
          </w:p>
        </w:tc>
        <w:tc>
          <w:tcPr>
            <w:tcW w:w="6840" w:type="dxa"/>
            <w:gridSpan w:val="4"/>
            <w:tcBorders>
              <w:top w:val="single" w:sz="4" w:space="0" w:color="auto"/>
              <w:left w:val="single" w:sz="4" w:space="0" w:color="auto"/>
              <w:bottom w:val="nil"/>
              <w:right w:val="single" w:sz="4" w:space="0" w:color="000000"/>
            </w:tcBorders>
            <w:shd w:val="clear" w:color="000000" w:fill="FFFFFF"/>
            <w:noWrap/>
            <w:vAlign w:val="bottom"/>
            <w:hideMark/>
          </w:tcPr>
          <w:p w14:paraId="58C8513E" w14:textId="212A6759" w:rsidR="00D81011" w:rsidRPr="00576218" w:rsidRDefault="00D81011" w:rsidP="00B376A9">
            <w:pPr>
              <w:jc w:val="center"/>
              <w:rPr>
                <w:rFonts w:eastAsia="Times New Roman" w:cs="Times New Roman"/>
                <w:b/>
                <w:bCs/>
                <w:color w:val="000000" w:themeColor="text1"/>
                <w:sz w:val="20"/>
                <w:szCs w:val="20"/>
              </w:rPr>
            </w:pPr>
            <w:r w:rsidRPr="00576218">
              <w:rPr>
                <w:rFonts w:eastAsia="Times New Roman" w:cs="Times New Roman"/>
                <w:b/>
                <w:bCs/>
                <w:color w:val="000000" w:themeColor="text1"/>
                <w:sz w:val="20"/>
                <w:szCs w:val="20"/>
              </w:rPr>
              <w:t>Average % Difference from Cer</w:t>
            </w:r>
            <w:r w:rsidR="00424C24">
              <w:rPr>
                <w:rFonts w:eastAsia="Times New Roman" w:cs="Times New Roman"/>
                <w:b/>
                <w:bCs/>
                <w:color w:val="000000" w:themeColor="text1"/>
                <w:sz w:val="20"/>
                <w:szCs w:val="20"/>
              </w:rPr>
              <w:t>ti</w:t>
            </w:r>
            <w:r w:rsidRPr="00576218">
              <w:rPr>
                <w:rFonts w:eastAsia="Times New Roman" w:cs="Times New Roman"/>
                <w:b/>
                <w:bCs/>
                <w:color w:val="000000" w:themeColor="text1"/>
                <w:sz w:val="20"/>
                <w:szCs w:val="20"/>
              </w:rPr>
              <w:t>fied Values for CRMS</w:t>
            </w:r>
          </w:p>
        </w:tc>
      </w:tr>
      <w:tr w:rsidR="00D81011" w:rsidRPr="00B37D17" w14:paraId="09D230BC" w14:textId="77777777" w:rsidTr="00EC657B">
        <w:trPr>
          <w:trHeight w:val="353"/>
        </w:trPr>
        <w:tc>
          <w:tcPr>
            <w:tcW w:w="567" w:type="dxa"/>
            <w:tcBorders>
              <w:top w:val="nil"/>
              <w:left w:val="single" w:sz="4" w:space="0" w:color="auto"/>
              <w:bottom w:val="single" w:sz="4" w:space="0" w:color="auto"/>
              <w:right w:val="nil"/>
            </w:tcBorders>
            <w:shd w:val="clear" w:color="000000" w:fill="FFFFFF"/>
            <w:noWrap/>
            <w:vAlign w:val="bottom"/>
            <w:hideMark/>
          </w:tcPr>
          <w:p w14:paraId="447E23DA" w14:textId="77777777" w:rsidR="00D81011" w:rsidRPr="00576218" w:rsidRDefault="00D81011" w:rsidP="00B376A9">
            <w:pPr>
              <w:jc w:val="center"/>
              <w:rPr>
                <w:rFonts w:eastAsia="Times New Roman" w:cs="Times New Roman"/>
                <w:b/>
                <w:bCs/>
                <w:color w:val="000000" w:themeColor="text1"/>
                <w:sz w:val="20"/>
                <w:szCs w:val="20"/>
              </w:rPr>
            </w:pPr>
            <w:r w:rsidRPr="00576218">
              <w:rPr>
                <w:rFonts w:eastAsia="Times New Roman" w:cs="Times New Roman"/>
                <w:b/>
                <w:bCs/>
                <w:color w:val="000000" w:themeColor="text1"/>
                <w:sz w:val="20"/>
                <w:szCs w:val="20"/>
              </w:rPr>
              <w:t>Element</w:t>
            </w:r>
          </w:p>
        </w:tc>
        <w:tc>
          <w:tcPr>
            <w:tcW w:w="1293" w:type="dxa"/>
            <w:tcBorders>
              <w:top w:val="nil"/>
              <w:left w:val="nil"/>
              <w:bottom w:val="single" w:sz="4" w:space="0" w:color="auto"/>
              <w:right w:val="single" w:sz="4" w:space="0" w:color="auto"/>
            </w:tcBorders>
            <w:shd w:val="clear" w:color="000000" w:fill="FFFFFF"/>
            <w:noWrap/>
            <w:vAlign w:val="bottom"/>
            <w:hideMark/>
          </w:tcPr>
          <w:p w14:paraId="363242EE" w14:textId="77777777" w:rsidR="00D81011" w:rsidRPr="00576218" w:rsidRDefault="00D81011" w:rsidP="00B376A9">
            <w:pPr>
              <w:jc w:val="center"/>
              <w:rPr>
                <w:rFonts w:eastAsia="Times New Roman" w:cs="Times New Roman"/>
                <w:b/>
                <w:bCs/>
                <w:color w:val="000000" w:themeColor="text1"/>
                <w:sz w:val="20"/>
                <w:szCs w:val="20"/>
              </w:rPr>
            </w:pPr>
            <w:r w:rsidRPr="00576218">
              <w:rPr>
                <w:rFonts w:eastAsia="Times New Roman" w:cs="Times New Roman"/>
                <w:b/>
                <w:bCs/>
                <w:color w:val="000000" w:themeColor="text1"/>
                <w:sz w:val="20"/>
                <w:szCs w:val="20"/>
              </w:rPr>
              <w:t>Sample %RSD</w:t>
            </w:r>
          </w:p>
        </w:tc>
        <w:tc>
          <w:tcPr>
            <w:tcW w:w="1170" w:type="dxa"/>
            <w:tcBorders>
              <w:top w:val="nil"/>
              <w:left w:val="single" w:sz="4" w:space="0" w:color="auto"/>
              <w:bottom w:val="single" w:sz="4" w:space="0" w:color="auto"/>
              <w:right w:val="nil"/>
            </w:tcBorders>
            <w:shd w:val="clear" w:color="000000" w:fill="FFFFFF"/>
            <w:noWrap/>
            <w:vAlign w:val="bottom"/>
            <w:hideMark/>
          </w:tcPr>
          <w:p w14:paraId="413E6B0B" w14:textId="77777777" w:rsidR="00D81011" w:rsidRPr="00576218" w:rsidRDefault="00D81011" w:rsidP="00B376A9">
            <w:pPr>
              <w:jc w:val="center"/>
              <w:rPr>
                <w:rFonts w:eastAsia="Times New Roman" w:cs="Times New Roman"/>
                <w:b/>
                <w:bCs/>
                <w:color w:val="000000" w:themeColor="text1"/>
                <w:sz w:val="20"/>
                <w:szCs w:val="20"/>
              </w:rPr>
            </w:pPr>
            <w:r w:rsidRPr="00576218">
              <w:rPr>
                <w:rFonts w:eastAsia="Times New Roman" w:cs="Times New Roman"/>
                <w:b/>
                <w:bCs/>
                <w:color w:val="000000" w:themeColor="text1"/>
                <w:sz w:val="20"/>
                <w:szCs w:val="20"/>
              </w:rPr>
              <w:t>AGV-2</w:t>
            </w:r>
          </w:p>
        </w:tc>
        <w:tc>
          <w:tcPr>
            <w:tcW w:w="2250" w:type="dxa"/>
            <w:tcBorders>
              <w:top w:val="nil"/>
              <w:left w:val="nil"/>
              <w:bottom w:val="single" w:sz="4" w:space="0" w:color="auto"/>
              <w:right w:val="nil"/>
            </w:tcBorders>
            <w:shd w:val="clear" w:color="000000" w:fill="FFFFFF"/>
            <w:noWrap/>
            <w:vAlign w:val="bottom"/>
            <w:hideMark/>
          </w:tcPr>
          <w:p w14:paraId="129D62E2" w14:textId="77777777" w:rsidR="00D81011" w:rsidRPr="00576218" w:rsidRDefault="00D81011" w:rsidP="00B376A9">
            <w:pPr>
              <w:jc w:val="center"/>
              <w:rPr>
                <w:rFonts w:eastAsia="Times New Roman" w:cs="Times New Roman"/>
                <w:b/>
                <w:bCs/>
                <w:color w:val="000000" w:themeColor="text1"/>
                <w:sz w:val="20"/>
                <w:szCs w:val="20"/>
              </w:rPr>
            </w:pPr>
            <w:r w:rsidRPr="00576218">
              <w:rPr>
                <w:rFonts w:eastAsia="Times New Roman" w:cs="Times New Roman"/>
                <w:b/>
                <w:bCs/>
                <w:color w:val="000000" w:themeColor="text1"/>
                <w:sz w:val="20"/>
                <w:szCs w:val="20"/>
              </w:rPr>
              <w:t># of replicate analyses</w:t>
            </w:r>
          </w:p>
        </w:tc>
        <w:tc>
          <w:tcPr>
            <w:tcW w:w="1350" w:type="dxa"/>
            <w:tcBorders>
              <w:top w:val="nil"/>
              <w:left w:val="nil"/>
              <w:bottom w:val="single" w:sz="4" w:space="0" w:color="auto"/>
              <w:right w:val="nil"/>
            </w:tcBorders>
            <w:shd w:val="clear" w:color="000000" w:fill="FFFFFF"/>
            <w:noWrap/>
            <w:vAlign w:val="bottom"/>
            <w:hideMark/>
          </w:tcPr>
          <w:p w14:paraId="3AE7426E" w14:textId="77777777" w:rsidR="00D81011" w:rsidRPr="00576218" w:rsidRDefault="00D81011" w:rsidP="00B376A9">
            <w:pPr>
              <w:jc w:val="center"/>
              <w:rPr>
                <w:rFonts w:eastAsia="Times New Roman" w:cs="Times New Roman"/>
                <w:b/>
                <w:bCs/>
                <w:color w:val="000000" w:themeColor="text1"/>
                <w:sz w:val="20"/>
                <w:szCs w:val="20"/>
              </w:rPr>
            </w:pPr>
            <w:r w:rsidRPr="00576218">
              <w:rPr>
                <w:rFonts w:eastAsia="Times New Roman" w:cs="Times New Roman"/>
                <w:b/>
                <w:bCs/>
                <w:color w:val="000000" w:themeColor="text1"/>
                <w:sz w:val="20"/>
                <w:szCs w:val="20"/>
              </w:rPr>
              <w:t>BHVO-2</w:t>
            </w:r>
          </w:p>
        </w:tc>
        <w:tc>
          <w:tcPr>
            <w:tcW w:w="2070" w:type="dxa"/>
            <w:tcBorders>
              <w:top w:val="nil"/>
              <w:left w:val="nil"/>
              <w:bottom w:val="single" w:sz="4" w:space="0" w:color="auto"/>
              <w:right w:val="single" w:sz="4" w:space="0" w:color="auto"/>
            </w:tcBorders>
            <w:shd w:val="clear" w:color="000000" w:fill="FFFFFF"/>
            <w:noWrap/>
            <w:vAlign w:val="bottom"/>
            <w:hideMark/>
          </w:tcPr>
          <w:p w14:paraId="54EC56FE" w14:textId="77777777" w:rsidR="00D81011" w:rsidRPr="00576218" w:rsidRDefault="00D81011" w:rsidP="00B376A9">
            <w:pPr>
              <w:jc w:val="center"/>
              <w:rPr>
                <w:rFonts w:eastAsia="Times New Roman" w:cs="Times New Roman"/>
                <w:b/>
                <w:bCs/>
                <w:color w:val="000000" w:themeColor="text1"/>
                <w:sz w:val="20"/>
                <w:szCs w:val="20"/>
              </w:rPr>
            </w:pPr>
            <w:r w:rsidRPr="00576218">
              <w:rPr>
                <w:rFonts w:eastAsia="Times New Roman" w:cs="Times New Roman"/>
                <w:b/>
                <w:bCs/>
                <w:color w:val="000000" w:themeColor="text1"/>
                <w:sz w:val="20"/>
                <w:szCs w:val="20"/>
              </w:rPr>
              <w:t># of replicate analyses</w:t>
            </w:r>
          </w:p>
        </w:tc>
      </w:tr>
      <w:tr w:rsidR="00D81011" w:rsidRPr="00B37D17" w14:paraId="6E1BF8E2" w14:textId="77777777" w:rsidTr="00EC657B">
        <w:trPr>
          <w:trHeight w:val="332"/>
        </w:trPr>
        <w:tc>
          <w:tcPr>
            <w:tcW w:w="56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A44355"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P</w:t>
            </w:r>
          </w:p>
        </w:tc>
        <w:tc>
          <w:tcPr>
            <w:tcW w:w="129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B80612"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≤4%</w:t>
            </w:r>
          </w:p>
        </w:tc>
        <w:tc>
          <w:tcPr>
            <w:tcW w:w="117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CDB37D"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3.63 %</w:t>
            </w:r>
          </w:p>
        </w:tc>
        <w:tc>
          <w:tcPr>
            <w:tcW w:w="22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6B78CE"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3</w:t>
            </w:r>
          </w:p>
        </w:tc>
        <w:tc>
          <w:tcPr>
            <w:tcW w:w="13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067217"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3.12 %</w:t>
            </w:r>
          </w:p>
        </w:tc>
        <w:tc>
          <w:tcPr>
            <w:tcW w:w="207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53D4EB"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4</w:t>
            </w:r>
          </w:p>
        </w:tc>
      </w:tr>
      <w:tr w:rsidR="00D81011" w:rsidRPr="00B37D17" w14:paraId="78A43FE6" w14:textId="77777777" w:rsidTr="00EC657B">
        <w:trPr>
          <w:trHeight w:val="332"/>
        </w:trPr>
        <w:tc>
          <w:tcPr>
            <w:tcW w:w="56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27FB2D"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Fe</w:t>
            </w:r>
          </w:p>
        </w:tc>
        <w:tc>
          <w:tcPr>
            <w:tcW w:w="129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2DBB79B"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≤4%</w:t>
            </w:r>
          </w:p>
        </w:tc>
        <w:tc>
          <w:tcPr>
            <w:tcW w:w="117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21F6903"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8.08 %</w:t>
            </w:r>
          </w:p>
        </w:tc>
        <w:tc>
          <w:tcPr>
            <w:tcW w:w="22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0C584D"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4</w:t>
            </w:r>
          </w:p>
        </w:tc>
        <w:tc>
          <w:tcPr>
            <w:tcW w:w="13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A4755D"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4.00 %</w:t>
            </w:r>
          </w:p>
        </w:tc>
        <w:tc>
          <w:tcPr>
            <w:tcW w:w="207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E374023" w14:textId="77777777" w:rsidR="00D81011" w:rsidRPr="00576218" w:rsidRDefault="00D81011" w:rsidP="00B376A9">
            <w:pPr>
              <w:jc w:val="center"/>
              <w:rPr>
                <w:rFonts w:eastAsia="Times New Roman" w:cs="Times New Roman"/>
                <w:color w:val="000000" w:themeColor="text1"/>
                <w:sz w:val="20"/>
                <w:szCs w:val="20"/>
              </w:rPr>
            </w:pPr>
            <w:r w:rsidRPr="00576218">
              <w:rPr>
                <w:rFonts w:eastAsia="Times New Roman" w:cs="Times New Roman"/>
                <w:color w:val="000000" w:themeColor="text1"/>
                <w:sz w:val="20"/>
                <w:szCs w:val="20"/>
              </w:rPr>
              <w:t>3</w:t>
            </w:r>
          </w:p>
        </w:tc>
      </w:tr>
    </w:tbl>
    <w:p w14:paraId="50345BCE" w14:textId="77777777" w:rsidR="00D81011" w:rsidRPr="00B37D17" w:rsidRDefault="00D81011" w:rsidP="00D81011">
      <w:pPr>
        <w:autoSpaceDE w:val="0"/>
        <w:autoSpaceDN w:val="0"/>
        <w:adjustRightInd w:val="0"/>
        <w:spacing w:after="60"/>
        <w:rPr>
          <w:rFonts w:cs="Times New Roman"/>
          <w:color w:val="000000" w:themeColor="text1"/>
        </w:rPr>
      </w:pPr>
    </w:p>
    <w:p w14:paraId="03B2D46B" w14:textId="77777777" w:rsidR="00D81011" w:rsidRPr="00D81011" w:rsidRDefault="00D81011" w:rsidP="00D81011">
      <w:pPr>
        <w:pStyle w:val="Heading1"/>
      </w:pPr>
      <w:r w:rsidRPr="00D81011">
        <w:t>ICP-MS Analytical Methods for TDP in Volcanic Ash Leachate</w:t>
      </w:r>
    </w:p>
    <w:p w14:paraId="7E8BB388" w14:textId="3255A835" w:rsidR="00D81011" w:rsidRDefault="00D81011" w:rsidP="00D81011">
      <w:pPr>
        <w:autoSpaceDE w:val="0"/>
        <w:autoSpaceDN w:val="0"/>
        <w:adjustRightInd w:val="0"/>
        <w:spacing w:after="60"/>
        <w:rPr>
          <w:rFonts w:cs="Times New Roman"/>
          <w:color w:val="000000" w:themeColor="text1"/>
        </w:rPr>
      </w:pPr>
      <w:r>
        <w:rPr>
          <w:rFonts w:cs="Times New Roman"/>
          <w:color w:val="000000" w:themeColor="text1"/>
        </w:rPr>
        <w:t xml:space="preserve">P concentrations in leachate were also determined at </w:t>
      </w:r>
      <w:r w:rsidRPr="00B37D17">
        <w:rPr>
          <w:rFonts w:cs="Times New Roman"/>
          <w:color w:val="000000" w:themeColor="text1"/>
        </w:rPr>
        <w:t xml:space="preserve">the Rosenstiel School of Marine, Atmospheric &amp; Earth Science using </w:t>
      </w:r>
      <w:r>
        <w:rPr>
          <w:rFonts w:cs="Times New Roman"/>
          <w:color w:val="000000" w:themeColor="text1"/>
        </w:rPr>
        <w:t xml:space="preserve">an </w:t>
      </w:r>
      <w:r w:rsidRPr="00B37D17">
        <w:rPr>
          <w:rFonts w:cs="Times New Roman"/>
          <w:color w:val="000000" w:themeColor="text1"/>
        </w:rPr>
        <w:t>Agilent 8900</w:t>
      </w:r>
      <w:r>
        <w:rPr>
          <w:rFonts w:cs="Times New Roman"/>
          <w:color w:val="000000" w:themeColor="text1"/>
        </w:rPr>
        <w:t xml:space="preserve"> ICP-QQQ</w:t>
      </w:r>
      <w:r w:rsidRPr="00B37D17">
        <w:rPr>
          <w:rFonts w:cs="Times New Roman"/>
          <w:color w:val="000000" w:themeColor="text1"/>
        </w:rPr>
        <w:t>, Agilent Technologies, Santa Clara, CA, USA).</w:t>
      </w:r>
      <w:r w:rsidRPr="006A425C">
        <w:rPr>
          <w:rFonts w:cs="Times New Roman"/>
          <w:color w:val="000000" w:themeColor="text1"/>
        </w:rPr>
        <w:t xml:space="preserve"> </w:t>
      </w:r>
      <w:r w:rsidRPr="00B37D17">
        <w:rPr>
          <w:rFonts w:cs="Times New Roman"/>
          <w:color w:val="000000" w:themeColor="text1"/>
        </w:rPr>
        <w:t xml:space="preserve">Sample dilutions were performed in a in a Class 100 UL 1805 certified polypropylene trace metal workstation. </w:t>
      </w:r>
      <w:r>
        <w:rPr>
          <w:rFonts w:cs="Times New Roman"/>
          <w:color w:val="000000" w:themeColor="text1"/>
        </w:rPr>
        <w:t>No UMHI was used for leachate analysis</w:t>
      </w:r>
      <w:r w:rsidRPr="00B37D17">
        <w:rPr>
          <w:rFonts w:cs="Times New Roman"/>
          <w:color w:val="000000" w:themeColor="text1"/>
        </w:rPr>
        <w:t>.</w:t>
      </w:r>
      <w:r w:rsidRPr="006A425C">
        <w:rPr>
          <w:rFonts w:cs="Times New Roman"/>
          <w:color w:val="000000" w:themeColor="text1"/>
        </w:rPr>
        <w:t xml:space="preserve"> </w:t>
      </w:r>
      <w:r w:rsidRPr="00B37D17">
        <w:rPr>
          <w:rFonts w:cs="Times New Roman"/>
          <w:color w:val="000000" w:themeColor="text1"/>
        </w:rPr>
        <w:t>Instrument operation was conducted in Mass Hunter 4.5 Workstation Software (C.01.05). Instrument tuning was conducted prior to each analysis, and the tuning solution contained 1 ug/g Li, Y, and Tl (Agilent Technologies Tuning solution) which allowed for the optimization of signal sensitivity and peak resolution at low, mid, and high m/z ranges as previously (</w:t>
      </w:r>
      <w:proofErr w:type="spellStart"/>
      <w:r w:rsidRPr="00B37D17">
        <w:rPr>
          <w:rFonts w:cs="Times New Roman"/>
          <w:color w:val="000000" w:themeColor="text1"/>
        </w:rPr>
        <w:t>Harouaka</w:t>
      </w:r>
      <w:proofErr w:type="spellEnd"/>
      <w:r w:rsidRPr="00B37D17">
        <w:rPr>
          <w:rFonts w:cs="Times New Roman"/>
          <w:color w:val="000000" w:themeColor="text1"/>
        </w:rPr>
        <w:t xml:space="preserve"> et al., 2020). Plasma-derived oxides and doubly charged ions were monitored before each analytical batch and maintained below 2% and 3% respectively.</w:t>
      </w:r>
      <w:r w:rsidRPr="00113928">
        <w:rPr>
          <w:rFonts w:cs="Times New Roman"/>
          <w:color w:val="000000" w:themeColor="text1"/>
        </w:rPr>
        <w:t xml:space="preserve"> </w:t>
      </w:r>
      <w:r w:rsidRPr="00B37D17">
        <w:rPr>
          <w:rFonts w:cs="Times New Roman"/>
          <w:color w:val="000000" w:themeColor="text1"/>
        </w:rPr>
        <w:t>Three replicate analyses consisting of 100 sweeps each were conducted for each measurement.</w:t>
      </w:r>
      <w:r w:rsidRPr="00113928">
        <w:rPr>
          <w:rFonts w:cs="Times New Roman"/>
          <w:color w:val="000000" w:themeColor="text1"/>
        </w:rPr>
        <w:t xml:space="preserve"> </w:t>
      </w:r>
      <w:r w:rsidRPr="00B37D17">
        <w:rPr>
          <w:rFonts w:cs="Times New Roman"/>
          <w:color w:val="000000" w:themeColor="text1"/>
        </w:rPr>
        <w:t>Scandium was introduced using the Agilent online internal standard kit to serve as internal standards. An</w:t>
      </w:r>
      <w:r>
        <w:rPr>
          <w:rFonts w:cs="Times New Roman"/>
          <w:color w:val="000000" w:themeColor="text1"/>
        </w:rPr>
        <w:t xml:space="preserve"> </w:t>
      </w:r>
      <w:r w:rsidRPr="00B37D17">
        <w:rPr>
          <w:rFonts w:cs="Times New Roman"/>
          <w:color w:val="000000" w:themeColor="text1"/>
        </w:rPr>
        <w:t>external calibration curve was produced from commercially available multi-element solutions produced by Agilent Technologies</w:t>
      </w:r>
      <w:r>
        <w:rPr>
          <w:rFonts w:cs="Times New Roman"/>
          <w:color w:val="000000" w:themeColor="text1"/>
        </w:rPr>
        <w:t>.</w:t>
      </w:r>
      <w:r w:rsidRPr="00113928">
        <w:rPr>
          <w:rFonts w:cs="Times New Roman"/>
          <w:color w:val="000000" w:themeColor="text1"/>
        </w:rPr>
        <w:t xml:space="preserve"> </w:t>
      </w:r>
      <w:r w:rsidRPr="00B37D17">
        <w:rPr>
          <w:rFonts w:cs="Times New Roman"/>
          <w:color w:val="000000" w:themeColor="text1"/>
        </w:rPr>
        <w:t xml:space="preserve">For </w:t>
      </w:r>
      <w:r>
        <w:rPr>
          <w:rFonts w:cs="Times New Roman"/>
          <w:color w:val="000000" w:themeColor="text1"/>
        </w:rPr>
        <w:t>P</w:t>
      </w:r>
      <w:r w:rsidRPr="00B37D17">
        <w:rPr>
          <w:rFonts w:cs="Times New Roman"/>
          <w:color w:val="000000" w:themeColor="text1"/>
        </w:rPr>
        <w:t xml:space="preserve"> measurements, the instrument was operated in MS/MS mode using O</w:t>
      </w:r>
      <w:r w:rsidRPr="00B37D17">
        <w:rPr>
          <w:rFonts w:cs="Times New Roman"/>
          <w:color w:val="000000" w:themeColor="text1"/>
          <w:vertAlign w:val="subscript"/>
        </w:rPr>
        <w:t>2</w:t>
      </w:r>
      <w:r w:rsidRPr="00B37D17">
        <w:rPr>
          <w:rFonts w:cs="Times New Roman"/>
          <w:color w:val="000000" w:themeColor="text1"/>
        </w:rPr>
        <w:t xml:space="preserve"> gas in the collision-reaction cell (CRC) and analyzing the O</w:t>
      </w:r>
      <w:r w:rsidRPr="00B37D17">
        <w:rPr>
          <w:rFonts w:cs="Times New Roman"/>
          <w:color w:val="000000" w:themeColor="text1"/>
          <w:vertAlign w:val="subscript"/>
        </w:rPr>
        <w:t>2</w:t>
      </w:r>
      <w:r w:rsidRPr="00B37D17">
        <w:rPr>
          <w:rFonts w:cs="Times New Roman"/>
          <w:color w:val="000000" w:themeColor="text1"/>
        </w:rPr>
        <w:t xml:space="preserve"> mass shifted analyte </w:t>
      </w:r>
      <w:r w:rsidRPr="00E11D86">
        <w:rPr>
          <w:rFonts w:cs="Times New Roman"/>
          <w:color w:val="000000" w:themeColor="text1"/>
        </w:rPr>
        <w:t>in</w:t>
      </w:r>
      <w:r w:rsidRPr="00B37D17">
        <w:rPr>
          <w:rFonts w:cs="Times New Roman"/>
          <w:color w:val="000000" w:themeColor="text1"/>
        </w:rPr>
        <w:t xml:space="preserve"> the third quadrupole at mass 47.</w:t>
      </w:r>
      <w:r>
        <w:rPr>
          <w:rFonts w:cs="Times New Roman"/>
          <w:color w:val="000000" w:themeColor="text1"/>
        </w:rPr>
        <w:t xml:space="preserve"> </w:t>
      </w:r>
      <w:r w:rsidRPr="00B37D17">
        <w:rPr>
          <w:rFonts w:cs="Times New Roman"/>
          <w:color w:val="000000" w:themeColor="text1"/>
        </w:rPr>
        <w:t>For blank correction,</w:t>
      </w:r>
      <w:r>
        <w:rPr>
          <w:rFonts w:cs="Times New Roman"/>
          <w:color w:val="000000" w:themeColor="text1"/>
        </w:rPr>
        <w:t xml:space="preserve"> sodium bicarbonate solution was also acidified for analysis, and</w:t>
      </w:r>
      <w:r w:rsidRPr="00B37D17">
        <w:rPr>
          <w:rFonts w:cs="Times New Roman"/>
          <w:color w:val="000000" w:themeColor="text1"/>
        </w:rPr>
        <w:t xml:space="preserve"> the </w:t>
      </w:r>
      <w:r>
        <w:rPr>
          <w:rFonts w:cs="Times New Roman"/>
          <w:color w:val="000000" w:themeColor="text1"/>
        </w:rPr>
        <w:t>P concentration measured</w:t>
      </w:r>
      <w:r w:rsidRPr="00B37D17">
        <w:rPr>
          <w:rFonts w:cs="Times New Roman"/>
          <w:color w:val="000000" w:themeColor="text1"/>
        </w:rPr>
        <w:t xml:space="preserve"> in the </w:t>
      </w:r>
      <w:r>
        <w:rPr>
          <w:rFonts w:cs="Times New Roman"/>
          <w:color w:val="000000" w:themeColor="text1"/>
        </w:rPr>
        <w:t xml:space="preserve">sodium bicarbonate blank </w:t>
      </w:r>
      <w:r w:rsidRPr="00B37D17">
        <w:rPr>
          <w:rFonts w:cs="Times New Roman"/>
          <w:color w:val="000000" w:themeColor="text1"/>
        </w:rPr>
        <w:t>running solution was subtracted from the sample</w:t>
      </w:r>
      <w:r>
        <w:rPr>
          <w:rFonts w:cs="Times New Roman"/>
          <w:color w:val="000000" w:themeColor="text1"/>
        </w:rPr>
        <w:t>s</w:t>
      </w:r>
      <w:r w:rsidRPr="00B37D17">
        <w:rPr>
          <w:rFonts w:cs="Times New Roman"/>
          <w:color w:val="000000" w:themeColor="text1"/>
        </w:rPr>
        <w:t>.</w:t>
      </w:r>
      <w:r>
        <w:rPr>
          <w:rFonts w:cs="Times New Roman"/>
          <w:color w:val="000000" w:themeColor="text1"/>
        </w:rPr>
        <w:t xml:space="preserve"> </w:t>
      </w:r>
      <w:r w:rsidRPr="006A425C">
        <w:rPr>
          <w:rFonts w:cs="Times New Roman"/>
          <w:color w:val="000000" w:themeColor="text1"/>
          <w:shd w:val="clear" w:color="auto" w:fill="FFFFFF"/>
        </w:rPr>
        <w:t>NIST-traceable inorganic reference standards (</w:t>
      </w:r>
      <w:r w:rsidRPr="00576218">
        <w:rPr>
          <w:rFonts w:cs="Times New Roman"/>
          <w:i/>
          <w:iCs/>
          <w:color w:val="000000" w:themeColor="text1"/>
          <w:shd w:val="clear" w:color="auto" w:fill="FFFFFF"/>
        </w:rPr>
        <w:t>n</w:t>
      </w:r>
      <w:r>
        <w:rPr>
          <w:rFonts w:cs="Times New Roman"/>
          <w:color w:val="000000" w:themeColor="text1"/>
          <w:shd w:val="clear" w:color="auto" w:fill="FFFFFF"/>
        </w:rPr>
        <w:t xml:space="preserve">=2, </w:t>
      </w:r>
      <w:r w:rsidRPr="006A425C">
        <w:rPr>
          <w:rFonts w:cs="Times New Roman"/>
          <w:color w:val="000000" w:themeColor="text1"/>
          <w:shd w:val="clear" w:color="auto" w:fill="FFFFFF"/>
        </w:rPr>
        <w:t xml:space="preserve">SPEX </w:t>
      </w:r>
      <w:proofErr w:type="spellStart"/>
      <w:r w:rsidRPr="006A425C">
        <w:rPr>
          <w:rFonts w:cs="Times New Roman"/>
          <w:color w:val="000000" w:themeColor="text1"/>
          <w:shd w:val="clear" w:color="auto" w:fill="FFFFFF"/>
        </w:rPr>
        <w:t>CertiPrep</w:t>
      </w:r>
      <w:proofErr w:type="spellEnd"/>
      <w:r w:rsidRPr="006A425C">
        <w:rPr>
          <w:rFonts w:cs="Times New Roman"/>
          <w:color w:val="000000" w:themeColor="text1"/>
          <w:shd w:val="clear" w:color="auto" w:fill="FFFFFF"/>
        </w:rPr>
        <w:t>, Metuchen, NJ, USA) were used to assess accuracy of the method, with recovery for P within ±8.5%.</w:t>
      </w:r>
    </w:p>
    <w:p w14:paraId="50735E1E" w14:textId="77777777" w:rsidR="00D81011" w:rsidRPr="000F5A14" w:rsidRDefault="00D81011" w:rsidP="00D81011">
      <w:pPr>
        <w:autoSpaceDE w:val="0"/>
        <w:autoSpaceDN w:val="0"/>
        <w:adjustRightInd w:val="0"/>
        <w:spacing w:after="60"/>
        <w:rPr>
          <w:rFonts w:cs="Times New Roman"/>
          <w:b/>
          <w:bCs/>
          <w:color w:val="000000" w:themeColor="text1"/>
        </w:rPr>
      </w:pPr>
    </w:p>
    <w:p w14:paraId="1F994D75" w14:textId="400F49BA" w:rsidR="00AB0693" w:rsidRDefault="00AB0693" w:rsidP="00D81011">
      <w:pPr>
        <w:pStyle w:val="Heading1"/>
      </w:pPr>
      <w:r>
        <w:t>HOBO MX2202 Data</w:t>
      </w:r>
    </w:p>
    <w:p w14:paraId="757E4D2A" w14:textId="66FC66C6" w:rsidR="00EB5564" w:rsidRPr="00EB5564" w:rsidRDefault="00EB5564" w:rsidP="00612365">
      <w:r>
        <w:t xml:space="preserve">Temperature and light were monitored in the two flow-through incubators on the Rosenstiel School dock over the course of the incubation. Diurnal temperature and light changes were </w:t>
      </w:r>
      <w:r w:rsidR="00612365">
        <w:t xml:space="preserve">clearly </w:t>
      </w:r>
      <w:r>
        <w:t>observed</w:t>
      </w:r>
      <w:r w:rsidR="00EE6FB4">
        <w:t xml:space="preserve"> (SI Figure 2)</w:t>
      </w:r>
      <w:r>
        <w:t xml:space="preserve">. </w:t>
      </w:r>
    </w:p>
    <w:p w14:paraId="1687C175" w14:textId="3AB984AB" w:rsidR="00EB5564" w:rsidRPr="00EB5564" w:rsidRDefault="00612365" w:rsidP="00612365">
      <w:pPr>
        <w:jc w:val="center"/>
      </w:pPr>
      <w:r w:rsidRPr="00612365">
        <w:rPr>
          <w:noProof/>
        </w:rPr>
        <w:lastRenderedPageBreak/>
        <w:drawing>
          <wp:inline distT="0" distB="0" distL="0" distR="0" wp14:anchorId="7A2355E8" wp14:editId="00D76AFB">
            <wp:extent cx="6208395" cy="2814955"/>
            <wp:effectExtent l="0" t="0" r="1905" b="4445"/>
            <wp:docPr id="101138000"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38000" name="Picture 1" descr="A graph of different colored lines&#10;&#10;Description automatically generated"/>
                    <pic:cNvPicPr/>
                  </pic:nvPicPr>
                  <pic:blipFill>
                    <a:blip r:embed="rId13"/>
                    <a:stretch>
                      <a:fillRect/>
                    </a:stretch>
                  </pic:blipFill>
                  <pic:spPr>
                    <a:xfrm>
                      <a:off x="0" y="0"/>
                      <a:ext cx="6208395" cy="2814955"/>
                    </a:xfrm>
                    <a:prstGeom prst="rect">
                      <a:avLst/>
                    </a:prstGeom>
                  </pic:spPr>
                </pic:pic>
              </a:graphicData>
            </a:graphic>
          </wp:inline>
        </w:drawing>
      </w:r>
    </w:p>
    <w:p w14:paraId="0D831B1C" w14:textId="39D48C4B" w:rsidR="00AB0693" w:rsidRDefault="00AB0693" w:rsidP="00612365">
      <w:r w:rsidRPr="00612365">
        <w:rPr>
          <w:b/>
          <w:bCs/>
        </w:rPr>
        <w:t>SI Figure 2</w:t>
      </w:r>
      <w:r>
        <w:t xml:space="preserve">. Temperature and </w:t>
      </w:r>
      <w:r w:rsidR="00EB5564">
        <w:t xml:space="preserve">light </w:t>
      </w:r>
      <w:r w:rsidR="004C29A1">
        <w:t xml:space="preserve">data </w:t>
      </w:r>
      <w:r w:rsidR="00EB5564">
        <w:t xml:space="preserve">recorded for two HOBO MX2202 loggers (one in each flow-through incubator). </w:t>
      </w:r>
    </w:p>
    <w:p w14:paraId="1E4B5C21" w14:textId="77777777" w:rsidR="00EC657B" w:rsidRPr="00AB0693" w:rsidRDefault="00EC657B" w:rsidP="00612365"/>
    <w:p w14:paraId="74EE8C85" w14:textId="1B22C2D6" w:rsidR="00D81011" w:rsidRPr="00D81011" w:rsidRDefault="00D81011" w:rsidP="00D81011">
      <w:pPr>
        <w:pStyle w:val="Heading1"/>
      </w:pPr>
      <w:r w:rsidRPr="00D81011">
        <w:t>Phosphate Uptake Rate Calculations</w:t>
      </w:r>
    </w:p>
    <w:p w14:paraId="227A02AD" w14:textId="663220BD" w:rsidR="00D81011" w:rsidRPr="00B37D17" w:rsidRDefault="032917F7" w:rsidP="032917F7">
      <w:pPr>
        <w:autoSpaceDE w:val="0"/>
        <w:autoSpaceDN w:val="0"/>
        <w:adjustRightInd w:val="0"/>
        <w:rPr>
          <w:rFonts w:eastAsiaTheme="minorEastAsia" w:cs="Times New Roman"/>
          <w:b/>
          <w:bCs/>
          <w:color w:val="000000" w:themeColor="text1"/>
        </w:rPr>
      </w:pPr>
      <w:r w:rsidRPr="032917F7">
        <w:rPr>
          <w:rFonts w:cs="Times New Roman"/>
          <w:color w:val="000000" w:themeColor="text1"/>
        </w:rPr>
        <w:t>Uptake rate of radioactivity into marine microbial cells (</w:t>
      </w:r>
      <w:proofErr w:type="spellStart"/>
      <w:r w:rsidRPr="032917F7">
        <w:rPr>
          <w:rFonts w:cs="Times New Roman"/>
          <w:color w:val="000000" w:themeColor="text1"/>
        </w:rPr>
        <w:t>dpm</w:t>
      </w:r>
      <w:proofErr w:type="spellEnd"/>
      <w:r w:rsidRPr="032917F7">
        <w:rPr>
          <w:rFonts w:cs="Times New Roman"/>
          <w:color w:val="000000" w:themeColor="text1"/>
        </w:rPr>
        <w:t xml:space="preserve">/L/min) was calculated as the slope between the volume-corrected sample activity (using the blank filter-derived activity for activity at the radioactive spike time) and time since the radioactive spike. Filter blanks were collected at both t=0 and t=3, but activity measured in the blanks collected at t=0 was negligible and likely does not accurately represent actual radioisotope carryover from the filter rig during sampling, so the average radioactivity of the four filter blanks collected at t=3 was used as the baseline filter activity at the time of the radioisotope spike for each incubation (providing the y-intercept for determining P uptake rate as the slope of activity per time). This filter blank activity was often &lt;10% percent of the filter activity within 15 minutes of radioisotope spike.  Specific activity (SA, </w:t>
      </w:r>
      <w:proofErr w:type="spellStart"/>
      <w:r w:rsidRPr="032917F7">
        <w:rPr>
          <w:rFonts w:cs="Times New Roman"/>
          <w:color w:val="000000" w:themeColor="text1"/>
        </w:rPr>
        <w:t>dpm</w:t>
      </w:r>
      <w:proofErr w:type="spellEnd"/>
      <w:r w:rsidRPr="032917F7">
        <w:rPr>
          <w:rFonts w:cs="Times New Roman"/>
          <w:color w:val="000000" w:themeColor="text1"/>
        </w:rPr>
        <w:t>/nmol P) was calculated by dividing TA (</w:t>
      </w:r>
      <w:proofErr w:type="spellStart"/>
      <w:r w:rsidRPr="032917F7">
        <w:rPr>
          <w:rFonts w:cs="Times New Roman"/>
          <w:color w:val="000000" w:themeColor="text1"/>
        </w:rPr>
        <w:t>dpm</w:t>
      </w:r>
      <w:proofErr w:type="spellEnd"/>
      <w:r w:rsidRPr="032917F7">
        <w:rPr>
          <w:rFonts w:cs="Times New Roman"/>
          <w:color w:val="000000" w:themeColor="text1"/>
        </w:rPr>
        <w:t>/L) by SRP (nmol P/L). Phosphate uptake rate (nmol PO</w:t>
      </w:r>
      <w:r w:rsidRPr="032917F7">
        <w:rPr>
          <w:rFonts w:cs="Times New Roman"/>
          <w:color w:val="000000" w:themeColor="text1"/>
          <w:vertAlign w:val="subscript"/>
        </w:rPr>
        <w:t>4</w:t>
      </w:r>
      <w:r w:rsidRPr="032917F7">
        <w:rPr>
          <w:rFonts w:cs="Times New Roman"/>
          <w:color w:val="000000" w:themeColor="text1"/>
        </w:rPr>
        <w:t>/L/</w:t>
      </w:r>
      <w:proofErr w:type="spellStart"/>
      <w:r w:rsidRPr="032917F7">
        <w:rPr>
          <w:rFonts w:cs="Times New Roman"/>
          <w:color w:val="000000" w:themeColor="text1"/>
        </w:rPr>
        <w:t>hr</w:t>
      </w:r>
      <w:proofErr w:type="spellEnd"/>
      <w:r w:rsidRPr="032917F7">
        <w:rPr>
          <w:rFonts w:cs="Times New Roman"/>
          <w:color w:val="000000" w:themeColor="text1"/>
        </w:rPr>
        <w:t>) was calculated as uptake rate of radioactivity (</w:t>
      </w:r>
      <w:proofErr w:type="spellStart"/>
      <w:r w:rsidRPr="032917F7">
        <w:rPr>
          <w:rFonts w:cs="Times New Roman"/>
          <w:color w:val="000000" w:themeColor="text1"/>
        </w:rPr>
        <w:t>dpm</w:t>
      </w:r>
      <w:proofErr w:type="spellEnd"/>
      <w:r w:rsidRPr="032917F7">
        <w:rPr>
          <w:rFonts w:cs="Times New Roman"/>
          <w:color w:val="000000" w:themeColor="text1"/>
        </w:rPr>
        <w:t>/L/</w:t>
      </w:r>
      <w:proofErr w:type="spellStart"/>
      <w:r w:rsidRPr="032917F7">
        <w:rPr>
          <w:rFonts w:cs="Times New Roman"/>
          <w:color w:val="000000" w:themeColor="text1"/>
        </w:rPr>
        <w:t>hr</w:t>
      </w:r>
      <w:proofErr w:type="spellEnd"/>
      <w:r w:rsidRPr="032917F7">
        <w:rPr>
          <w:rFonts w:cs="Times New Roman"/>
          <w:color w:val="000000" w:themeColor="text1"/>
        </w:rPr>
        <w:t xml:space="preserve">) divided by SA (SI Equation 1). Phosphate turnover time was calculated by dividing TA by uptake rate of radioactivity (SI Equation 2). </w:t>
      </w:r>
    </w:p>
    <w:p w14:paraId="3DC57DC4" w14:textId="77777777" w:rsidR="00D81011" w:rsidRPr="00B37D17" w:rsidRDefault="00D81011" w:rsidP="00D81011">
      <w:pPr>
        <w:autoSpaceDE w:val="0"/>
        <w:autoSpaceDN w:val="0"/>
        <w:adjustRightInd w:val="0"/>
        <w:ind w:left="360"/>
        <w:rPr>
          <w:rFonts w:eastAsiaTheme="minorEastAsia" w:cs="Times New Roman"/>
          <w:b/>
          <w:bCs/>
          <w:color w:val="000000" w:themeColor="text1"/>
        </w:rPr>
      </w:pPr>
      <w:r w:rsidRPr="00B37D17">
        <w:rPr>
          <w:rFonts w:eastAsiaTheme="minorEastAsia" w:cs="Times New Roman"/>
          <w:b/>
          <w:bCs/>
          <w:color w:val="000000" w:themeColor="text1"/>
        </w:rPr>
        <w:t xml:space="preserve">SI Equation 1. </w:t>
      </w:r>
    </w:p>
    <w:p w14:paraId="28020722" w14:textId="1AF2EB02" w:rsidR="00D81011" w:rsidRPr="00B37D17" w:rsidRDefault="00D81011" w:rsidP="004C29A1">
      <w:pPr>
        <w:autoSpaceDE w:val="0"/>
        <w:autoSpaceDN w:val="0"/>
        <w:adjustRightInd w:val="0"/>
        <w:rPr>
          <w:rFonts w:cs="Times New Roman"/>
          <w:b/>
          <w:bCs/>
          <w:color w:val="000000" w:themeColor="text1"/>
        </w:rPr>
      </w:pPr>
      <m:oMathPara>
        <m:oMath>
          <m:r>
            <w:rPr>
              <w:rFonts w:ascii="Cambria Math" w:hAnsi="Cambria Math" w:cs="Times New Roman"/>
              <w:color w:val="000000" w:themeColor="text1"/>
              <w:sz w:val="20"/>
              <w:szCs w:val="20"/>
            </w:rPr>
            <m:t xml:space="preserve"> Uptake Rate (nmol P</m:t>
          </m:r>
          <m:sSubSup>
            <m:sSubSupPr>
              <m:ctrlPr>
                <w:rPr>
                  <w:rFonts w:ascii="Cambria Math" w:hAnsi="Cambria Math" w:cs="Times New Roman"/>
                  <w:i/>
                  <w:color w:val="000000" w:themeColor="text1"/>
                  <w:sz w:val="20"/>
                  <w:szCs w:val="20"/>
                </w:rPr>
              </m:ctrlPr>
            </m:sSubSupPr>
            <m:e>
              <m:r>
                <w:rPr>
                  <w:rFonts w:ascii="Cambria Math" w:hAnsi="Cambria Math" w:cs="Times New Roman"/>
                  <w:color w:val="000000" w:themeColor="text1"/>
                  <w:sz w:val="20"/>
                  <w:szCs w:val="20"/>
                </w:rPr>
                <m:t>O</m:t>
              </m:r>
            </m:e>
            <m:sub>
              <m:r>
                <w:rPr>
                  <w:rFonts w:ascii="Cambria Math" w:hAnsi="Cambria Math" w:cs="Times New Roman"/>
                  <w:color w:val="000000" w:themeColor="text1"/>
                  <w:sz w:val="20"/>
                  <w:szCs w:val="20"/>
                </w:rPr>
                <m:t>4</m:t>
              </m:r>
            </m:sub>
            <m:sup>
              <m:r>
                <w:rPr>
                  <w:rFonts w:ascii="Cambria Math" w:hAnsi="Cambria Math" w:cs="Times New Roman"/>
                  <w:color w:val="000000" w:themeColor="text1"/>
                  <w:sz w:val="20"/>
                  <w:szCs w:val="20"/>
                </w:rPr>
                <m:t>3-</m:t>
              </m:r>
            </m:sup>
          </m:sSubSup>
          <m:r>
            <w:rPr>
              <w:rFonts w:ascii="Cambria Math" w:hAnsi="Cambria Math" w:cs="Times New Roman"/>
              <w:color w:val="000000" w:themeColor="text1"/>
              <w:sz w:val="20"/>
              <w:szCs w:val="20"/>
            </w:rPr>
            <m:t xml:space="preserve">/L/hr)= </m:t>
          </m:r>
          <m:f>
            <m:fPr>
              <m:ctrlPr>
                <w:rPr>
                  <w:rFonts w:ascii="Cambria Math" w:hAnsi="Cambria Math" w:cs="Times New Roman"/>
                  <w:i/>
                  <w:color w:val="000000" w:themeColor="text1"/>
                  <w:sz w:val="20"/>
                  <w:szCs w:val="20"/>
                </w:rPr>
              </m:ctrlPr>
            </m:fPr>
            <m:num>
              <m:r>
                <w:rPr>
                  <w:rFonts w:ascii="Cambria Math" w:hAnsi="Cambria Math" w:cs="Times New Roman"/>
                  <w:color w:val="000000" w:themeColor="text1"/>
                  <w:sz w:val="20"/>
                  <w:szCs w:val="20"/>
                </w:rPr>
                <m:t>sample activity (dpm)</m:t>
              </m:r>
            </m:num>
            <m:den>
              <m:r>
                <w:rPr>
                  <w:rFonts w:ascii="Cambria Math" w:hAnsi="Cambria Math" w:cs="Times New Roman"/>
                  <w:color w:val="000000" w:themeColor="text1"/>
                  <w:sz w:val="20"/>
                  <w:szCs w:val="20"/>
                </w:rPr>
                <m:t xml:space="preserve">volume filtered </m:t>
              </m:r>
              <m:d>
                <m:dPr>
                  <m:ctrlPr>
                    <w:rPr>
                      <w:rFonts w:ascii="Cambria Math" w:hAnsi="Cambria Math" w:cs="Times New Roman"/>
                      <w:i/>
                      <w:color w:val="000000" w:themeColor="text1"/>
                      <w:sz w:val="20"/>
                      <w:szCs w:val="20"/>
                    </w:rPr>
                  </m:ctrlPr>
                </m:dPr>
                <m:e>
                  <m:r>
                    <w:rPr>
                      <w:rFonts w:ascii="Cambria Math" w:hAnsi="Cambria Math" w:cs="Times New Roman"/>
                      <w:color w:val="000000" w:themeColor="text1"/>
                      <w:sz w:val="20"/>
                      <w:szCs w:val="20"/>
                    </w:rPr>
                    <m:t>L</m:t>
                  </m:r>
                </m:e>
              </m:d>
              <m:r>
                <w:rPr>
                  <w:rFonts w:ascii="Cambria Math" w:hAnsi="Cambria Math" w:cs="Times New Roman"/>
                  <w:color w:val="000000" w:themeColor="text1"/>
                  <w:sz w:val="20"/>
                  <w:szCs w:val="20"/>
                </w:rPr>
                <m:t>× time since</m:t>
              </m:r>
              <m:sPre>
                <m:sPrePr>
                  <m:ctrlPr>
                    <w:rPr>
                      <w:rFonts w:ascii="Cambria Math" w:hAnsi="Cambria Math" w:cs="Times New Roman"/>
                      <w:i/>
                      <w:color w:val="000000" w:themeColor="text1"/>
                      <w:sz w:val="20"/>
                      <w:szCs w:val="20"/>
                    </w:rPr>
                  </m:ctrlPr>
                </m:sPrePr>
                <m:sub/>
                <m:sup>
                  <m:r>
                    <w:rPr>
                      <w:rFonts w:ascii="Cambria Math" w:hAnsi="Cambria Math" w:cs="Times New Roman"/>
                      <w:color w:val="000000" w:themeColor="text1"/>
                      <w:sz w:val="20"/>
                      <w:szCs w:val="20"/>
                    </w:rPr>
                    <m:t>32</m:t>
                  </m:r>
                </m:sup>
                <m:e>
                  <m:r>
                    <w:rPr>
                      <w:rFonts w:ascii="Cambria Math" w:hAnsi="Cambria Math" w:cs="Times New Roman"/>
                      <w:color w:val="000000" w:themeColor="text1"/>
                      <w:sz w:val="20"/>
                      <w:szCs w:val="20"/>
                    </w:rPr>
                    <m:t>P added</m:t>
                  </m:r>
                </m:e>
              </m:sPre>
              <m:r>
                <w:rPr>
                  <w:rFonts w:ascii="Cambria Math" w:hAnsi="Cambria Math" w:cs="Times New Roman"/>
                  <w:color w:val="000000" w:themeColor="text1"/>
                  <w:sz w:val="20"/>
                  <w:szCs w:val="20"/>
                </w:rPr>
                <m:t xml:space="preserve"> (hr)</m:t>
              </m:r>
            </m:den>
          </m:f>
          <m:r>
            <w:rPr>
              <w:rFonts w:ascii="Cambria Math" w:hAnsi="Cambria Math" w:cs="Times New Roman"/>
              <w:color w:val="000000" w:themeColor="text1"/>
              <w:sz w:val="20"/>
              <w:szCs w:val="20"/>
            </w:rPr>
            <m:t>×</m:t>
          </m:r>
          <m:f>
            <m:fPr>
              <m:ctrlPr>
                <w:rPr>
                  <w:rFonts w:ascii="Cambria Math" w:hAnsi="Cambria Math" w:cs="Times New Roman"/>
                  <w:i/>
                  <w:color w:val="000000" w:themeColor="text1"/>
                  <w:sz w:val="20"/>
                  <w:szCs w:val="20"/>
                </w:rPr>
              </m:ctrlPr>
            </m:fPr>
            <m:num>
              <m:r>
                <w:rPr>
                  <w:rFonts w:ascii="Cambria Math" w:hAnsi="Cambria Math" w:cs="Times New Roman"/>
                  <w:color w:val="000000" w:themeColor="text1"/>
                  <w:sz w:val="20"/>
                  <w:szCs w:val="20"/>
                </w:rPr>
                <m:t>1</m:t>
              </m:r>
            </m:num>
            <m:den>
              <m:r>
                <w:rPr>
                  <w:rFonts w:ascii="Cambria Math" w:hAnsi="Cambria Math" w:cs="Times New Roman"/>
                  <w:color w:val="000000" w:themeColor="text1"/>
                  <w:sz w:val="20"/>
                  <w:szCs w:val="20"/>
                </w:rPr>
                <m:t>SA (</m:t>
              </m:r>
              <m:f>
                <m:fPr>
                  <m:ctrlPr>
                    <w:rPr>
                      <w:rFonts w:ascii="Cambria Math" w:hAnsi="Cambria Math" w:cs="Times New Roman"/>
                      <w:i/>
                      <w:color w:val="000000" w:themeColor="text1"/>
                      <w:sz w:val="20"/>
                      <w:szCs w:val="20"/>
                    </w:rPr>
                  </m:ctrlPr>
                </m:fPr>
                <m:num>
                  <m:r>
                    <w:rPr>
                      <w:rFonts w:ascii="Cambria Math" w:hAnsi="Cambria Math" w:cs="Times New Roman"/>
                      <w:color w:val="000000" w:themeColor="text1"/>
                      <w:sz w:val="20"/>
                      <w:szCs w:val="20"/>
                    </w:rPr>
                    <m:t>dpm</m:t>
                  </m:r>
                </m:num>
                <m:den>
                  <m:r>
                    <w:rPr>
                      <w:rFonts w:ascii="Cambria Math" w:hAnsi="Cambria Math" w:cs="Times New Roman"/>
                      <w:color w:val="000000" w:themeColor="text1"/>
                      <w:sz w:val="20"/>
                      <w:szCs w:val="20"/>
                    </w:rPr>
                    <m:t>nmol P</m:t>
                  </m:r>
                  <m:sSubSup>
                    <m:sSubSupPr>
                      <m:ctrlPr>
                        <w:rPr>
                          <w:rFonts w:ascii="Cambria Math" w:hAnsi="Cambria Math" w:cs="Times New Roman"/>
                          <w:i/>
                          <w:color w:val="000000" w:themeColor="text1"/>
                          <w:sz w:val="20"/>
                          <w:szCs w:val="20"/>
                        </w:rPr>
                      </m:ctrlPr>
                    </m:sSubSupPr>
                    <m:e>
                      <m:r>
                        <w:rPr>
                          <w:rFonts w:ascii="Cambria Math" w:hAnsi="Cambria Math" w:cs="Times New Roman"/>
                          <w:color w:val="000000" w:themeColor="text1"/>
                          <w:sz w:val="20"/>
                          <w:szCs w:val="20"/>
                        </w:rPr>
                        <m:t>O</m:t>
                      </m:r>
                    </m:e>
                    <m:sub>
                      <m:r>
                        <w:rPr>
                          <w:rFonts w:ascii="Cambria Math" w:hAnsi="Cambria Math" w:cs="Times New Roman"/>
                          <w:color w:val="000000" w:themeColor="text1"/>
                          <w:sz w:val="20"/>
                          <w:szCs w:val="20"/>
                        </w:rPr>
                        <m:t>4</m:t>
                      </m:r>
                    </m:sub>
                    <m:sup>
                      <m:r>
                        <w:rPr>
                          <w:rFonts w:ascii="Cambria Math" w:hAnsi="Cambria Math" w:cs="Times New Roman"/>
                          <w:color w:val="000000" w:themeColor="text1"/>
                          <w:sz w:val="20"/>
                          <w:szCs w:val="20"/>
                        </w:rPr>
                        <m:t>3-</m:t>
                      </m:r>
                    </m:sup>
                  </m:sSubSup>
                </m:den>
              </m:f>
              <m:r>
                <w:rPr>
                  <w:rFonts w:ascii="Cambria Math" w:hAnsi="Cambria Math" w:cs="Times New Roman"/>
                  <w:color w:val="000000" w:themeColor="text1"/>
                  <w:sz w:val="20"/>
                  <w:szCs w:val="20"/>
                </w:rPr>
                <m:t>)</m:t>
              </m:r>
            </m:den>
          </m:f>
        </m:oMath>
      </m:oMathPara>
    </w:p>
    <w:p w14:paraId="70D85EFE" w14:textId="77777777" w:rsidR="00D81011" w:rsidRPr="00B37D17" w:rsidRDefault="00D81011" w:rsidP="00D81011">
      <w:pPr>
        <w:autoSpaceDE w:val="0"/>
        <w:autoSpaceDN w:val="0"/>
        <w:adjustRightInd w:val="0"/>
        <w:ind w:left="360"/>
        <w:rPr>
          <w:rFonts w:cs="Times New Roman"/>
          <w:b/>
          <w:bCs/>
          <w:color w:val="000000" w:themeColor="text1"/>
        </w:rPr>
      </w:pPr>
      <w:r w:rsidRPr="00B37D17">
        <w:rPr>
          <w:rFonts w:cs="Times New Roman"/>
          <w:b/>
          <w:bCs/>
          <w:color w:val="000000" w:themeColor="text1"/>
        </w:rPr>
        <w:t xml:space="preserve">SI Equation 2. </w:t>
      </w:r>
    </w:p>
    <w:p w14:paraId="37C12697" w14:textId="77777777" w:rsidR="00D81011" w:rsidRPr="00B37D17" w:rsidRDefault="00D81011" w:rsidP="00D81011">
      <w:pPr>
        <w:autoSpaceDE w:val="0"/>
        <w:autoSpaceDN w:val="0"/>
        <w:adjustRightInd w:val="0"/>
        <w:rPr>
          <w:rFonts w:eastAsiaTheme="minorEastAsia" w:cs="Times New Roman"/>
          <w:color w:val="000000" w:themeColor="text1"/>
          <w:sz w:val="16"/>
          <w:szCs w:val="16"/>
        </w:rPr>
      </w:pPr>
      <m:oMathPara>
        <m:oMath>
          <m:r>
            <w:rPr>
              <w:rFonts w:ascii="Cambria Math" w:hAnsi="Cambria Math" w:cs="Times New Roman"/>
              <w:color w:val="000000" w:themeColor="text1"/>
              <w:sz w:val="20"/>
              <w:szCs w:val="20"/>
            </w:rPr>
            <m:t>Turnover Time (hr)=TA (</m:t>
          </m:r>
          <m:f>
            <m:fPr>
              <m:ctrlPr>
                <w:rPr>
                  <w:rFonts w:ascii="Cambria Math" w:hAnsi="Cambria Math" w:cs="Times New Roman"/>
                  <w:i/>
                  <w:color w:val="000000" w:themeColor="text1"/>
                  <w:sz w:val="20"/>
                  <w:szCs w:val="20"/>
                </w:rPr>
              </m:ctrlPr>
            </m:fPr>
            <m:num>
              <m:r>
                <w:rPr>
                  <w:rFonts w:ascii="Cambria Math" w:hAnsi="Cambria Math" w:cs="Times New Roman"/>
                  <w:color w:val="000000" w:themeColor="text1"/>
                  <w:sz w:val="20"/>
                  <w:szCs w:val="20"/>
                </w:rPr>
                <m:t>dpm</m:t>
              </m:r>
            </m:num>
            <m:den>
              <m:r>
                <w:rPr>
                  <w:rFonts w:ascii="Cambria Math" w:hAnsi="Cambria Math" w:cs="Times New Roman"/>
                  <w:color w:val="000000" w:themeColor="text1"/>
                  <w:sz w:val="20"/>
                  <w:szCs w:val="20"/>
                </w:rPr>
                <m:t>L</m:t>
              </m:r>
            </m:den>
          </m:f>
          <m:r>
            <w:rPr>
              <w:rFonts w:ascii="Cambria Math" w:hAnsi="Cambria Math" w:cs="Times New Roman"/>
              <w:color w:val="000000" w:themeColor="text1"/>
              <w:sz w:val="20"/>
              <w:szCs w:val="20"/>
            </w:rPr>
            <m:t xml:space="preserve">)× </m:t>
          </m:r>
          <m:f>
            <m:fPr>
              <m:ctrlPr>
                <w:rPr>
                  <w:rFonts w:ascii="Cambria Math" w:hAnsi="Cambria Math" w:cs="Times New Roman"/>
                  <w:i/>
                  <w:color w:val="000000" w:themeColor="text1"/>
                  <w:sz w:val="20"/>
                  <w:szCs w:val="20"/>
                </w:rPr>
              </m:ctrlPr>
            </m:fPr>
            <m:num>
              <m:r>
                <w:rPr>
                  <w:rFonts w:ascii="Cambria Math" w:hAnsi="Cambria Math" w:cs="Times New Roman"/>
                  <w:color w:val="000000" w:themeColor="text1"/>
                  <w:sz w:val="20"/>
                  <w:szCs w:val="20"/>
                </w:rPr>
                <m:t xml:space="preserve">volume filtered </m:t>
              </m:r>
              <m:d>
                <m:dPr>
                  <m:ctrlPr>
                    <w:rPr>
                      <w:rFonts w:ascii="Cambria Math" w:hAnsi="Cambria Math" w:cs="Times New Roman"/>
                      <w:i/>
                      <w:color w:val="000000" w:themeColor="text1"/>
                      <w:sz w:val="20"/>
                      <w:szCs w:val="20"/>
                    </w:rPr>
                  </m:ctrlPr>
                </m:dPr>
                <m:e>
                  <m:r>
                    <w:rPr>
                      <w:rFonts w:ascii="Cambria Math" w:hAnsi="Cambria Math" w:cs="Times New Roman"/>
                      <w:color w:val="000000" w:themeColor="text1"/>
                      <w:sz w:val="20"/>
                      <w:szCs w:val="20"/>
                    </w:rPr>
                    <m:t>L</m:t>
                  </m:r>
                </m:e>
              </m:d>
              <m:r>
                <w:rPr>
                  <w:rFonts w:ascii="Cambria Math" w:hAnsi="Cambria Math" w:cs="Times New Roman"/>
                  <w:color w:val="000000" w:themeColor="text1"/>
                  <w:sz w:val="20"/>
                  <w:szCs w:val="20"/>
                </w:rPr>
                <m:t xml:space="preserve">× time since </m:t>
              </m:r>
              <m:sPre>
                <m:sPrePr>
                  <m:ctrlPr>
                    <w:rPr>
                      <w:rFonts w:ascii="Cambria Math" w:hAnsi="Cambria Math" w:cs="Times New Roman"/>
                      <w:i/>
                      <w:color w:val="000000" w:themeColor="text1"/>
                      <w:sz w:val="20"/>
                      <w:szCs w:val="20"/>
                    </w:rPr>
                  </m:ctrlPr>
                </m:sPrePr>
                <m:sub/>
                <m:sup>
                  <m:r>
                    <w:rPr>
                      <w:rFonts w:ascii="Cambria Math" w:hAnsi="Cambria Math" w:cs="Times New Roman"/>
                      <w:color w:val="000000" w:themeColor="text1"/>
                      <w:sz w:val="20"/>
                      <w:szCs w:val="20"/>
                    </w:rPr>
                    <m:t>32</m:t>
                  </m:r>
                </m:sup>
                <m:e>
                  <m:r>
                    <w:rPr>
                      <w:rFonts w:ascii="Cambria Math" w:hAnsi="Cambria Math" w:cs="Times New Roman"/>
                      <w:color w:val="000000" w:themeColor="text1"/>
                      <w:sz w:val="20"/>
                      <w:szCs w:val="20"/>
                    </w:rPr>
                    <m:t>P added</m:t>
                  </m:r>
                </m:e>
              </m:sPre>
              <m:r>
                <w:rPr>
                  <w:rFonts w:ascii="Cambria Math" w:hAnsi="Cambria Math" w:cs="Times New Roman"/>
                  <w:color w:val="000000" w:themeColor="text1"/>
                  <w:sz w:val="20"/>
                  <w:szCs w:val="20"/>
                </w:rPr>
                <m:t xml:space="preserve"> (hr)</m:t>
              </m:r>
            </m:num>
            <m:den>
              <m:r>
                <w:rPr>
                  <w:rFonts w:ascii="Cambria Math" w:hAnsi="Cambria Math" w:cs="Times New Roman"/>
                  <w:color w:val="000000" w:themeColor="text1"/>
                  <w:sz w:val="20"/>
                  <w:szCs w:val="20"/>
                </w:rPr>
                <m:t>sample activity(dpm)</m:t>
              </m:r>
            </m:den>
          </m:f>
        </m:oMath>
      </m:oMathPara>
    </w:p>
    <w:p w14:paraId="07F2537D" w14:textId="77777777" w:rsidR="00D81011" w:rsidRPr="00B37D17" w:rsidRDefault="00D81011" w:rsidP="00D81011">
      <w:pPr>
        <w:autoSpaceDE w:val="0"/>
        <w:autoSpaceDN w:val="0"/>
        <w:adjustRightInd w:val="0"/>
        <w:rPr>
          <w:rFonts w:cs="Times New Roman"/>
          <w:color w:val="000000" w:themeColor="text1"/>
        </w:rPr>
      </w:pPr>
    </w:p>
    <w:p w14:paraId="767993B6" w14:textId="77777777" w:rsidR="00D81011" w:rsidRPr="00B37D17" w:rsidRDefault="00D81011" w:rsidP="00D81011">
      <w:pPr>
        <w:pStyle w:val="ListParagraph"/>
        <w:numPr>
          <w:ilvl w:val="0"/>
          <w:numId w:val="0"/>
        </w:numPr>
        <w:autoSpaceDE w:val="0"/>
        <w:autoSpaceDN w:val="0"/>
        <w:adjustRightInd w:val="0"/>
        <w:spacing w:after="60"/>
        <w:ind w:left="1440"/>
        <w:rPr>
          <w:color w:val="000000" w:themeColor="text1"/>
        </w:rPr>
      </w:pPr>
    </w:p>
    <w:p w14:paraId="4C646897" w14:textId="6E0C27C8" w:rsidR="6CBE612E" w:rsidRDefault="6CBE612E" w:rsidP="6CBE612E">
      <w:pPr>
        <w:pStyle w:val="Heading1"/>
      </w:pPr>
      <w:r>
        <w:t>Phosphate Turnover Times</w:t>
      </w:r>
    </w:p>
    <w:p w14:paraId="435D8399" w14:textId="33192E47" w:rsidR="6CBE612E" w:rsidRDefault="5331F1C7" w:rsidP="6CBE612E">
      <w:r w:rsidRPr="00E70ADA">
        <w:t xml:space="preserve">Phosphate turnover time is normalized to the relevant controls in Fig. 6 in the text. </w:t>
      </w:r>
      <w:r>
        <w:t>SI Figure 3 shows the absolute phosphate turnover time for each of the six conditions represented in minutes (not normalized to the control).</w:t>
      </w:r>
    </w:p>
    <w:p w14:paraId="1D492974" w14:textId="0A447935" w:rsidR="6CBE612E" w:rsidRDefault="6CBE612E" w:rsidP="00E70ADA">
      <w:pPr>
        <w:jc w:val="center"/>
      </w:pPr>
      <w:r>
        <w:rPr>
          <w:noProof/>
        </w:rPr>
        <w:drawing>
          <wp:inline distT="0" distB="0" distL="0" distR="0" wp14:anchorId="6EA9FB73" wp14:editId="6C4D8625">
            <wp:extent cx="5915025" cy="2057936"/>
            <wp:effectExtent l="0" t="0" r="0" b="0"/>
            <wp:docPr id="1290681978" name="Picture 129068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15025" cy="2057936"/>
                    </a:xfrm>
                    <a:prstGeom prst="rect">
                      <a:avLst/>
                    </a:prstGeom>
                  </pic:spPr>
                </pic:pic>
              </a:graphicData>
            </a:graphic>
          </wp:inline>
        </w:drawing>
      </w:r>
    </w:p>
    <w:p w14:paraId="2E3A6AFF" w14:textId="0D58C719" w:rsidR="6CBE612E" w:rsidRDefault="0F26E009" w:rsidP="00E70ADA">
      <w:r w:rsidRPr="00E70ADA">
        <w:rPr>
          <w:b/>
          <w:bCs/>
        </w:rPr>
        <w:t>SI Figure 3.</w:t>
      </w:r>
      <w:r w:rsidRPr="0F26E009">
        <w:rPr>
          <w:b/>
          <w:bCs/>
        </w:rPr>
        <w:t xml:space="preserve"> </w:t>
      </w:r>
      <w:r w:rsidRPr="00E70ADA">
        <w:t>Phosphate</w:t>
      </w:r>
      <w:r>
        <w:t xml:space="preserve"> turnover time in minutes at t=0-2 for volcanic ash (left) and mineral dust (right) experimental and control conditions. </w:t>
      </w:r>
    </w:p>
    <w:p w14:paraId="471DE69D" w14:textId="5CAEEF94" w:rsidR="0F26E009" w:rsidRDefault="0F26E009" w:rsidP="0F26E009"/>
    <w:p w14:paraId="31249AE3" w14:textId="77777777" w:rsidR="00D81011" w:rsidRPr="00D81011" w:rsidRDefault="6CBE612E" w:rsidP="00D81011">
      <w:pPr>
        <w:pStyle w:val="Heading1"/>
      </w:pPr>
      <w:r>
        <w:t>APA Calculations</w:t>
      </w:r>
    </w:p>
    <w:p w14:paraId="6456D459" w14:textId="77777777" w:rsidR="00D81011" w:rsidRPr="00C842E6" w:rsidRDefault="00D81011" w:rsidP="00D81011">
      <w:pPr>
        <w:autoSpaceDE w:val="0"/>
        <w:autoSpaceDN w:val="0"/>
        <w:adjustRightInd w:val="0"/>
        <w:spacing w:after="60"/>
        <w:rPr>
          <w:rFonts w:eastAsia="Times New Roman" w:cs="Times New Roman"/>
          <w:color w:val="000000" w:themeColor="text1"/>
        </w:rPr>
      </w:pPr>
      <w:r w:rsidRPr="00C842E6">
        <w:rPr>
          <w:rFonts w:eastAsia="Times New Roman" w:cs="Times New Roman"/>
          <w:color w:val="000000" w:themeColor="text1"/>
        </w:rPr>
        <w:t xml:space="preserve">Standard curve concentrations for APA measurements ranged from 0-5 </w:t>
      </w:r>
      <w:r w:rsidRPr="00B37D17">
        <w:rPr>
          <w:rFonts w:ascii="Symbol" w:eastAsia="Symbol" w:hAnsi="Symbol" w:cs="Symbol"/>
        </w:rPr>
        <w:t>m</w:t>
      </w:r>
      <w:r w:rsidRPr="00C842E6">
        <w:rPr>
          <w:rFonts w:eastAsia="Times New Roman" w:cs="Times New Roman"/>
          <w:color w:val="000000" w:themeColor="text1"/>
        </w:rPr>
        <w:t>M MUB, and standard curve slope was calculated as (fluorescence/</w:t>
      </w:r>
      <w:r w:rsidRPr="00B37D17">
        <w:rPr>
          <w:rFonts w:ascii="Symbol" w:eastAsia="Symbol" w:hAnsi="Symbol" w:cs="Symbol"/>
        </w:rPr>
        <w:t>m</w:t>
      </w:r>
      <w:r w:rsidRPr="00C842E6">
        <w:rPr>
          <w:rFonts w:eastAsia="Times New Roman" w:cs="Times New Roman"/>
          <w:color w:val="000000" w:themeColor="text1"/>
        </w:rPr>
        <w:t>M MUB, which is equivalent to fluorescence/</w:t>
      </w:r>
      <w:r w:rsidRPr="00C74D44">
        <w:rPr>
          <w:rFonts w:ascii="Symbol" w:eastAsia="Symbol" w:hAnsi="Symbol" w:cs="Symbol"/>
        </w:rPr>
        <w:t>m</w:t>
      </w:r>
      <w:r w:rsidRPr="00C842E6">
        <w:rPr>
          <w:rFonts w:eastAsia="Times New Roman" w:cs="Times New Roman"/>
          <w:color w:val="000000" w:themeColor="text1"/>
        </w:rPr>
        <w:t>M phosphate released).  For samples, APA (</w:t>
      </w:r>
      <w:r w:rsidRPr="00B37D17">
        <w:rPr>
          <w:rFonts w:ascii="Symbol" w:eastAsia="Symbol" w:hAnsi="Symbol" w:cs="Symbol"/>
        </w:rPr>
        <w:t>m</w:t>
      </w:r>
      <w:r w:rsidRPr="00C842E6">
        <w:rPr>
          <w:rFonts w:eastAsia="Times New Roman" w:cs="Times New Roman"/>
          <w:color w:val="000000" w:themeColor="text1"/>
        </w:rPr>
        <w:t>M P/</w:t>
      </w:r>
      <w:proofErr w:type="spellStart"/>
      <w:r w:rsidRPr="00C842E6">
        <w:rPr>
          <w:rFonts w:eastAsia="Times New Roman" w:cs="Times New Roman"/>
          <w:color w:val="000000" w:themeColor="text1"/>
        </w:rPr>
        <w:t>hr</w:t>
      </w:r>
      <w:proofErr w:type="spellEnd"/>
      <w:r w:rsidRPr="00C842E6">
        <w:rPr>
          <w:rFonts w:eastAsia="Times New Roman" w:cs="Times New Roman"/>
          <w:color w:val="000000" w:themeColor="text1"/>
        </w:rPr>
        <w:t xml:space="preserve">) was determined by calculating the increase in sample fluorescence as a slope over time (fluorescence/time since MUF-P addition), then dividing by the standard curve slope (SI Equation 3). APA was reported as </w:t>
      </w:r>
      <w:proofErr w:type="spellStart"/>
      <w:r w:rsidRPr="00C842E6">
        <w:rPr>
          <w:rFonts w:eastAsia="Times New Roman" w:cs="Times New Roman"/>
          <w:color w:val="000000" w:themeColor="text1"/>
        </w:rPr>
        <w:t>nM</w:t>
      </w:r>
      <w:proofErr w:type="spellEnd"/>
      <w:r w:rsidRPr="00C842E6">
        <w:rPr>
          <w:rFonts w:eastAsia="Times New Roman" w:cs="Times New Roman"/>
          <w:color w:val="000000" w:themeColor="text1"/>
        </w:rPr>
        <w:t xml:space="preserve"> P/hr. </w:t>
      </w:r>
    </w:p>
    <w:p w14:paraId="721D4B05" w14:textId="77777777" w:rsidR="00D81011" w:rsidRPr="00B37D17" w:rsidRDefault="00D81011" w:rsidP="00D81011">
      <w:pPr>
        <w:autoSpaceDE w:val="0"/>
        <w:autoSpaceDN w:val="0"/>
        <w:adjustRightInd w:val="0"/>
        <w:ind w:left="360"/>
        <w:rPr>
          <w:rFonts w:eastAsia="Times New Roman" w:cs="Times New Roman"/>
          <w:color w:val="000000" w:themeColor="text1"/>
        </w:rPr>
      </w:pPr>
    </w:p>
    <w:p w14:paraId="68D40636" w14:textId="77777777" w:rsidR="00D81011" w:rsidRPr="00ED742B" w:rsidRDefault="00D81011" w:rsidP="00D81011">
      <w:pPr>
        <w:autoSpaceDE w:val="0"/>
        <w:autoSpaceDN w:val="0"/>
        <w:adjustRightInd w:val="0"/>
        <w:ind w:left="360"/>
        <w:rPr>
          <w:rFonts w:eastAsia="Times New Roman" w:cs="Times New Roman"/>
          <w:b/>
          <w:bCs/>
          <w:color w:val="000000" w:themeColor="text1"/>
        </w:rPr>
      </w:pPr>
      <w:r w:rsidRPr="00ED742B">
        <w:rPr>
          <w:rFonts w:eastAsia="Times New Roman" w:cs="Times New Roman"/>
          <w:b/>
          <w:bCs/>
          <w:color w:val="000000" w:themeColor="text1"/>
        </w:rPr>
        <w:t>SI Equation 3.</w:t>
      </w:r>
    </w:p>
    <w:p w14:paraId="28FF2826" w14:textId="77777777" w:rsidR="00D81011" w:rsidRPr="00B37D17" w:rsidRDefault="00D81011" w:rsidP="00D81011">
      <w:pPr>
        <w:autoSpaceDE w:val="0"/>
        <w:autoSpaceDN w:val="0"/>
        <w:adjustRightInd w:val="0"/>
        <w:ind w:left="360"/>
        <w:rPr>
          <w:rFonts w:eastAsia="Times New Roman" w:cs="Times New Roman"/>
          <w:color w:val="000000" w:themeColor="text1"/>
        </w:rPr>
      </w:pPr>
      <m:oMathPara>
        <m:oMath>
          <m:r>
            <w:rPr>
              <w:rFonts w:ascii="Cambria Math" w:eastAsia="Times New Roman" w:hAnsi="Cambria Math" w:cs="Times New Roman"/>
              <w:color w:val="000000" w:themeColor="text1"/>
            </w:rPr>
            <m:t>APA (</m:t>
          </m:r>
          <m:r>
            <m:rPr>
              <m:sty m:val="p"/>
            </m:rPr>
            <w:rPr>
              <w:rFonts w:ascii="Cambria Math" w:hAnsi="Cambria Math"/>
            </w:rPr>
            <m:t>n</m:t>
          </m:r>
          <m:r>
            <m:rPr>
              <m:sty m:val="p"/>
            </m:rPr>
            <w:rPr>
              <w:rFonts w:ascii="Cambria Math" w:eastAsia="Times New Roman" w:hAnsi="Cambria Math" w:cs="Times New Roman"/>
              <w:color w:val="000000" w:themeColor="text1"/>
            </w:rPr>
            <m:t>M P/hr)</m:t>
          </m:r>
          <m:r>
            <w:rPr>
              <w:rFonts w:ascii="Cambria Math" w:eastAsia="Times New Roman" w:hAnsi="Cambria Math" w:cs="Times New Roman"/>
              <w:color w:val="000000" w:themeColor="text1"/>
            </w:rPr>
            <m:t xml:space="preserve">= </m:t>
          </m:r>
          <m:f>
            <m:fPr>
              <m:ctrlPr>
                <w:rPr>
                  <w:rFonts w:ascii="Cambria Math" w:eastAsia="Times New Roman" w:hAnsi="Cambria Math" w:cs="Times New Roman"/>
                  <w:i/>
                  <w:color w:val="000000" w:themeColor="text1"/>
                </w:rPr>
              </m:ctrlPr>
            </m:fPr>
            <m:num>
              <m:r>
                <w:rPr>
                  <w:rFonts w:ascii="Cambria Math" w:eastAsia="Times New Roman" w:hAnsi="Cambria Math" w:cs="Times New Roman"/>
                  <w:color w:val="000000" w:themeColor="text1"/>
                </w:rPr>
                <m:t>sample fluorescence</m:t>
              </m:r>
            </m:num>
            <m:den>
              <m:r>
                <w:rPr>
                  <w:rFonts w:ascii="Cambria Math" w:eastAsia="Times New Roman" w:hAnsi="Cambria Math" w:cs="Times New Roman"/>
                  <w:color w:val="000000" w:themeColor="text1"/>
                </w:rPr>
                <m:t xml:space="preserve">time since </m:t>
              </m:r>
              <m:r>
                <m:rPr>
                  <m:sty m:val="p"/>
                </m:rPr>
                <w:rPr>
                  <w:rFonts w:ascii="Cambria Math" w:eastAsia="Times New Roman" w:hAnsi="Cambria Math" w:cs="Times New Roman"/>
                  <w:color w:val="000000" w:themeColor="text1"/>
                </w:rPr>
                <m:t>MUF</m:t>
              </m:r>
              <m:r>
                <m:rPr>
                  <m:nor/>
                </m:rPr>
                <w:rPr>
                  <w:rFonts w:eastAsia="Times New Roman" w:cs="Times New Roman"/>
                  <w:color w:val="000000" w:themeColor="text1"/>
                </w:rPr>
                <m:t>-</m:t>
              </m:r>
              <m:r>
                <m:rPr>
                  <m:sty m:val="p"/>
                </m:rPr>
                <w:rPr>
                  <w:rFonts w:ascii="Cambria Math" w:eastAsia="Times New Roman" w:hAnsi="Cambria Math" w:cs="Times New Roman"/>
                  <w:color w:val="000000" w:themeColor="text1"/>
                </w:rPr>
                <m:t>P addition (hr)</m:t>
              </m:r>
              <m:r>
                <w:rPr>
                  <w:rFonts w:ascii="Cambria Math" w:eastAsia="Times New Roman" w:hAnsi="Cambria Math" w:cs="Times New Roman"/>
                  <w:color w:val="000000" w:themeColor="text1"/>
                </w:rPr>
                <m:t xml:space="preserve"> </m:t>
              </m:r>
            </m:den>
          </m:f>
          <m:r>
            <w:rPr>
              <w:rFonts w:ascii="Cambria Math" w:eastAsia="Times New Roman" w:hAnsi="Cambria Math" w:cs="Times New Roman"/>
              <w:color w:val="000000" w:themeColor="text1"/>
            </w:rPr>
            <m:t xml:space="preserve"> × </m:t>
          </m:r>
          <m:f>
            <m:fPr>
              <m:ctrlPr>
                <w:rPr>
                  <w:rFonts w:ascii="Cambria Math" w:eastAsia="Times New Roman" w:hAnsi="Cambria Math" w:cs="Times New Roman"/>
                  <w:i/>
                  <w:color w:val="000000" w:themeColor="text1"/>
                </w:rPr>
              </m:ctrlPr>
            </m:fPr>
            <m:num>
              <m:r>
                <m:rPr>
                  <m:sty m:val="p"/>
                </m:rPr>
                <w:rPr>
                  <w:rFonts w:ascii="Cambria Math" w:hAnsi="Cambria Math" w:cs="Times New Roman"/>
                  <w:color w:val="000000" w:themeColor="text1"/>
                </w:rPr>
                <m:t>m</m:t>
              </m:r>
              <m:r>
                <m:rPr>
                  <m:sty m:val="p"/>
                </m:rPr>
                <w:rPr>
                  <w:rFonts w:ascii="Cambria Math" w:eastAsia="Times New Roman" w:hAnsi="Cambria Math" w:cs="Times New Roman"/>
                  <w:color w:val="000000" w:themeColor="text1"/>
                </w:rPr>
                <m:t>M P</m:t>
              </m:r>
            </m:num>
            <m:den>
              <m:r>
                <w:rPr>
                  <w:rFonts w:ascii="Cambria Math" w:eastAsia="Times New Roman" w:hAnsi="Cambria Math" w:cs="Times New Roman"/>
                  <w:color w:val="000000" w:themeColor="text1"/>
                </w:rPr>
                <m:t>standard fluorescence</m:t>
              </m:r>
            </m:den>
          </m:f>
          <m:r>
            <w:rPr>
              <w:rFonts w:ascii="Cambria Math" w:eastAsia="Times New Roman" w:hAnsi="Cambria Math" w:cs="Times New Roman"/>
              <w:color w:val="000000" w:themeColor="text1"/>
            </w:rPr>
            <m:t xml:space="preserve"> × </m:t>
          </m:r>
          <m:f>
            <m:fPr>
              <m:ctrlPr>
                <w:rPr>
                  <w:rFonts w:ascii="Cambria Math" w:eastAsia="Times New Roman" w:hAnsi="Cambria Math" w:cs="Times New Roman"/>
                  <w:i/>
                  <w:color w:val="000000" w:themeColor="text1"/>
                </w:rPr>
              </m:ctrlPr>
            </m:fPr>
            <m:num>
              <m:r>
                <w:rPr>
                  <w:rFonts w:ascii="Cambria Math" w:eastAsia="Times New Roman" w:hAnsi="Cambria Math" w:cs="Times New Roman"/>
                  <w:color w:val="000000" w:themeColor="text1"/>
                </w:rPr>
                <m:t>1000 nM P</m:t>
              </m:r>
            </m:num>
            <m:den>
              <m:r>
                <w:rPr>
                  <w:rFonts w:ascii="Cambria Math" w:eastAsia="Times New Roman" w:hAnsi="Cambria Math" w:cs="Times New Roman"/>
                  <w:color w:val="000000" w:themeColor="text1"/>
                </w:rPr>
                <m:t xml:space="preserve">1 </m:t>
              </m:r>
              <m:r>
                <m:rPr>
                  <m:sty m:val="p"/>
                </m:rPr>
                <w:rPr>
                  <w:rFonts w:ascii="Cambria Math" w:hAnsi="Cambria Math" w:cs="Times New Roman"/>
                  <w:color w:val="000000" w:themeColor="text1"/>
                </w:rPr>
                <m:t>m</m:t>
              </m:r>
              <m:r>
                <m:rPr>
                  <m:sty m:val="p"/>
                </m:rPr>
                <w:rPr>
                  <w:rFonts w:ascii="Cambria Math" w:eastAsia="Times New Roman" w:hAnsi="Cambria Math" w:cs="Times New Roman"/>
                  <w:color w:val="000000" w:themeColor="text1"/>
                </w:rPr>
                <m:t>M P</m:t>
              </m:r>
            </m:den>
          </m:f>
        </m:oMath>
      </m:oMathPara>
    </w:p>
    <w:p w14:paraId="19909C0F" w14:textId="77777777" w:rsidR="00D81011" w:rsidRPr="00EC657B" w:rsidRDefault="00D81011" w:rsidP="00EC657B">
      <w:pPr>
        <w:autoSpaceDE w:val="0"/>
        <w:autoSpaceDN w:val="0"/>
        <w:adjustRightInd w:val="0"/>
        <w:spacing w:after="60"/>
        <w:rPr>
          <w:color w:val="000000" w:themeColor="text1"/>
        </w:rPr>
      </w:pPr>
    </w:p>
    <w:p w14:paraId="5BBF9868" w14:textId="77777777" w:rsidR="00D81011" w:rsidRPr="00D81011" w:rsidRDefault="6CBE612E" w:rsidP="00D81011">
      <w:pPr>
        <w:pStyle w:val="Heading1"/>
      </w:pPr>
      <w:r>
        <w:t xml:space="preserve">Data from Incubation Day 4 </w:t>
      </w:r>
    </w:p>
    <w:p w14:paraId="50D96DE3" w14:textId="12767D67" w:rsidR="004C29A1" w:rsidRPr="00C27709" w:rsidRDefault="6CBE612E" w:rsidP="004C29A1">
      <w:pPr>
        <w:autoSpaceDE w:val="0"/>
        <w:autoSpaceDN w:val="0"/>
        <w:adjustRightInd w:val="0"/>
        <w:rPr>
          <w:rFonts w:eastAsia="Times New Roman" w:cs="Times New Roman"/>
          <w:color w:val="000000" w:themeColor="text1"/>
        </w:rPr>
      </w:pPr>
      <w:r w:rsidRPr="6CBE612E">
        <w:rPr>
          <w:rFonts w:cs="Times New Roman"/>
          <w:color w:val="000000" w:themeColor="text1"/>
        </w:rPr>
        <w:t xml:space="preserve">Cell count data demonstrates that phytoplankton abundance was greatest on day 4 (t=3) of the experiment for all experimental and control conditions (SI Figure 4). Since phytoplankton counts </w:t>
      </w:r>
      <w:r w:rsidRPr="6CBE612E">
        <w:rPr>
          <w:rFonts w:cs="Times New Roman"/>
          <w:color w:val="000000" w:themeColor="text1"/>
        </w:rPr>
        <w:lastRenderedPageBreak/>
        <w:t xml:space="preserve">increased for all experimental and control conditions, this result likely reflects the response of the microbial community to the incubation set-up/conditions rather than the aerosol additions. Therefore, the day 4 (t=3) data was not included in the analysis. </w:t>
      </w:r>
    </w:p>
    <w:p w14:paraId="4F7C3C96" w14:textId="20C4E9AF" w:rsidR="00D81011" w:rsidRPr="00C27709" w:rsidRDefault="008223B1" w:rsidP="008223B1">
      <w:pPr>
        <w:autoSpaceDE w:val="0"/>
        <w:autoSpaceDN w:val="0"/>
        <w:adjustRightInd w:val="0"/>
        <w:spacing w:after="60"/>
        <w:jc w:val="center"/>
        <w:rPr>
          <w:rFonts w:eastAsia="Times New Roman" w:cs="Times New Roman"/>
          <w:color w:val="000000" w:themeColor="text1"/>
        </w:rPr>
      </w:pPr>
      <w:r w:rsidRPr="008223B1">
        <w:rPr>
          <w:rFonts w:cs="Times New Roman"/>
          <w:noProof/>
          <w:color w:val="000000" w:themeColor="text1"/>
        </w:rPr>
        <w:drawing>
          <wp:inline distT="0" distB="0" distL="0" distR="0" wp14:anchorId="51150687" wp14:editId="30B86622">
            <wp:extent cx="6146392" cy="1945698"/>
            <wp:effectExtent l="0" t="0" r="635" b="0"/>
            <wp:docPr id="1649624823" name="Picture 1" descr="A graph of a graph of a graph of a graph of a graph of a graph of a graph of a graph of a graph of a graph of a graph of a graph of a graph 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24823" name="Picture 1" descr="A graph of a graph of a graph of a graph of a graph of a graph of a graph of a graph of a graph of a graph of a graph of a graph of a graph of&#10;&#10;Description automatically generated"/>
                    <pic:cNvPicPr/>
                  </pic:nvPicPr>
                  <pic:blipFill>
                    <a:blip r:embed="rId15"/>
                    <a:stretch>
                      <a:fillRect/>
                    </a:stretch>
                  </pic:blipFill>
                  <pic:spPr>
                    <a:xfrm>
                      <a:off x="0" y="0"/>
                      <a:ext cx="6156748" cy="1948976"/>
                    </a:xfrm>
                    <a:prstGeom prst="rect">
                      <a:avLst/>
                    </a:prstGeom>
                  </pic:spPr>
                </pic:pic>
              </a:graphicData>
            </a:graphic>
          </wp:inline>
        </w:drawing>
      </w:r>
    </w:p>
    <w:p w14:paraId="1DCD658F" w14:textId="66B59B8D" w:rsidR="008054F8" w:rsidRDefault="6CBE612E" w:rsidP="00D81011">
      <w:pPr>
        <w:autoSpaceDE w:val="0"/>
        <w:autoSpaceDN w:val="0"/>
        <w:adjustRightInd w:val="0"/>
        <w:rPr>
          <w:rFonts w:eastAsia="Times New Roman" w:cs="Times New Roman"/>
          <w:color w:val="000000" w:themeColor="text1"/>
        </w:rPr>
      </w:pPr>
      <w:r w:rsidRPr="6CBE612E">
        <w:rPr>
          <w:rFonts w:eastAsia="Times New Roman" w:cs="Times New Roman"/>
          <w:b/>
          <w:bCs/>
          <w:color w:val="000000" w:themeColor="text1"/>
        </w:rPr>
        <w:t>SI Figure 4.</w:t>
      </w:r>
      <w:r w:rsidRPr="6CBE612E">
        <w:rPr>
          <w:rFonts w:eastAsia="Times New Roman" w:cs="Times New Roman"/>
          <w:color w:val="000000" w:themeColor="text1"/>
        </w:rPr>
        <w:t xml:space="preserve"> Phytoplankton abundance over the entire 4-day incubation for volcanic ash (left) and mineral dust (right) experimental conditions and controls. </w:t>
      </w:r>
    </w:p>
    <w:p w14:paraId="6EBB5EB8" w14:textId="77777777" w:rsidR="008054F8" w:rsidRDefault="008054F8">
      <w:pPr>
        <w:spacing w:before="0" w:after="200" w:line="276" w:lineRule="auto"/>
        <w:rPr>
          <w:rFonts w:eastAsia="Times New Roman" w:cs="Times New Roman"/>
          <w:color w:val="000000" w:themeColor="text1"/>
        </w:rPr>
      </w:pPr>
      <w:r>
        <w:rPr>
          <w:rFonts w:eastAsia="Times New Roman" w:cs="Times New Roman"/>
          <w:color w:val="000000" w:themeColor="text1"/>
        </w:rPr>
        <w:br w:type="page"/>
      </w:r>
    </w:p>
    <w:p w14:paraId="6797C46E" w14:textId="37110791" w:rsidR="00D81011" w:rsidRPr="008054F8" w:rsidRDefault="008054F8" w:rsidP="00D81011">
      <w:pPr>
        <w:autoSpaceDE w:val="0"/>
        <w:autoSpaceDN w:val="0"/>
        <w:adjustRightInd w:val="0"/>
        <w:rPr>
          <w:rFonts w:eastAsia="Times New Roman" w:cs="Times New Roman"/>
          <w:b/>
          <w:bCs/>
          <w:color w:val="000000" w:themeColor="text1"/>
        </w:rPr>
      </w:pPr>
      <w:r w:rsidRPr="008054F8">
        <w:rPr>
          <w:rFonts w:eastAsia="Times New Roman" w:cs="Times New Roman"/>
          <w:b/>
          <w:bCs/>
          <w:color w:val="000000" w:themeColor="text1"/>
        </w:rPr>
        <w:lastRenderedPageBreak/>
        <w:t>References</w:t>
      </w:r>
    </w:p>
    <w:p w14:paraId="7A2B8B7F" w14:textId="678A2510" w:rsidR="008054F8" w:rsidRPr="00C27709" w:rsidRDefault="008054F8" w:rsidP="008054F8">
      <w:pPr>
        <w:autoSpaceDE w:val="0"/>
        <w:autoSpaceDN w:val="0"/>
        <w:adjustRightInd w:val="0"/>
        <w:rPr>
          <w:rFonts w:eastAsia="Times New Roman" w:cs="Times New Roman"/>
          <w:color w:val="000000" w:themeColor="text1"/>
        </w:rPr>
      </w:pPr>
      <w:proofErr w:type="spellStart"/>
      <w:r w:rsidRPr="008054F8">
        <w:rPr>
          <w:rFonts w:eastAsia="Times New Roman" w:cs="Times New Roman"/>
          <w:color w:val="000000" w:themeColor="text1"/>
        </w:rPr>
        <w:t>Harouaka</w:t>
      </w:r>
      <w:proofErr w:type="spellEnd"/>
      <w:r w:rsidRPr="008054F8">
        <w:rPr>
          <w:rFonts w:eastAsia="Times New Roman" w:cs="Times New Roman"/>
          <w:color w:val="000000" w:themeColor="text1"/>
        </w:rPr>
        <w:t xml:space="preserve">, K., Allen, C., </w:t>
      </w:r>
      <w:proofErr w:type="spellStart"/>
      <w:r w:rsidRPr="008054F8">
        <w:rPr>
          <w:rFonts w:eastAsia="Times New Roman" w:cs="Times New Roman"/>
          <w:color w:val="000000" w:themeColor="text1"/>
        </w:rPr>
        <w:t>Bylaska</w:t>
      </w:r>
      <w:proofErr w:type="spellEnd"/>
      <w:r w:rsidRPr="008054F8">
        <w:rPr>
          <w:rFonts w:eastAsia="Times New Roman" w:cs="Times New Roman"/>
          <w:color w:val="000000" w:themeColor="text1"/>
        </w:rPr>
        <w:t xml:space="preserve">, E., Cox, R.M., Eiden, G.C., di </w:t>
      </w:r>
      <w:proofErr w:type="spellStart"/>
      <w:r w:rsidRPr="008054F8">
        <w:rPr>
          <w:rFonts w:eastAsia="Times New Roman" w:cs="Times New Roman"/>
          <w:color w:val="000000" w:themeColor="text1"/>
        </w:rPr>
        <w:t>Vacri</w:t>
      </w:r>
      <w:proofErr w:type="spellEnd"/>
      <w:r w:rsidRPr="008054F8">
        <w:rPr>
          <w:rFonts w:eastAsia="Times New Roman" w:cs="Times New Roman"/>
          <w:color w:val="000000" w:themeColor="text1"/>
        </w:rPr>
        <w:t>, M.R., et al. (2021). Gas-phase ion-molecule interactions in a collision reaction cell with triple quadrupole-inductively coupled</w:t>
      </w:r>
      <w:r>
        <w:rPr>
          <w:rFonts w:eastAsia="Times New Roman" w:cs="Times New Roman"/>
          <w:color w:val="000000" w:themeColor="text1"/>
        </w:rPr>
        <w:t xml:space="preserve"> </w:t>
      </w:r>
      <w:r w:rsidRPr="008054F8">
        <w:rPr>
          <w:rFonts w:eastAsia="Times New Roman" w:cs="Times New Roman"/>
          <w:color w:val="000000" w:themeColor="text1"/>
        </w:rPr>
        <w:t>plasma mass spectrometry: Investigations with N</w:t>
      </w:r>
      <w:r w:rsidRPr="008054F8">
        <w:rPr>
          <w:rFonts w:eastAsia="Times New Roman" w:cs="Times New Roman"/>
          <w:color w:val="000000" w:themeColor="text1"/>
          <w:vertAlign w:val="subscript"/>
        </w:rPr>
        <w:t>2</w:t>
      </w:r>
      <w:r w:rsidRPr="008054F8">
        <w:rPr>
          <w:rFonts w:eastAsia="Times New Roman" w:cs="Times New Roman"/>
          <w:color w:val="000000" w:themeColor="text1"/>
        </w:rPr>
        <w:t xml:space="preserve">O as the reaction gas. </w:t>
      </w:r>
      <w:proofErr w:type="spellStart"/>
      <w:r w:rsidRPr="008054F8">
        <w:rPr>
          <w:rFonts w:eastAsia="Times New Roman" w:cs="Times New Roman"/>
          <w:color w:val="000000" w:themeColor="text1"/>
        </w:rPr>
        <w:t>Spectrochimica</w:t>
      </w:r>
      <w:proofErr w:type="spellEnd"/>
      <w:r w:rsidRPr="008054F8">
        <w:rPr>
          <w:rFonts w:eastAsia="Times New Roman" w:cs="Times New Roman"/>
          <w:color w:val="000000" w:themeColor="text1"/>
        </w:rPr>
        <w:t xml:space="preserve"> Acta Part B:</w:t>
      </w:r>
      <w:r>
        <w:rPr>
          <w:rFonts w:eastAsia="Times New Roman" w:cs="Times New Roman"/>
          <w:color w:val="000000" w:themeColor="text1"/>
        </w:rPr>
        <w:t xml:space="preserve"> </w:t>
      </w:r>
      <w:r w:rsidRPr="008054F8">
        <w:rPr>
          <w:rFonts w:eastAsia="Times New Roman" w:cs="Times New Roman"/>
          <w:color w:val="000000" w:themeColor="text1"/>
        </w:rPr>
        <w:t xml:space="preserve">Atomic Spectroscopy 186:106309. </w:t>
      </w:r>
      <w:proofErr w:type="spellStart"/>
      <w:r w:rsidRPr="008054F8">
        <w:rPr>
          <w:rFonts w:eastAsia="Times New Roman" w:cs="Times New Roman"/>
          <w:color w:val="000000" w:themeColor="text1"/>
        </w:rPr>
        <w:t>doi</w:t>
      </w:r>
      <w:proofErr w:type="spellEnd"/>
      <w:r w:rsidRPr="008054F8">
        <w:rPr>
          <w:rFonts w:eastAsia="Times New Roman" w:cs="Times New Roman"/>
          <w:color w:val="000000" w:themeColor="text1"/>
        </w:rPr>
        <w:t>: 10.1016/j.sab.2021.106309</w:t>
      </w:r>
    </w:p>
    <w:p w14:paraId="58F1AED1" w14:textId="77777777" w:rsidR="00DE23E8" w:rsidRPr="001549D3" w:rsidRDefault="00DE23E8" w:rsidP="00654E8F">
      <w:pPr>
        <w:spacing w:before="240"/>
      </w:pPr>
    </w:p>
    <w:sectPr w:rsidR="00DE23E8" w:rsidRPr="001549D3" w:rsidSect="0093429D">
      <w:headerReference w:type="even" r:id="rId16"/>
      <w:footerReference w:type="even" r:id="rId17"/>
      <w:footerReference w:type="default" r:id="rId18"/>
      <w:headerReference w:type="first" r:id="rId19"/>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1A52AA" w14:textId="77777777" w:rsidR="00BC4C3B" w:rsidRDefault="00BC4C3B" w:rsidP="00117666">
      <w:pPr>
        <w:spacing w:after="0"/>
      </w:pPr>
      <w:r>
        <w:separator/>
      </w:r>
    </w:p>
  </w:endnote>
  <w:endnote w:type="continuationSeparator" w:id="0">
    <w:p w14:paraId="63B8442C" w14:textId="77777777" w:rsidR="00BC4C3B" w:rsidRDefault="00BC4C3B"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4AB28" w14:textId="77777777" w:rsidR="00E060E4"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E060E4"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0450EDAE">
            <v:shapetype id="_x0000_t202" coordsize="21600,21600" o:spt="202" path="m,l,21600r21600,l21600,xe" w14:anchorId="00A152CD">
              <v:stroke joinstyle="miter"/>
              <v:path gradientshapeok="t" o:connecttype="rect"/>
            </v:shapetype>
            <v:shape id="Text Box 1"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">
              <v:textbox style="mso-fit-shape-to-text:t">
                <w:txbxContent>
                  <w:p w:rsidRPr="00577C4C" w:rsidR="00000000" w:rsidRDefault="00C52A7B" w14:paraId="69ADA923" w14:textId="77777777">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2FF27" w14:textId="77777777" w:rsidR="00E060E4"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E060E4"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5F6CC0D0">
            <v:shapetype id="_x0000_t202" coordsize="21600,21600" o:spt="202" path="m,l,21600r21600,l21600,xe" w14:anchorId="3151A55C">
              <v:stroke joinstyle="miter"/>
              <v:path gradientshapeok="t" o:connecttype="rect"/>
            </v:shapetype>
            <v:shape id="Text Box 56"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">
              <v:textbox style="mso-fit-shape-to-text:t">
                <w:txbxContent>
                  <w:p w:rsidRPr="00577C4C" w:rsidR="00000000" w:rsidRDefault="00C52A7B" w14:paraId="1FF93E19" w14:textId="77777777">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A63C83" w14:textId="77777777" w:rsidR="00BC4C3B" w:rsidRDefault="00BC4C3B" w:rsidP="00117666">
      <w:pPr>
        <w:spacing w:after="0"/>
      </w:pPr>
      <w:r>
        <w:separator/>
      </w:r>
    </w:p>
  </w:footnote>
  <w:footnote w:type="continuationSeparator" w:id="0">
    <w:p w14:paraId="767095FD" w14:textId="77777777" w:rsidR="00BC4C3B" w:rsidRDefault="00BC4C3B"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1EDBA" w14:textId="77777777" w:rsidR="00E060E4"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1A5B" w14:textId="77777777" w:rsidR="00E060E4"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3A72BF"/>
    <w:multiLevelType w:val="hybridMultilevel"/>
    <w:tmpl w:val="45E00F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4"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0"/>
  </w:num>
  <w:num w:numId="2" w16cid:durableId="1683165481">
    <w:abstractNumId w:val="5"/>
  </w:num>
  <w:num w:numId="3" w16cid:durableId="615480040">
    <w:abstractNumId w:val="1"/>
  </w:num>
  <w:num w:numId="4" w16cid:durableId="1566183234">
    <w:abstractNumId w:val="6"/>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4"/>
  </w:num>
  <w:num w:numId="7" w16cid:durableId="1359550598">
    <w:abstractNumId w:val="7"/>
  </w:num>
  <w:num w:numId="8" w16cid:durableId="1559510671">
    <w:abstractNumId w:val="7"/>
  </w:num>
  <w:num w:numId="9" w16cid:durableId="1734543462">
    <w:abstractNumId w:val="7"/>
  </w:num>
  <w:num w:numId="10" w16cid:durableId="708839681">
    <w:abstractNumId w:val="7"/>
  </w:num>
  <w:num w:numId="11" w16cid:durableId="2046978920">
    <w:abstractNumId w:val="7"/>
  </w:num>
  <w:num w:numId="12" w16cid:durableId="2124614653">
    <w:abstractNumId w:val="7"/>
  </w:num>
  <w:num w:numId="13" w16cid:durableId="150105246">
    <w:abstractNumId w:val="4"/>
  </w:num>
  <w:num w:numId="14" w16cid:durableId="515769853">
    <w:abstractNumId w:val="3"/>
  </w:num>
  <w:num w:numId="15" w16cid:durableId="1753046014">
    <w:abstractNumId w:val="3"/>
  </w:num>
  <w:num w:numId="16" w16cid:durableId="665939894">
    <w:abstractNumId w:val="3"/>
  </w:num>
  <w:num w:numId="17" w16cid:durableId="2078749421">
    <w:abstractNumId w:val="3"/>
  </w:num>
  <w:num w:numId="18" w16cid:durableId="825047625">
    <w:abstractNumId w:val="3"/>
  </w:num>
  <w:num w:numId="19" w16cid:durableId="803810417">
    <w:abstractNumId w:val="3"/>
  </w:num>
  <w:num w:numId="20" w16cid:durableId="14297369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436A"/>
    <w:rsid w:val="00034304"/>
    <w:rsid w:val="00035434"/>
    <w:rsid w:val="00052A14"/>
    <w:rsid w:val="00077D53"/>
    <w:rsid w:val="00105FD9"/>
    <w:rsid w:val="00117666"/>
    <w:rsid w:val="001465CB"/>
    <w:rsid w:val="001549D3"/>
    <w:rsid w:val="00160065"/>
    <w:rsid w:val="00177D84"/>
    <w:rsid w:val="001D59B3"/>
    <w:rsid w:val="00267D18"/>
    <w:rsid w:val="002868E2"/>
    <w:rsid w:val="002869C3"/>
    <w:rsid w:val="002936E4"/>
    <w:rsid w:val="002A5D22"/>
    <w:rsid w:val="002B4A57"/>
    <w:rsid w:val="002C74CA"/>
    <w:rsid w:val="003544FB"/>
    <w:rsid w:val="003C3F28"/>
    <w:rsid w:val="003D2D47"/>
    <w:rsid w:val="003D2F2D"/>
    <w:rsid w:val="00401590"/>
    <w:rsid w:val="00424C24"/>
    <w:rsid w:val="00447801"/>
    <w:rsid w:val="00452E9C"/>
    <w:rsid w:val="004735C8"/>
    <w:rsid w:val="004961FF"/>
    <w:rsid w:val="004C29A1"/>
    <w:rsid w:val="00517A89"/>
    <w:rsid w:val="005250F2"/>
    <w:rsid w:val="00556305"/>
    <w:rsid w:val="00593EEA"/>
    <w:rsid w:val="005A5EEE"/>
    <w:rsid w:val="005C34C0"/>
    <w:rsid w:val="00612365"/>
    <w:rsid w:val="006375C7"/>
    <w:rsid w:val="00654E8F"/>
    <w:rsid w:val="00660D05"/>
    <w:rsid w:val="006820B1"/>
    <w:rsid w:val="006B7D14"/>
    <w:rsid w:val="006D476A"/>
    <w:rsid w:val="00701727"/>
    <w:rsid w:val="0070566C"/>
    <w:rsid w:val="00714C50"/>
    <w:rsid w:val="00725A7D"/>
    <w:rsid w:val="007501BE"/>
    <w:rsid w:val="00790BB3"/>
    <w:rsid w:val="007C206C"/>
    <w:rsid w:val="007E4541"/>
    <w:rsid w:val="00803D24"/>
    <w:rsid w:val="008054F8"/>
    <w:rsid w:val="00817DD6"/>
    <w:rsid w:val="008223B1"/>
    <w:rsid w:val="00885156"/>
    <w:rsid w:val="008D5AFE"/>
    <w:rsid w:val="009151AA"/>
    <w:rsid w:val="0093429D"/>
    <w:rsid w:val="00943573"/>
    <w:rsid w:val="00970F7D"/>
    <w:rsid w:val="00994A3D"/>
    <w:rsid w:val="009C2B12"/>
    <w:rsid w:val="009C70F3"/>
    <w:rsid w:val="00A174D9"/>
    <w:rsid w:val="00A569CD"/>
    <w:rsid w:val="00AB0693"/>
    <w:rsid w:val="00AB5EE2"/>
    <w:rsid w:val="00AB6715"/>
    <w:rsid w:val="00AD0F6E"/>
    <w:rsid w:val="00AF2EB0"/>
    <w:rsid w:val="00B1671E"/>
    <w:rsid w:val="00B25EB8"/>
    <w:rsid w:val="00B354E1"/>
    <w:rsid w:val="00B37F4D"/>
    <w:rsid w:val="00BC0CB2"/>
    <w:rsid w:val="00BC4C3B"/>
    <w:rsid w:val="00C52A7B"/>
    <w:rsid w:val="00C56BAF"/>
    <w:rsid w:val="00C679AA"/>
    <w:rsid w:val="00C75972"/>
    <w:rsid w:val="00C86787"/>
    <w:rsid w:val="00C95473"/>
    <w:rsid w:val="00CC0A3A"/>
    <w:rsid w:val="00CD066B"/>
    <w:rsid w:val="00CE4FEE"/>
    <w:rsid w:val="00D81011"/>
    <w:rsid w:val="00D93023"/>
    <w:rsid w:val="00DB59C3"/>
    <w:rsid w:val="00DC259A"/>
    <w:rsid w:val="00DE23E8"/>
    <w:rsid w:val="00E060E4"/>
    <w:rsid w:val="00E52377"/>
    <w:rsid w:val="00E64E17"/>
    <w:rsid w:val="00E66209"/>
    <w:rsid w:val="00E70ADA"/>
    <w:rsid w:val="00E866C9"/>
    <w:rsid w:val="00EA0D89"/>
    <w:rsid w:val="00EA3D3C"/>
    <w:rsid w:val="00EB5564"/>
    <w:rsid w:val="00EC657B"/>
    <w:rsid w:val="00EE6FB4"/>
    <w:rsid w:val="00F46900"/>
    <w:rsid w:val="00F61D89"/>
    <w:rsid w:val="032917F7"/>
    <w:rsid w:val="0528DE63"/>
    <w:rsid w:val="05385A78"/>
    <w:rsid w:val="0672DDB4"/>
    <w:rsid w:val="07AF72CF"/>
    <w:rsid w:val="08DFBDF1"/>
    <w:rsid w:val="0F26E009"/>
    <w:rsid w:val="11AD0C58"/>
    <w:rsid w:val="11B0FCD4"/>
    <w:rsid w:val="13F3EA17"/>
    <w:rsid w:val="1A6AA8E7"/>
    <w:rsid w:val="36D7FC29"/>
    <w:rsid w:val="3BB77E1F"/>
    <w:rsid w:val="43A4B26A"/>
    <w:rsid w:val="43FC4B01"/>
    <w:rsid w:val="49B6FBE1"/>
    <w:rsid w:val="5331F1C7"/>
    <w:rsid w:val="60A869A6"/>
    <w:rsid w:val="6CBE612E"/>
    <w:rsid w:val="6FEE0FDD"/>
    <w:rsid w:val="7D19B3C8"/>
    <w:rsid w:val="7F66DF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 w:type="paragraph" w:customStyle="1" w:styleId="paragraph">
    <w:name w:val="paragraph"/>
    <w:basedOn w:val="Normal"/>
    <w:rsid w:val="00D81011"/>
    <w:pPr>
      <w:spacing w:before="100" w:beforeAutospacing="1" w:after="100" w:afterAutospacing="1"/>
    </w:pPr>
    <w:rPr>
      <w:rFonts w:eastAsia="Times New Roman" w:cs="Times New Roman"/>
      <w:szCs w:val="24"/>
    </w:rPr>
  </w:style>
  <w:style w:type="character" w:customStyle="1" w:styleId="normaltextrun">
    <w:name w:val="normaltextrun"/>
    <w:basedOn w:val="DefaultParagraphFont"/>
    <w:rsid w:val="00D81011"/>
  </w:style>
  <w:style w:type="character" w:customStyle="1" w:styleId="spellingerror">
    <w:name w:val="spellingerror"/>
    <w:basedOn w:val="DefaultParagraphFont"/>
    <w:rsid w:val="00D81011"/>
  </w:style>
  <w:style w:type="character" w:customStyle="1" w:styleId="contextualspellingandgrammarerror">
    <w:name w:val="contextualspellingandgrammarerror"/>
    <w:basedOn w:val="DefaultParagraphFont"/>
    <w:rsid w:val="00D81011"/>
  </w:style>
  <w:style w:type="character" w:customStyle="1" w:styleId="eop">
    <w:name w:val="eop"/>
    <w:basedOn w:val="DefaultParagraphFont"/>
    <w:rsid w:val="00D810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png"/><Relationship Id="rId10" Type="http://schemas.openxmlformats.org/officeDocument/2006/relationships/footnotes" Target="foot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tiff"/></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2.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2.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4.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5.xml><?xml version="1.0" encoding="utf-8"?>
<ds:datastoreItem xmlns:ds="http://schemas.openxmlformats.org/officeDocument/2006/customXml" ds:itemID="{2558679B-78FB-42CD-A1EA-A99096AF5568}">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1</TotalTime>
  <Pages>7</Pages>
  <Words>1531</Words>
  <Characters>8733</Characters>
  <Application>Microsoft Office Word</Application>
  <DocSecurity>0</DocSecurity>
  <Lines>72</Lines>
  <Paragraphs>20</Paragraphs>
  <ScaleCrop>false</ScaleCrop>
  <Company/>
  <LinksUpToDate>false</LinksUpToDate>
  <CharactersWithSpaces>10244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Amy Tighe</cp:lastModifiedBy>
  <cp:revision>4</cp:revision>
  <cp:lastPrinted>2013-10-03T12:51:00Z</cp:lastPrinted>
  <dcterms:created xsi:type="dcterms:W3CDTF">2023-12-14T17:11:00Z</dcterms:created>
  <dcterms:modified xsi:type="dcterms:W3CDTF">2023-12-15T17:09:00Z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