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CC2F51B" w14:textId="13D3820B" w:rsidR="004245D6" w:rsidRPr="001A60B3" w:rsidRDefault="001A60B3" w:rsidP="004245D6">
      <w:pPr>
        <w:pStyle w:val="Title"/>
      </w:pPr>
      <w:r>
        <w:t>Seasonal SIMS δ</w:t>
      </w:r>
      <w:r>
        <w:rPr>
          <w:vertAlign w:val="superscript"/>
        </w:rPr>
        <w:t>18</w:t>
      </w:r>
      <w:r>
        <w:t xml:space="preserve">O record in </w:t>
      </w:r>
      <w:r>
        <w:rPr>
          <w:i/>
          <w:iCs/>
        </w:rPr>
        <w:t xml:space="preserve">Astarte borealis </w:t>
      </w:r>
      <w:r>
        <w:t xml:space="preserve">from the Baltic Sea tracks a modern regime shift in the </w:t>
      </w:r>
      <w:proofErr w:type="gramStart"/>
      <w:r>
        <w:t>NAO</w:t>
      </w:r>
      <w:proofErr w:type="gramEnd"/>
    </w:p>
    <w:p w14:paraId="2AFDB9E7" w14:textId="745F93DC" w:rsidR="004245D6" w:rsidRPr="00A209B7" w:rsidRDefault="004245D6" w:rsidP="004245D6">
      <w:pPr>
        <w:pStyle w:val="AuthorList"/>
      </w:pPr>
      <w:r>
        <w:t>Hunter P. Hughes</w:t>
      </w:r>
      <w:r>
        <w:rPr>
          <w:vertAlign w:val="superscript"/>
        </w:rPr>
        <w:t>*</w:t>
      </w:r>
      <w:r w:rsidRPr="00376CC5">
        <w:t xml:space="preserve">, </w:t>
      </w:r>
      <w:r w:rsidR="001A60B3">
        <w:t>Donna Surge, Ian J. Orland, Michael L. Zettler, David K. Moss</w:t>
      </w:r>
    </w:p>
    <w:p w14:paraId="5D41E827" w14:textId="12751607" w:rsidR="005E04A4" w:rsidRPr="00A60A42" w:rsidRDefault="002868E2" w:rsidP="00A60A42">
      <w:pPr>
        <w:spacing w:before="240" w:after="0"/>
        <w:rPr>
          <w:rFonts w:cs="Times New Roman"/>
          <w:color w:val="0000FF"/>
          <w:u w:val="single"/>
        </w:rPr>
      </w:pPr>
      <w:r w:rsidRPr="00994A3D">
        <w:rPr>
          <w:rFonts w:cs="Times New Roman"/>
          <w:b/>
        </w:rPr>
        <w:t xml:space="preserve">* Correspondence: </w:t>
      </w:r>
      <w:hyperlink r:id="rId12" w:history="1">
        <w:r w:rsidR="00A40802" w:rsidRPr="00E91C43">
          <w:rPr>
            <w:rStyle w:val="Hyperlink"/>
            <w:rFonts w:cs="Times New Roman"/>
          </w:rPr>
          <w:t>hphughes@email.unc.edu</w:t>
        </w:r>
      </w:hyperlink>
    </w:p>
    <w:p w14:paraId="314AC4E4" w14:textId="77777777" w:rsidR="005E04A4" w:rsidRDefault="005E04A4" w:rsidP="001A60B3">
      <w:pPr>
        <w:keepNext/>
        <w:jc w:val="center"/>
      </w:pPr>
    </w:p>
    <w:p w14:paraId="31291AA8" w14:textId="447400AD" w:rsidR="00A40802" w:rsidRDefault="001A60B3" w:rsidP="001A60B3">
      <w:pPr>
        <w:keepNext/>
        <w:jc w:val="center"/>
      </w:pPr>
      <w:r>
        <w:rPr>
          <w:noProof/>
        </w:rPr>
        <w:drawing>
          <wp:inline distT="0" distB="0" distL="0" distR="0" wp14:anchorId="77AAB788" wp14:editId="0E953442">
            <wp:extent cx="6202680" cy="4649470"/>
            <wp:effectExtent l="0" t="0" r="0" b="0"/>
            <wp:docPr id="21056097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B0B4A" w14:textId="0889F514" w:rsidR="00A40802" w:rsidRPr="001A60B3" w:rsidRDefault="00A40802" w:rsidP="00A40802">
      <w:pPr>
        <w:pStyle w:val="Caption"/>
        <w:rPr>
          <w:b w:val="0"/>
          <w:bCs w:val="0"/>
          <w:i/>
          <w:iCs/>
          <w:color w:val="000000" w:themeColor="text1"/>
        </w:rPr>
      </w:pPr>
      <w:r>
        <w:rPr>
          <w:b w:val="0"/>
          <w:bCs w:val="0"/>
          <w:i/>
          <w:iCs/>
        </w:rPr>
        <w:t xml:space="preserve">Supplemental </w:t>
      </w:r>
      <w:r w:rsidRPr="00A40802">
        <w:rPr>
          <w:b w:val="0"/>
          <w:bCs w:val="0"/>
          <w:i/>
          <w:iCs/>
        </w:rPr>
        <w:t xml:space="preserve">Figure </w:t>
      </w:r>
      <w:r w:rsidRPr="00A40802">
        <w:rPr>
          <w:b w:val="0"/>
          <w:bCs w:val="0"/>
          <w:i/>
          <w:iCs/>
        </w:rPr>
        <w:fldChar w:fldCharType="begin"/>
      </w:r>
      <w:r w:rsidRPr="00A40802">
        <w:rPr>
          <w:b w:val="0"/>
          <w:bCs w:val="0"/>
          <w:i/>
          <w:iCs/>
        </w:rPr>
        <w:instrText xml:space="preserve"> SEQ Figure \* ARABIC </w:instrText>
      </w:r>
      <w:r w:rsidRPr="00A40802">
        <w:rPr>
          <w:b w:val="0"/>
          <w:bCs w:val="0"/>
          <w:i/>
          <w:iCs/>
        </w:rPr>
        <w:fldChar w:fldCharType="separate"/>
      </w:r>
      <w:r w:rsidR="00CF4660">
        <w:rPr>
          <w:b w:val="0"/>
          <w:bCs w:val="0"/>
          <w:i/>
          <w:iCs/>
          <w:noProof/>
        </w:rPr>
        <w:t>1</w:t>
      </w:r>
      <w:r w:rsidRPr="00A40802">
        <w:rPr>
          <w:b w:val="0"/>
          <w:bCs w:val="0"/>
          <w:i/>
          <w:iCs/>
        </w:rPr>
        <w:fldChar w:fldCharType="end"/>
      </w:r>
      <w:r w:rsidRPr="00A40802">
        <w:rPr>
          <w:b w:val="0"/>
          <w:bCs w:val="0"/>
          <w:i/>
          <w:iCs/>
        </w:rPr>
        <w:t xml:space="preserve">. </w:t>
      </w:r>
      <w:r w:rsidR="001A60B3">
        <w:rPr>
          <w:b w:val="0"/>
          <w:bCs w:val="0"/>
          <w:i/>
          <w:iCs/>
        </w:rPr>
        <w:t>C</w:t>
      </w:r>
      <w:r w:rsidR="001A60B3" w:rsidRPr="001A60B3">
        <w:rPr>
          <w:b w:val="0"/>
          <w:bCs w:val="0"/>
          <w:i/>
          <w:iCs/>
        </w:rPr>
        <w:t>ross-plot of</w:t>
      </w:r>
      <w:r w:rsidR="001A60B3">
        <w:rPr>
          <w:b w:val="0"/>
          <w:bCs w:val="0"/>
        </w:rPr>
        <w:t xml:space="preserve"> in situ </w:t>
      </w:r>
      <w:r w:rsidR="001A60B3">
        <w:rPr>
          <w:b w:val="0"/>
          <w:bCs w:val="0"/>
          <w:i/>
          <w:iCs/>
        </w:rPr>
        <w:t xml:space="preserve">temperature and salinity measured less than 2 km from where specimen RFP3S-47 </w:t>
      </w:r>
      <w:r w:rsidR="001A60B3" w:rsidRPr="001A60B3">
        <w:rPr>
          <w:b w:val="0"/>
          <w:bCs w:val="0"/>
          <w:i/>
          <w:iCs/>
        </w:rPr>
        <w:t>was collected (54</w:t>
      </w:r>
      <w:r w:rsidR="001A60B3" w:rsidRPr="001A60B3">
        <w:rPr>
          <w:b w:val="0"/>
          <w:bCs w:val="0"/>
          <w:i/>
          <w:iCs/>
          <w:vertAlign w:val="superscript"/>
        </w:rPr>
        <w:t>o</w:t>
      </w:r>
      <w:r w:rsidR="001A60B3" w:rsidRPr="001A60B3">
        <w:rPr>
          <w:b w:val="0"/>
          <w:bCs w:val="0"/>
          <w:i/>
          <w:iCs/>
        </w:rPr>
        <w:t>47’30.</w:t>
      </w:r>
      <w:proofErr w:type="gramStart"/>
      <w:r w:rsidR="001A60B3" w:rsidRPr="001A60B3">
        <w:rPr>
          <w:b w:val="0"/>
          <w:bCs w:val="0"/>
          <w:i/>
          <w:iCs/>
        </w:rPr>
        <w:t>1”N</w:t>
      </w:r>
      <w:proofErr w:type="gramEnd"/>
      <w:r w:rsidR="001A60B3" w:rsidRPr="001A60B3">
        <w:rPr>
          <w:b w:val="0"/>
          <w:bCs w:val="0"/>
          <w:i/>
          <w:iCs/>
        </w:rPr>
        <w:t>, 13</w:t>
      </w:r>
      <w:r w:rsidR="001A60B3" w:rsidRPr="001A60B3">
        <w:rPr>
          <w:b w:val="0"/>
          <w:bCs w:val="0"/>
          <w:i/>
          <w:iCs/>
          <w:vertAlign w:val="superscript"/>
        </w:rPr>
        <w:t>o</w:t>
      </w:r>
      <w:r w:rsidR="001A60B3" w:rsidRPr="001A60B3">
        <w:rPr>
          <w:b w:val="0"/>
          <w:bCs w:val="0"/>
          <w:i/>
          <w:iCs/>
        </w:rPr>
        <w:t>03’29.9”E).</w:t>
      </w:r>
      <w:r w:rsidR="001A60B3">
        <w:rPr>
          <w:b w:val="0"/>
          <w:bCs w:val="0"/>
          <w:i/>
          <w:iCs/>
        </w:rPr>
        <w:t xml:space="preserve"> There is no significant relationship between temperature and salinity (n = 146, r</w:t>
      </w:r>
      <w:r w:rsidR="001A60B3">
        <w:rPr>
          <w:b w:val="0"/>
          <w:bCs w:val="0"/>
          <w:i/>
          <w:iCs/>
          <w:vertAlign w:val="superscript"/>
        </w:rPr>
        <w:t>2</w:t>
      </w:r>
      <w:r w:rsidR="001A60B3">
        <w:rPr>
          <w:b w:val="0"/>
          <w:bCs w:val="0"/>
          <w:i/>
          <w:iCs/>
        </w:rPr>
        <w:t xml:space="preserve"> = 0.02, p = 0.08), indicating that there is no seasonal cycle of salinity at our study site. </w:t>
      </w:r>
    </w:p>
    <w:p w14:paraId="0B2C6C17" w14:textId="4BA08101" w:rsidR="001C08E8" w:rsidRDefault="001C08E8">
      <w:pPr>
        <w:spacing w:before="0" w:after="200" w:line="276" w:lineRule="auto"/>
        <w:rPr>
          <w:rFonts w:cs="Times New Roman"/>
          <w:i/>
          <w:iCs/>
          <w:szCs w:val="24"/>
        </w:rPr>
      </w:pPr>
    </w:p>
    <w:p w14:paraId="6171C558" w14:textId="6729F609" w:rsidR="00FE2245" w:rsidRPr="001C6A4B" w:rsidRDefault="00FE2245" w:rsidP="00FE2245">
      <w:pPr>
        <w:pStyle w:val="Caption"/>
        <w:rPr>
          <w:i/>
          <w:iCs/>
        </w:rPr>
      </w:pPr>
      <w:r w:rsidRPr="00FE2245">
        <w:rPr>
          <w:b w:val="0"/>
          <w:bCs w:val="0"/>
          <w:i/>
          <w:iCs/>
        </w:rPr>
        <w:lastRenderedPageBreak/>
        <w:t xml:space="preserve">Supplemental Table </w:t>
      </w:r>
      <w:r w:rsidRPr="00FE2245">
        <w:rPr>
          <w:b w:val="0"/>
          <w:bCs w:val="0"/>
          <w:i/>
          <w:iCs/>
        </w:rPr>
        <w:fldChar w:fldCharType="begin"/>
      </w:r>
      <w:r w:rsidRPr="00FE2245">
        <w:rPr>
          <w:b w:val="0"/>
          <w:bCs w:val="0"/>
          <w:i/>
          <w:iCs/>
        </w:rPr>
        <w:instrText xml:space="preserve"> SEQ Table \* ARABIC </w:instrText>
      </w:r>
      <w:r w:rsidRPr="00FE2245">
        <w:rPr>
          <w:b w:val="0"/>
          <w:bCs w:val="0"/>
          <w:i/>
          <w:iCs/>
        </w:rPr>
        <w:fldChar w:fldCharType="separate"/>
      </w:r>
      <w:r w:rsidRPr="00FE2245">
        <w:rPr>
          <w:b w:val="0"/>
          <w:bCs w:val="0"/>
          <w:i/>
          <w:iCs/>
          <w:noProof/>
        </w:rPr>
        <w:t>1</w:t>
      </w:r>
      <w:r w:rsidRPr="00FE2245">
        <w:rPr>
          <w:b w:val="0"/>
          <w:bCs w:val="0"/>
          <w:i/>
          <w:iCs/>
        </w:rPr>
        <w:fldChar w:fldCharType="end"/>
      </w:r>
      <w:r w:rsidRPr="00FE2245">
        <w:rPr>
          <w:b w:val="0"/>
          <w:bCs w:val="0"/>
          <w:i/>
          <w:iCs/>
        </w:rPr>
        <w:t xml:space="preserve">. </w:t>
      </w:r>
      <w:r w:rsidR="001C6A4B">
        <w:rPr>
          <w:b w:val="0"/>
          <w:bCs w:val="0"/>
          <w:i/>
          <w:iCs/>
        </w:rPr>
        <w:t xml:space="preserve">P-values from Mann-Whitney tests applied to four different </w:t>
      </w:r>
      <w:r w:rsidR="0063378F">
        <w:rPr>
          <w:b w:val="0"/>
          <w:bCs w:val="0"/>
          <w:i/>
          <w:iCs/>
        </w:rPr>
        <w:t>subsets</w:t>
      </w:r>
      <w:r w:rsidR="001C6A4B">
        <w:rPr>
          <w:b w:val="0"/>
          <w:bCs w:val="0"/>
          <w:i/>
          <w:iCs/>
        </w:rPr>
        <w:t xml:space="preserve"> of the </w:t>
      </w:r>
      <w:proofErr w:type="gramStart"/>
      <w:r w:rsidR="001C6A4B">
        <w:rPr>
          <w:b w:val="0"/>
          <w:bCs w:val="0"/>
        </w:rPr>
        <w:t>in situ</w:t>
      </w:r>
      <w:proofErr w:type="gramEnd"/>
      <w:r w:rsidR="001C6A4B">
        <w:rPr>
          <w:b w:val="0"/>
          <w:bCs w:val="0"/>
        </w:rPr>
        <w:t xml:space="preserve"> </w:t>
      </w:r>
      <w:r w:rsidR="001C6A4B">
        <w:rPr>
          <w:b w:val="0"/>
          <w:bCs w:val="0"/>
          <w:i/>
          <w:iCs/>
        </w:rPr>
        <w:t>salinity dataset. ‘Cold’ (‘Warm’) represents salinities where temperatures were below (above) the median temperature value</w:t>
      </w:r>
      <w:r w:rsidR="001C08E8">
        <w:rPr>
          <w:b w:val="0"/>
          <w:bCs w:val="0"/>
          <w:i/>
          <w:iCs/>
        </w:rPr>
        <w:t xml:space="preserve">. ‘DJFM’ represents salinities collected in December, January, February, and March. ‘JJAS’ represents salinities collected in June, July, August, and September. The sample size for each dataset is as follows: Cold = 73, Warm = 73, DJFM = 63, JJAS = 30. </w:t>
      </w:r>
    </w:p>
    <w:tbl>
      <w:tblPr>
        <w:tblStyle w:val="ListTable6Colorful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950"/>
        <w:gridCol w:w="1950"/>
        <w:gridCol w:w="1950"/>
        <w:gridCol w:w="1951"/>
      </w:tblGrid>
      <w:tr w:rsidR="00067DE8" w:rsidRPr="00626A26" w14:paraId="74A8B8BF" w14:textId="77777777" w:rsidTr="0080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97C66" w14:textId="14B27D0D" w:rsidR="00067DE8" w:rsidRPr="00067DE8" w:rsidRDefault="00067DE8" w:rsidP="00C55B22">
            <w:pPr>
              <w:rPr>
                <w:rFonts w:cs="Times New Roman"/>
                <w:bCs w:val="0"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 w:val="0"/>
                <w:i/>
                <w:iCs/>
                <w:sz w:val="20"/>
                <w:szCs w:val="20"/>
              </w:rPr>
              <w:t xml:space="preserve">Mann-Whitney Test </w:t>
            </w:r>
            <w:r w:rsidRPr="00067DE8">
              <w:rPr>
                <w:rFonts w:cs="Times New Roman"/>
                <w:bCs w:val="0"/>
                <w:i/>
                <w:iCs/>
                <w:sz w:val="20"/>
                <w:szCs w:val="20"/>
              </w:rPr>
              <w:t>p-value</w:t>
            </w:r>
            <w:r>
              <w:rPr>
                <w:rFonts w:cs="Times New Roman"/>
                <w:bCs w:val="0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1650C3" w14:textId="5E149BD2" w:rsidR="00067DE8" w:rsidRPr="000105A3" w:rsidRDefault="00067DE8" w:rsidP="003D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Cold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251E7B" w14:textId="539DE580" w:rsidR="00067DE8" w:rsidRPr="000105A3" w:rsidRDefault="00067DE8" w:rsidP="003D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Warm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0F461F" w14:textId="0EEC08BC" w:rsidR="00067DE8" w:rsidRPr="000105A3" w:rsidRDefault="00067DE8" w:rsidP="003D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DJFM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D0D63" w14:textId="677B701D" w:rsidR="00067DE8" w:rsidRPr="000105A3" w:rsidRDefault="00067DE8" w:rsidP="003D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JJAS</w:t>
            </w:r>
          </w:p>
        </w:tc>
      </w:tr>
      <w:tr w:rsidR="00067DE8" w14:paraId="2BED8F57" w14:textId="77777777" w:rsidTr="0080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461A4" w14:textId="5D0F7C76" w:rsidR="00067DE8" w:rsidRPr="00067DE8" w:rsidRDefault="00067DE8" w:rsidP="00C55B22">
            <w:pPr>
              <w:rPr>
                <w:rFonts w:cs="Times New Roman"/>
                <w:bCs w:val="0"/>
                <w:sz w:val="20"/>
                <w:szCs w:val="20"/>
              </w:rPr>
            </w:pPr>
            <w:r w:rsidRPr="00067DE8">
              <w:rPr>
                <w:rFonts w:cs="Times New Roman"/>
                <w:bCs w:val="0"/>
                <w:sz w:val="20"/>
                <w:szCs w:val="20"/>
              </w:rPr>
              <w:t>Cold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D678D" w14:textId="4ED44383" w:rsidR="00067DE8" w:rsidRPr="00067DE8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067DE8">
              <w:rPr>
                <w:rFonts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2FEA714D" w14:textId="754B24C0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50097229" w14:textId="5095ADD4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6D6AE9" w14:textId="6E972EF5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67DE8" w14:paraId="69EE9F58" w14:textId="77777777" w:rsidTr="0080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53F78" w14:textId="6EC18EB0" w:rsidR="00067DE8" w:rsidRPr="000105A3" w:rsidRDefault="00067DE8" w:rsidP="00C55B22">
            <w:pPr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Warm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60B4B0" w14:textId="215D4924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7009277" w14:textId="66486448" w:rsidR="00067DE8" w:rsidRPr="00067DE8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067DE8">
              <w:rPr>
                <w:rFonts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0BFFA07F" w14:textId="192F62FA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BCE3A1" w14:textId="6727666B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67DE8" w14:paraId="1797F5F3" w14:textId="77777777" w:rsidTr="0080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D368" w14:textId="197E28D5" w:rsidR="00067DE8" w:rsidRPr="00067DE8" w:rsidRDefault="00067DE8" w:rsidP="00C55B22">
            <w:pPr>
              <w:rPr>
                <w:rFonts w:cs="Times New Roman"/>
                <w:bCs w:val="0"/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t>DJFM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auto"/>
          </w:tcPr>
          <w:p w14:paraId="4AB1E77D" w14:textId="65D05C64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1950" w:type="dxa"/>
            <w:shd w:val="clear" w:color="auto" w:fill="auto"/>
          </w:tcPr>
          <w:p w14:paraId="260A94C9" w14:textId="4C254D78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0.43</w:t>
            </w:r>
          </w:p>
        </w:tc>
        <w:tc>
          <w:tcPr>
            <w:tcW w:w="1950" w:type="dxa"/>
            <w:shd w:val="clear" w:color="auto" w:fill="auto"/>
          </w:tcPr>
          <w:p w14:paraId="7EFA9C7C" w14:textId="77F002C4" w:rsidR="00067DE8" w:rsidRPr="00067DE8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  <w:szCs w:val="20"/>
              </w:rPr>
            </w:pPr>
            <w:r w:rsidRPr="00067DE8">
              <w:rPr>
                <w:rFonts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F524D76" w14:textId="44C3B5F7" w:rsidR="00067DE8" w:rsidRPr="000105A3" w:rsidRDefault="00067DE8" w:rsidP="0080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67DE8" w14:paraId="59436581" w14:textId="77777777" w:rsidTr="0080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31DDB" w14:textId="6BB32B2F" w:rsidR="00067DE8" w:rsidRPr="00067DE8" w:rsidRDefault="00067DE8" w:rsidP="00C55B22">
            <w:pPr>
              <w:rPr>
                <w:rFonts w:cs="Times New Roman"/>
                <w:bCs w:val="0"/>
                <w:sz w:val="20"/>
                <w:szCs w:val="20"/>
              </w:rPr>
            </w:pPr>
            <w:r w:rsidRPr="00067DE8">
              <w:rPr>
                <w:rFonts w:cs="Times New Roman"/>
                <w:bCs w:val="0"/>
                <w:sz w:val="20"/>
                <w:szCs w:val="20"/>
              </w:rPr>
              <w:t>JJAS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5D2556" w14:textId="48C70A6A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0.81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6E38B8" w14:textId="482A9ABA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0105A3">
              <w:rPr>
                <w:rFonts w:cs="Times New Roman"/>
                <w:sz w:val="20"/>
                <w:szCs w:val="20"/>
              </w:rPr>
              <w:t>0.1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2DAF0" w14:textId="34B3F793" w:rsidR="00067DE8" w:rsidRPr="000105A3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5F8D5" w14:textId="214FB381" w:rsidR="00067DE8" w:rsidRPr="00067DE8" w:rsidRDefault="00067DE8" w:rsidP="008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067DE8">
              <w:rPr>
                <w:rFonts w:cs="Times New Roman"/>
                <w:b/>
                <w:sz w:val="20"/>
                <w:szCs w:val="20"/>
              </w:rPr>
              <w:t>1.00</w:t>
            </w:r>
          </w:p>
        </w:tc>
      </w:tr>
    </w:tbl>
    <w:p w14:paraId="72701F6E" w14:textId="77777777" w:rsidR="00715FEC" w:rsidRDefault="00715FEC" w:rsidP="00BB4CB8"/>
    <w:p w14:paraId="3D54BC74" w14:textId="77777777" w:rsidR="00CF4660" w:rsidRDefault="00CF4660" w:rsidP="00CF4660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522D3CE9" wp14:editId="6664F046">
            <wp:extent cx="6198946" cy="4648200"/>
            <wp:effectExtent l="0" t="0" r="0" b="0"/>
            <wp:docPr id="777456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56193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46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AB66E" w14:textId="7D549066" w:rsidR="00FE2245" w:rsidRPr="00BD66BB" w:rsidRDefault="00CF4660" w:rsidP="00CF4660">
      <w:pPr>
        <w:pStyle w:val="Caption"/>
        <w:rPr>
          <w:b w:val="0"/>
          <w:bCs w:val="0"/>
          <w:i/>
          <w:iCs/>
        </w:rPr>
      </w:pPr>
      <w:r w:rsidRPr="00BD66BB">
        <w:rPr>
          <w:b w:val="0"/>
          <w:bCs w:val="0"/>
          <w:i/>
          <w:iCs/>
        </w:rPr>
        <w:t>Figure S</w:t>
      </w:r>
      <w:r w:rsidRPr="00BD66BB">
        <w:rPr>
          <w:b w:val="0"/>
          <w:bCs w:val="0"/>
          <w:i/>
          <w:iCs/>
        </w:rPr>
        <w:fldChar w:fldCharType="begin"/>
      </w:r>
      <w:r w:rsidRPr="00BD66BB">
        <w:rPr>
          <w:b w:val="0"/>
          <w:bCs w:val="0"/>
          <w:i/>
          <w:iCs/>
        </w:rPr>
        <w:instrText xml:space="preserve"> SEQ Figure \* ARABIC </w:instrText>
      </w:r>
      <w:r w:rsidRPr="00BD66BB">
        <w:rPr>
          <w:b w:val="0"/>
          <w:bCs w:val="0"/>
          <w:i/>
          <w:iCs/>
        </w:rPr>
        <w:fldChar w:fldCharType="separate"/>
      </w:r>
      <w:r w:rsidRPr="00BD66BB">
        <w:rPr>
          <w:b w:val="0"/>
          <w:bCs w:val="0"/>
          <w:i/>
          <w:iCs/>
          <w:noProof/>
        </w:rPr>
        <w:t>2</w:t>
      </w:r>
      <w:r w:rsidRPr="00BD66BB">
        <w:rPr>
          <w:b w:val="0"/>
          <w:bCs w:val="0"/>
          <w:i/>
          <w:iCs/>
        </w:rPr>
        <w:fldChar w:fldCharType="end"/>
      </w:r>
      <w:r w:rsidRPr="00BD66BB">
        <w:rPr>
          <w:b w:val="0"/>
          <w:bCs w:val="0"/>
          <w:i/>
          <w:iCs/>
        </w:rPr>
        <w:t xml:space="preserve">. </w:t>
      </w:r>
      <w:r w:rsidRPr="00BD66BB">
        <w:rPr>
          <w:b w:val="0"/>
          <w:bCs w:val="0"/>
          <w:i/>
          <w:iCs/>
          <w:color w:val="000000" w:themeColor="text1"/>
        </w:rPr>
        <w:t xml:space="preserve">Lagged correlation analysis between </w:t>
      </w:r>
      <w:r w:rsidRPr="00BD66BB">
        <w:rPr>
          <w:b w:val="0"/>
          <w:bCs w:val="0"/>
          <w:i/>
          <w:iCs/>
          <w:color w:val="000000" w:themeColor="text1"/>
        </w:rPr>
        <w:t xml:space="preserve">yearly-averaged </w:t>
      </w:r>
      <w:r w:rsidRPr="00BD66BB">
        <w:rPr>
          <w:b w:val="0"/>
          <w:bCs w:val="0"/>
          <w:i/>
          <w:iCs/>
          <w:color w:val="000000" w:themeColor="text1"/>
        </w:rPr>
        <w:t>SIMS δ</w:t>
      </w:r>
      <w:r w:rsidRPr="00BD66BB">
        <w:rPr>
          <w:b w:val="0"/>
          <w:bCs w:val="0"/>
          <w:i/>
          <w:iCs/>
          <w:color w:val="000000" w:themeColor="text1"/>
          <w:vertAlign w:val="superscript"/>
        </w:rPr>
        <w:t>18</w:t>
      </w:r>
      <w:r w:rsidRPr="00BD66BB">
        <w:rPr>
          <w:b w:val="0"/>
          <w:bCs w:val="0"/>
          <w:i/>
          <w:iCs/>
          <w:color w:val="000000" w:themeColor="text1"/>
        </w:rPr>
        <w:t>O</w:t>
      </w:r>
      <w:r w:rsidRPr="00BD66BB">
        <w:rPr>
          <w:b w:val="0"/>
          <w:bCs w:val="0"/>
          <w:i/>
          <w:iCs/>
          <w:color w:val="000000" w:themeColor="text1"/>
          <w:vertAlign w:val="subscript"/>
        </w:rPr>
        <w:t>shell</w:t>
      </w:r>
      <w:r w:rsidRPr="00BD66BB">
        <w:rPr>
          <w:b w:val="0"/>
          <w:bCs w:val="0"/>
          <w:i/>
          <w:iCs/>
          <w:color w:val="000000" w:themeColor="text1"/>
        </w:rPr>
        <w:t xml:space="preserve"> values and</w:t>
      </w:r>
      <w:r w:rsidRPr="00BD66BB">
        <w:rPr>
          <w:b w:val="0"/>
          <w:bCs w:val="0"/>
          <w:i/>
          <w:iCs/>
          <w:color w:val="000000" w:themeColor="text1"/>
        </w:rPr>
        <w:t xml:space="preserve"> </w:t>
      </w:r>
      <w:r w:rsidRPr="00BD66BB">
        <w:rPr>
          <w:b w:val="0"/>
          <w:bCs w:val="0"/>
          <w:color w:val="000000" w:themeColor="text1"/>
        </w:rPr>
        <w:t>in situ</w:t>
      </w:r>
      <w:r w:rsidRPr="00BD66BB">
        <w:rPr>
          <w:b w:val="0"/>
          <w:bCs w:val="0"/>
          <w:i/>
          <w:iCs/>
          <w:color w:val="000000" w:themeColor="text1"/>
        </w:rPr>
        <w:t xml:space="preserve"> salinity</w:t>
      </w:r>
      <w:r w:rsidRPr="00BD66BB">
        <w:rPr>
          <w:b w:val="0"/>
          <w:bCs w:val="0"/>
          <w:i/>
          <w:iCs/>
          <w:color w:val="000000" w:themeColor="text1"/>
        </w:rPr>
        <w:t xml:space="preserve">. The x-axis values represent the number of years that </w:t>
      </w:r>
      <w:r w:rsidRPr="00BD66BB">
        <w:rPr>
          <w:b w:val="0"/>
          <w:bCs w:val="0"/>
          <w:i/>
          <w:iCs/>
          <w:color w:val="000000" w:themeColor="text1"/>
        </w:rPr>
        <w:t>salinity</w:t>
      </w:r>
      <w:r w:rsidRPr="00BD66BB">
        <w:rPr>
          <w:b w:val="0"/>
          <w:bCs w:val="0"/>
          <w:i/>
          <w:iCs/>
          <w:color w:val="000000" w:themeColor="text1"/>
        </w:rPr>
        <w:t xml:space="preserve"> lags SIMS δ</w:t>
      </w:r>
      <w:r w:rsidRPr="00BD66BB">
        <w:rPr>
          <w:b w:val="0"/>
          <w:bCs w:val="0"/>
          <w:i/>
          <w:iCs/>
          <w:color w:val="000000" w:themeColor="text1"/>
          <w:vertAlign w:val="superscript"/>
        </w:rPr>
        <w:t>18</w:t>
      </w:r>
      <w:r w:rsidRPr="00BD66BB">
        <w:rPr>
          <w:b w:val="0"/>
          <w:bCs w:val="0"/>
          <w:i/>
          <w:iCs/>
          <w:color w:val="000000" w:themeColor="text1"/>
        </w:rPr>
        <w:t>O</w:t>
      </w:r>
      <w:r w:rsidRPr="00BD66BB">
        <w:rPr>
          <w:b w:val="0"/>
          <w:bCs w:val="0"/>
          <w:i/>
          <w:iCs/>
          <w:color w:val="000000" w:themeColor="text1"/>
          <w:vertAlign w:val="subscript"/>
        </w:rPr>
        <w:t>shell</w:t>
      </w:r>
      <w:r w:rsidRPr="00BD66BB">
        <w:rPr>
          <w:b w:val="0"/>
          <w:bCs w:val="0"/>
          <w:i/>
          <w:iCs/>
          <w:color w:val="000000" w:themeColor="text1"/>
        </w:rPr>
        <w:t xml:space="preserve"> values. The red-dotted lines (r = ± 0</w:t>
      </w:r>
      <w:r w:rsidR="00AA2ECE" w:rsidRPr="00BD66BB">
        <w:rPr>
          <w:b w:val="0"/>
          <w:bCs w:val="0"/>
          <w:i/>
          <w:iCs/>
          <w:color w:val="000000" w:themeColor="text1"/>
        </w:rPr>
        <w:t>.28</w:t>
      </w:r>
      <w:r w:rsidRPr="00BD66BB">
        <w:rPr>
          <w:b w:val="0"/>
          <w:bCs w:val="0"/>
          <w:i/>
          <w:iCs/>
          <w:color w:val="000000" w:themeColor="text1"/>
        </w:rPr>
        <w:t xml:space="preserve">) indicate the point at which the correlation becomes significant at the 95% confidence level </w:t>
      </w:r>
      <w:r w:rsidRPr="00BD66BB">
        <w:rPr>
          <w:b w:val="0"/>
          <w:bCs w:val="0"/>
          <w:i/>
          <w:iCs/>
          <w:color w:val="000000" w:themeColor="text1"/>
        </w:rPr>
        <w:fldChar w:fldCharType="begin"/>
      </w:r>
      <w:r w:rsidRPr="00BD66BB">
        <w:rPr>
          <w:b w:val="0"/>
          <w:bCs w:val="0"/>
          <w:i/>
          <w:iCs/>
          <w:color w:val="000000" w:themeColor="text1"/>
        </w:rPr>
        <w:instrText xml:space="preserve"> ADDIN EN.CITE &lt;EndNote&gt;&lt;Cite&gt;&lt;Author&gt;Hu&lt;/Author&gt;&lt;Year&gt;2017&lt;/Year&gt;&lt;RecNum&gt;732&lt;/RecNum&gt;&lt;DisplayText&gt;(Hu et al., 2017)&lt;/DisplayText&gt;&lt;record&gt;&lt;rec-number&gt;732&lt;/rec-number&gt;&lt;foreign-keys&gt;&lt;key app="EN" db-id="ap92v52v3as9vrederpxe2wov25et2dfssd9" timestamp="1621430228"&gt;732&lt;/key&gt;&lt;/foreign-keys&gt;&lt;ref-type name="Journal Article"&gt;17&lt;/ref-type&gt;&lt;contributors&gt;&lt;authors&gt;&lt;author&gt;Hu, Jun&lt;/author&gt;&lt;author&gt;Emile-Geay, Julien&lt;/author&gt;&lt;author&gt;Partin, Judson&lt;/author&gt;&lt;/authors&gt;&lt;/contributors&gt;&lt;titles&gt;&lt;title&gt;Correlation-based interpretations of paleoclimate data–where statistics meet past climates&lt;/title&gt;&lt;secondary-title&gt;Earth Planet. Sc. Lett.&lt;/secondary-title&gt;&lt;/titles&gt;&lt;periodical&gt;&lt;full-title&gt;Earth Planet. Sc. Lett.&lt;/full-title&gt;&lt;/periodical&gt;&lt;pages&gt;362-371&lt;/pages&gt;&lt;volume&gt;459&lt;/volume&gt;&lt;dates&gt;&lt;year&gt;2017&lt;/year&gt;&lt;/dates&gt;&lt;publisher&gt;Elsevier&lt;/publisher&gt;&lt;urls&gt;&lt;/urls&gt;&lt;electronic-resource-num&gt;10.1016/j.epsl.2016.11.048&lt;/electronic-resource-num&gt;&lt;research-notes&gt;Three typical issues that paleoclimate data has with statistics:&amp;#xD;- Serial Correlation - The fact that one season/year/decade is similar to the next effectively makes them dependent samples and lowers your degrees of freedom.&amp;#xD;- Multiplicity - The fact that if you look at a wide enough area, you&amp;apos;re bound to find a correlation somewhere.&amp;#xD;- Age Uncertainty - Can drastically affect your statistics.&amp;#xD;&amp;#xD;* Additionally non-normal distributions.&amp;#xD;&amp;#xD;Paper goes over ways to deal with this.&lt;/research-notes&gt;&lt;/record&gt;&lt;/Cite&gt;&lt;/EndNote&gt;</w:instrText>
      </w:r>
      <w:r w:rsidRPr="00BD66BB">
        <w:rPr>
          <w:b w:val="0"/>
          <w:bCs w:val="0"/>
          <w:i/>
          <w:iCs/>
          <w:color w:val="000000" w:themeColor="text1"/>
        </w:rPr>
        <w:fldChar w:fldCharType="separate"/>
      </w:r>
      <w:r w:rsidRPr="00BD66BB">
        <w:rPr>
          <w:b w:val="0"/>
          <w:bCs w:val="0"/>
          <w:i/>
          <w:iCs/>
          <w:noProof/>
          <w:color w:val="000000" w:themeColor="text1"/>
        </w:rPr>
        <w:t>(Hu et al., 2017)</w:t>
      </w:r>
      <w:r w:rsidRPr="00BD66BB">
        <w:rPr>
          <w:b w:val="0"/>
          <w:bCs w:val="0"/>
          <w:i/>
          <w:iCs/>
          <w:color w:val="000000" w:themeColor="text1"/>
        </w:rPr>
        <w:fldChar w:fldCharType="end"/>
      </w:r>
    </w:p>
    <w:sectPr w:rsidR="00FE2245" w:rsidRPr="00BD66BB" w:rsidSect="0093429D">
      <w:headerReference w:type="even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6FC1" w14:textId="77777777" w:rsidR="00740B02" w:rsidRDefault="00740B02" w:rsidP="00117666">
      <w:pPr>
        <w:spacing w:after="0"/>
      </w:pPr>
      <w:r>
        <w:separator/>
      </w:r>
    </w:p>
  </w:endnote>
  <w:endnote w:type="continuationSeparator" w:id="0">
    <w:p w14:paraId="4A307673" w14:textId="77777777" w:rsidR="00740B02" w:rsidRDefault="00740B0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0630C8B4" w:rsidR="0048774C" w:rsidRPr="00577C4C" w:rsidRDefault="00000000">
    <w:pPr>
      <w:rPr>
        <w:color w:val="C00000"/>
        <w:szCs w:val="24"/>
      </w:rPr>
    </w:pPr>
    <w:r>
      <w:rPr>
        <w:noProof/>
      </w:rPr>
      <w:pict w14:anchorId="396534A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38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<v:textbox style="mso-fit-shape-to-text:t">
            <w:txbxContent>
              <w:p w14:paraId="4D054D26" w14:textId="77777777" w:rsidR="0048774C" w:rsidRPr="00577C4C" w:rsidRDefault="00C52A7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2B4A57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41A34730" w:rsidR="0048774C" w:rsidRPr="00577C4C" w:rsidRDefault="00000000">
    <w:pPr>
      <w:rPr>
        <w:b/>
        <w:sz w:val="20"/>
        <w:szCs w:val="24"/>
      </w:rPr>
    </w:pPr>
    <w:r>
      <w:rPr>
        <w:noProof/>
      </w:rPr>
      <w:pict w14:anchorId="3FCFA328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1025" type="#_x0000_t202" style="position:absolute;margin-left:338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<v:textbox style="mso-fit-shape-to-text:t">
            <w:txbxContent>
              <w:p w14:paraId="085E15EB" w14:textId="77777777" w:rsidR="0048774C" w:rsidRPr="00577C4C" w:rsidRDefault="00C52A7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0057" w14:textId="77777777" w:rsidR="00740B02" w:rsidRDefault="00740B02" w:rsidP="00117666">
      <w:pPr>
        <w:spacing w:after="0"/>
      </w:pPr>
      <w:r>
        <w:separator/>
      </w:r>
    </w:p>
  </w:footnote>
  <w:footnote w:type="continuationSeparator" w:id="0">
    <w:p w14:paraId="28455B2C" w14:textId="77777777" w:rsidR="00740B02" w:rsidRDefault="00740B0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48774C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48774C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821115517">
    <w:abstractNumId w:val="0"/>
  </w:num>
  <w:num w:numId="2" w16cid:durableId="1683165481">
    <w:abstractNumId w:val="4"/>
  </w:num>
  <w:num w:numId="3" w16cid:durableId="615480040">
    <w:abstractNumId w:val="1"/>
  </w:num>
  <w:num w:numId="4" w16cid:durableId="1566183234">
    <w:abstractNumId w:val="5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3"/>
  </w:num>
  <w:num w:numId="7" w16cid:durableId="1359550598">
    <w:abstractNumId w:val="6"/>
  </w:num>
  <w:num w:numId="8" w16cid:durableId="1559510671">
    <w:abstractNumId w:val="6"/>
  </w:num>
  <w:num w:numId="9" w16cid:durableId="1734543462">
    <w:abstractNumId w:val="6"/>
  </w:num>
  <w:num w:numId="10" w16cid:durableId="708839681">
    <w:abstractNumId w:val="6"/>
  </w:num>
  <w:num w:numId="11" w16cid:durableId="2046978920">
    <w:abstractNumId w:val="6"/>
  </w:num>
  <w:num w:numId="12" w16cid:durableId="2124614653">
    <w:abstractNumId w:val="6"/>
  </w:num>
  <w:num w:numId="13" w16cid:durableId="150105246">
    <w:abstractNumId w:val="3"/>
  </w:num>
  <w:num w:numId="14" w16cid:durableId="515769853">
    <w:abstractNumId w:val="2"/>
  </w:num>
  <w:num w:numId="15" w16cid:durableId="1753046014">
    <w:abstractNumId w:val="2"/>
  </w:num>
  <w:num w:numId="16" w16cid:durableId="665939894">
    <w:abstractNumId w:val="2"/>
  </w:num>
  <w:num w:numId="17" w16cid:durableId="2078749421">
    <w:abstractNumId w:val="2"/>
  </w:num>
  <w:num w:numId="18" w16cid:durableId="825047625">
    <w:abstractNumId w:val="2"/>
  </w:num>
  <w:num w:numId="19" w16cid:durableId="80381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D24"/>
    <w:rsid w:val="0001436A"/>
    <w:rsid w:val="00034304"/>
    <w:rsid w:val="00035434"/>
    <w:rsid w:val="00052A14"/>
    <w:rsid w:val="00067DE8"/>
    <w:rsid w:val="00077D53"/>
    <w:rsid w:val="00105FD9"/>
    <w:rsid w:val="00117666"/>
    <w:rsid w:val="001549D3"/>
    <w:rsid w:val="00155294"/>
    <w:rsid w:val="00160065"/>
    <w:rsid w:val="00177D84"/>
    <w:rsid w:val="001A60B3"/>
    <w:rsid w:val="001C08E8"/>
    <w:rsid w:val="001C6A4B"/>
    <w:rsid w:val="001D19F8"/>
    <w:rsid w:val="00243E29"/>
    <w:rsid w:val="00267D18"/>
    <w:rsid w:val="002868E2"/>
    <w:rsid w:val="002869C3"/>
    <w:rsid w:val="002936E4"/>
    <w:rsid w:val="002B4A57"/>
    <w:rsid w:val="002C74CA"/>
    <w:rsid w:val="00346988"/>
    <w:rsid w:val="003544FB"/>
    <w:rsid w:val="003D0A61"/>
    <w:rsid w:val="003D2F2D"/>
    <w:rsid w:val="003E17E1"/>
    <w:rsid w:val="003E5A3F"/>
    <w:rsid w:val="00401590"/>
    <w:rsid w:val="004245D6"/>
    <w:rsid w:val="00447801"/>
    <w:rsid w:val="00452E9C"/>
    <w:rsid w:val="004735C8"/>
    <w:rsid w:val="0048774C"/>
    <w:rsid w:val="004961FF"/>
    <w:rsid w:val="004B7DCA"/>
    <w:rsid w:val="00517A89"/>
    <w:rsid w:val="005250F2"/>
    <w:rsid w:val="005445D7"/>
    <w:rsid w:val="005648FE"/>
    <w:rsid w:val="00593EEA"/>
    <w:rsid w:val="005A5EEE"/>
    <w:rsid w:val="005E04A4"/>
    <w:rsid w:val="0063378F"/>
    <w:rsid w:val="006375C7"/>
    <w:rsid w:val="00654E8F"/>
    <w:rsid w:val="00660D05"/>
    <w:rsid w:val="006820B1"/>
    <w:rsid w:val="006B1A8B"/>
    <w:rsid w:val="006B7D14"/>
    <w:rsid w:val="00701727"/>
    <w:rsid w:val="0070566C"/>
    <w:rsid w:val="00714C50"/>
    <w:rsid w:val="00715FEC"/>
    <w:rsid w:val="00717BF3"/>
    <w:rsid w:val="00725A7D"/>
    <w:rsid w:val="00740B02"/>
    <w:rsid w:val="007501BE"/>
    <w:rsid w:val="00790BB3"/>
    <w:rsid w:val="007C206C"/>
    <w:rsid w:val="007E5B31"/>
    <w:rsid w:val="00803D24"/>
    <w:rsid w:val="008050F9"/>
    <w:rsid w:val="00817DD6"/>
    <w:rsid w:val="00885156"/>
    <w:rsid w:val="008D6A0E"/>
    <w:rsid w:val="009151AA"/>
    <w:rsid w:val="0093429D"/>
    <w:rsid w:val="00943573"/>
    <w:rsid w:val="00970F7D"/>
    <w:rsid w:val="00994A3D"/>
    <w:rsid w:val="009C2B12"/>
    <w:rsid w:val="009C70F3"/>
    <w:rsid w:val="009D5C8B"/>
    <w:rsid w:val="009F728E"/>
    <w:rsid w:val="00A174D9"/>
    <w:rsid w:val="00A3462E"/>
    <w:rsid w:val="00A40802"/>
    <w:rsid w:val="00A569CD"/>
    <w:rsid w:val="00A60A42"/>
    <w:rsid w:val="00A9435B"/>
    <w:rsid w:val="00AA2ECE"/>
    <w:rsid w:val="00AB6715"/>
    <w:rsid w:val="00B1671E"/>
    <w:rsid w:val="00B25EB8"/>
    <w:rsid w:val="00B354E1"/>
    <w:rsid w:val="00B37F4D"/>
    <w:rsid w:val="00BB4CB8"/>
    <w:rsid w:val="00BD66BB"/>
    <w:rsid w:val="00C0341B"/>
    <w:rsid w:val="00C26D35"/>
    <w:rsid w:val="00C52A7B"/>
    <w:rsid w:val="00C55B22"/>
    <w:rsid w:val="00C56BAF"/>
    <w:rsid w:val="00C679AA"/>
    <w:rsid w:val="00C75972"/>
    <w:rsid w:val="00C85896"/>
    <w:rsid w:val="00CC0A3A"/>
    <w:rsid w:val="00CD066B"/>
    <w:rsid w:val="00CE4FEE"/>
    <w:rsid w:val="00CF3B4A"/>
    <w:rsid w:val="00CF4660"/>
    <w:rsid w:val="00DB2A11"/>
    <w:rsid w:val="00DB59C3"/>
    <w:rsid w:val="00DC259A"/>
    <w:rsid w:val="00DE23E8"/>
    <w:rsid w:val="00E52377"/>
    <w:rsid w:val="00E64E17"/>
    <w:rsid w:val="00E866C9"/>
    <w:rsid w:val="00EA3D3C"/>
    <w:rsid w:val="00F121AB"/>
    <w:rsid w:val="00F46900"/>
    <w:rsid w:val="00F61D89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CEACADF2-32BE-4AEE-9356-DBA85607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4CB8"/>
    <w:rPr>
      <w:color w:val="605E5C"/>
      <w:shd w:val="clear" w:color="auto" w:fill="E1DFDD"/>
    </w:rPr>
  </w:style>
  <w:style w:type="table" w:styleId="ListTable6Colorful">
    <w:name w:val="List Table 6 Colorful"/>
    <w:basedOn w:val="TableNormal"/>
    <w:uiPriority w:val="51"/>
    <w:rsid w:val="00BB4CB8"/>
    <w:pPr>
      <w:spacing w:after="0" w:line="240" w:lineRule="auto"/>
    </w:pPr>
    <w:rPr>
      <w:rFonts w:eastAsia="SimSu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phughes@email.unc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1237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Hunter Hughes</cp:lastModifiedBy>
  <cp:revision>13</cp:revision>
  <cp:lastPrinted>2013-10-03T12:51:00Z</cp:lastPrinted>
  <dcterms:created xsi:type="dcterms:W3CDTF">2022-11-17T16:58:00Z</dcterms:created>
  <dcterms:modified xsi:type="dcterms:W3CDTF">2023-11-13T16:48:00Z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