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AC78" w14:textId="4622231D" w:rsidR="003A17F6" w:rsidRPr="003A17F6" w:rsidRDefault="003A17F6" w:rsidP="003A17F6">
      <w:pPr>
        <w:pStyle w:val="Heading1"/>
        <w:rPr>
          <w:rStyle w:val="normaltextrun"/>
          <w:b/>
          <w:bCs/>
        </w:rPr>
      </w:pPr>
      <w:r w:rsidRPr="003A17F6">
        <w:rPr>
          <w:rStyle w:val="normaltextrun"/>
          <w:b/>
          <w:bCs/>
        </w:rPr>
        <w:t>A "threshold-based" approach to determin</w:t>
      </w:r>
      <w:r w:rsidR="0060536B">
        <w:rPr>
          <w:rStyle w:val="normaltextrun"/>
          <w:b/>
          <w:bCs/>
        </w:rPr>
        <w:t>ing</w:t>
      </w:r>
      <w:r w:rsidRPr="003A17F6">
        <w:rPr>
          <w:rStyle w:val="normaltextrun"/>
          <w:b/>
          <w:bCs/>
        </w:rPr>
        <w:t xml:space="preserve"> an acceptance criterion for model validation</w:t>
      </w:r>
    </w:p>
    <w:p w14:paraId="1022CEE5" w14:textId="77777777" w:rsidR="003A17F6" w:rsidRDefault="003A17F6" w:rsidP="00765BA0">
      <w:pPr>
        <w:pStyle w:val="Heading1"/>
      </w:pPr>
    </w:p>
    <w:p w14:paraId="61857E8D" w14:textId="39E48DDB" w:rsidR="00281371" w:rsidRDefault="003A17F6" w:rsidP="00765BA0">
      <w:pPr>
        <w:pStyle w:val="Heading1"/>
      </w:pPr>
      <w:r>
        <w:t>Introduction</w:t>
      </w:r>
    </w:p>
    <w:p w14:paraId="61F400C3" w14:textId="77777777" w:rsidR="008D28DB" w:rsidRPr="00D03EA8" w:rsidRDefault="008D28DB" w:rsidP="00281371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1B3835F" w14:textId="48DB146F" w:rsidR="00786FD7" w:rsidRPr="00D03EA8" w:rsidRDefault="00557E5B" w:rsidP="00786FD7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3EA8">
        <w:rPr>
          <w:rFonts w:ascii="Times New Roman" w:hAnsi="Times New Roman" w:cs="Times New Roman"/>
          <w:sz w:val="24"/>
          <w:szCs w:val="24"/>
        </w:rPr>
        <w:t xml:space="preserve">A “credible” </w:t>
      </w:r>
      <w:proofErr w:type="gramStart"/>
      <w:r w:rsidRPr="00D03EA8">
        <w:rPr>
          <w:rFonts w:ascii="Times New Roman" w:hAnsi="Times New Roman" w:cs="Times New Roman"/>
          <w:sz w:val="24"/>
          <w:szCs w:val="24"/>
        </w:rPr>
        <w:t>computational  model</w:t>
      </w:r>
      <w:proofErr w:type="gramEnd"/>
      <w:r w:rsidRPr="00D03EA8">
        <w:rPr>
          <w:rFonts w:ascii="Times New Roman" w:hAnsi="Times New Roman" w:cs="Times New Roman"/>
          <w:sz w:val="24"/>
          <w:szCs w:val="24"/>
        </w:rPr>
        <w:t xml:space="preserve"> has the potential to provide a meaningful evaluation of safety in medical</w:t>
      </w:r>
      <w:r w:rsidR="0060536B">
        <w:rPr>
          <w:rFonts w:ascii="Times New Roman" w:hAnsi="Times New Roman" w:cs="Times New Roman"/>
          <w:sz w:val="24"/>
          <w:szCs w:val="24"/>
        </w:rPr>
        <w:t>-</w:t>
      </w:r>
      <w:r w:rsidRPr="00D03EA8">
        <w:rPr>
          <w:rFonts w:ascii="Times New Roman" w:hAnsi="Times New Roman" w:cs="Times New Roman"/>
          <w:sz w:val="24"/>
          <w:szCs w:val="24"/>
        </w:rPr>
        <w:t>device</w:t>
      </w:r>
      <w:r w:rsidR="0060536B">
        <w:rPr>
          <w:rFonts w:ascii="Times New Roman" w:hAnsi="Times New Roman" w:cs="Times New Roman"/>
          <w:sz w:val="24"/>
          <w:szCs w:val="24"/>
        </w:rPr>
        <w:t xml:space="preserve"> submissions</w:t>
      </w:r>
      <w:r w:rsidRPr="00D03EA8">
        <w:rPr>
          <w:rFonts w:ascii="Times New Roman" w:hAnsi="Times New Roman" w:cs="Times New Roman"/>
          <w:sz w:val="24"/>
          <w:szCs w:val="24"/>
        </w:rPr>
        <w:t xml:space="preserve">. One major challenge in establishing model credibility </w:t>
      </w:r>
      <w:proofErr w:type="gramStart"/>
      <w:r w:rsidRPr="00D03EA8">
        <w:rPr>
          <w:rFonts w:ascii="Times New Roman" w:hAnsi="Times New Roman" w:cs="Times New Roman"/>
          <w:sz w:val="24"/>
          <w:szCs w:val="24"/>
        </w:rPr>
        <w:t>is  determin</w:t>
      </w:r>
      <w:r w:rsidR="0060536B">
        <w:rPr>
          <w:rFonts w:ascii="Times New Roman" w:hAnsi="Times New Roman" w:cs="Times New Roman"/>
          <w:sz w:val="24"/>
          <w:szCs w:val="24"/>
        </w:rPr>
        <w:t>ing</w:t>
      </w:r>
      <w:proofErr w:type="gramEnd"/>
      <w:r w:rsidRPr="00D03EA8">
        <w:rPr>
          <w:rFonts w:ascii="Times New Roman" w:hAnsi="Times New Roman" w:cs="Times New Roman"/>
          <w:sz w:val="24"/>
          <w:szCs w:val="24"/>
        </w:rPr>
        <w:t xml:space="preserve"> </w:t>
      </w:r>
      <w:r w:rsidR="000E3E62">
        <w:rPr>
          <w:rFonts w:ascii="Times New Roman" w:hAnsi="Times New Roman" w:cs="Times New Roman"/>
          <w:sz w:val="24"/>
          <w:szCs w:val="24"/>
        </w:rPr>
        <w:t xml:space="preserve">the extent to which the model </w:t>
      </w:r>
      <w:r w:rsidR="00655D7D">
        <w:rPr>
          <w:rFonts w:ascii="Times New Roman" w:hAnsi="Times New Roman" w:cs="Times New Roman"/>
          <w:sz w:val="24"/>
          <w:szCs w:val="24"/>
        </w:rPr>
        <w:t xml:space="preserve">yields useful results from a safety perspective.  </w:t>
      </w:r>
      <w:r w:rsidRPr="00D03EA8">
        <w:rPr>
          <w:rFonts w:ascii="Times New Roman" w:hAnsi="Times New Roman" w:cs="Times New Roman"/>
          <w:sz w:val="24"/>
          <w:szCs w:val="24"/>
        </w:rPr>
        <w:t>This study proposes a “threshold-based” validation approach</w:t>
      </w:r>
      <w:r w:rsidR="006E505B">
        <w:rPr>
          <w:rFonts w:ascii="Times New Roman" w:hAnsi="Times New Roman" w:cs="Times New Roman"/>
          <w:sz w:val="24"/>
          <w:szCs w:val="24"/>
        </w:rPr>
        <w:t>.</w:t>
      </w:r>
      <w:r w:rsidRPr="00D03EA8">
        <w:rPr>
          <w:rFonts w:ascii="Times New Roman" w:hAnsi="Times New Roman" w:cs="Times New Roman"/>
          <w:sz w:val="24"/>
          <w:szCs w:val="24"/>
        </w:rPr>
        <w:t xml:space="preserve"> </w:t>
      </w:r>
      <w:r w:rsidR="006E505B">
        <w:rPr>
          <w:rFonts w:ascii="Times New Roman" w:hAnsi="Times New Roman" w:cs="Times New Roman"/>
          <w:sz w:val="24"/>
          <w:szCs w:val="24"/>
        </w:rPr>
        <w:t>It</w:t>
      </w:r>
      <w:r w:rsidRPr="00D03EA8">
        <w:rPr>
          <w:rFonts w:ascii="Times New Roman" w:hAnsi="Times New Roman" w:cs="Times New Roman"/>
          <w:sz w:val="24"/>
          <w:szCs w:val="24"/>
        </w:rPr>
        <w:t xml:space="preserve"> provides a well-defined acceptance criteri</w:t>
      </w:r>
      <w:r w:rsidR="0060536B">
        <w:rPr>
          <w:rFonts w:ascii="Times New Roman" w:hAnsi="Times New Roman" w:cs="Times New Roman"/>
          <w:sz w:val="24"/>
          <w:szCs w:val="24"/>
        </w:rPr>
        <w:t>on</w:t>
      </w:r>
      <w:r w:rsidRPr="00D03EA8">
        <w:rPr>
          <w:rFonts w:ascii="Times New Roman" w:hAnsi="Times New Roman" w:cs="Times New Roman"/>
          <w:sz w:val="24"/>
          <w:szCs w:val="24"/>
        </w:rPr>
        <w:t>, which is a function of how close the simulation and experimental results are to the safety threshold</w:t>
      </w:r>
      <w:r w:rsidR="006E505B">
        <w:rPr>
          <w:rFonts w:ascii="Times New Roman" w:hAnsi="Times New Roman" w:cs="Times New Roman"/>
          <w:sz w:val="24"/>
          <w:szCs w:val="24"/>
        </w:rPr>
        <w:t>.</w:t>
      </w:r>
      <w:r w:rsidRPr="00D03EA8">
        <w:rPr>
          <w:rFonts w:ascii="Times New Roman" w:hAnsi="Times New Roman" w:cs="Times New Roman"/>
          <w:sz w:val="24"/>
          <w:szCs w:val="24"/>
        </w:rPr>
        <w:t xml:space="preserve"> </w:t>
      </w:r>
      <w:r w:rsidR="00786FD7" w:rsidRPr="00D03EA8">
        <w:rPr>
          <w:rFonts w:ascii="Times New Roman" w:hAnsi="Times New Roman" w:cs="Times New Roman"/>
          <w:sz w:val="24"/>
          <w:szCs w:val="24"/>
        </w:rPr>
        <w:t>The method is applicable for scenarios in which a safety threshold can be clearly defined</w:t>
      </w:r>
      <w:r w:rsidR="006E505B">
        <w:rPr>
          <w:rFonts w:ascii="Times New Roman" w:hAnsi="Times New Roman" w:cs="Times New Roman"/>
          <w:sz w:val="24"/>
          <w:szCs w:val="24"/>
        </w:rPr>
        <w:t xml:space="preserve">, such as </w:t>
      </w:r>
      <w:r w:rsidR="00786FD7" w:rsidRPr="00D03EA8">
        <w:rPr>
          <w:rFonts w:ascii="Times New Roman" w:hAnsi="Times New Roman" w:cs="Times New Roman"/>
          <w:sz w:val="24"/>
          <w:szCs w:val="24"/>
        </w:rPr>
        <w:t>the viscous shear-stress threshold for hemolysis in blood contacting devices</w:t>
      </w:r>
      <w:r w:rsidR="006E505B">
        <w:rPr>
          <w:rFonts w:ascii="Times New Roman" w:hAnsi="Times New Roman" w:cs="Times New Roman"/>
          <w:sz w:val="24"/>
          <w:szCs w:val="24"/>
        </w:rPr>
        <w:t xml:space="preserve"> or </w:t>
      </w:r>
      <w:r w:rsidR="00A72194" w:rsidRPr="00D03EA8">
        <w:rPr>
          <w:rFonts w:ascii="Times New Roman" w:hAnsi="Times New Roman" w:cs="Times New Roman"/>
          <w:sz w:val="24"/>
          <w:szCs w:val="24"/>
        </w:rPr>
        <w:t>thermal</w:t>
      </w:r>
      <w:r w:rsidR="006E505B">
        <w:rPr>
          <w:rFonts w:ascii="Times New Roman" w:hAnsi="Times New Roman" w:cs="Times New Roman"/>
          <w:sz w:val="24"/>
          <w:szCs w:val="24"/>
        </w:rPr>
        <w:t>-</w:t>
      </w:r>
      <w:r w:rsidR="00A72194" w:rsidRPr="00D03EA8">
        <w:rPr>
          <w:rFonts w:ascii="Times New Roman" w:hAnsi="Times New Roman" w:cs="Times New Roman"/>
          <w:sz w:val="24"/>
          <w:szCs w:val="24"/>
        </w:rPr>
        <w:t>damage threshold for ablation devices</w:t>
      </w:r>
      <w:r w:rsidR="00786FD7" w:rsidRPr="00D03EA8">
        <w:rPr>
          <w:rFonts w:ascii="Times New Roman" w:hAnsi="Times New Roman" w:cs="Times New Roman"/>
          <w:sz w:val="24"/>
          <w:szCs w:val="24"/>
        </w:rPr>
        <w:t>.</w:t>
      </w:r>
    </w:p>
    <w:p w14:paraId="53BF2B71" w14:textId="17ABC7E2" w:rsidR="00557E5B" w:rsidRPr="00D03EA8" w:rsidRDefault="00832CE7" w:rsidP="00281371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03EA8">
        <w:rPr>
          <w:rFonts w:ascii="Times New Roman" w:hAnsi="Times New Roman" w:cs="Times New Roman"/>
          <w:sz w:val="24"/>
          <w:szCs w:val="24"/>
        </w:rPr>
        <w:t>The validation criteri</w:t>
      </w:r>
      <w:r w:rsidR="006E505B">
        <w:rPr>
          <w:rFonts w:ascii="Times New Roman" w:hAnsi="Times New Roman" w:cs="Times New Roman"/>
          <w:sz w:val="24"/>
          <w:szCs w:val="24"/>
        </w:rPr>
        <w:t>on</w:t>
      </w:r>
      <w:r w:rsidRPr="00D03EA8">
        <w:rPr>
          <w:rFonts w:ascii="Times New Roman" w:hAnsi="Times New Roman" w:cs="Times New Roman"/>
          <w:sz w:val="24"/>
          <w:szCs w:val="24"/>
        </w:rPr>
        <w:t xml:space="preserve"> developed following the threshold approach is a function of Comparison Error, E</w:t>
      </w:r>
      <w:r w:rsidR="0016680F">
        <w:rPr>
          <w:rFonts w:ascii="Times New Roman" w:hAnsi="Times New Roman" w:cs="Times New Roman"/>
          <w:sz w:val="24"/>
          <w:szCs w:val="24"/>
        </w:rPr>
        <w:t>,</w:t>
      </w:r>
      <w:r w:rsidRPr="00D03EA8">
        <w:rPr>
          <w:rFonts w:ascii="Times New Roman" w:hAnsi="Times New Roman" w:cs="Times New Roman"/>
          <w:sz w:val="24"/>
          <w:szCs w:val="24"/>
        </w:rPr>
        <w:t xml:space="preserve"> which is the difference between experiments and simulations</w:t>
      </w:r>
      <w:r w:rsidR="0016680F">
        <w:rPr>
          <w:rFonts w:ascii="Times New Roman" w:hAnsi="Times New Roman" w:cs="Times New Roman"/>
          <w:sz w:val="24"/>
          <w:szCs w:val="24"/>
        </w:rPr>
        <w:t>.  The approach</w:t>
      </w:r>
      <w:r w:rsidRPr="00D03EA8">
        <w:rPr>
          <w:rFonts w:ascii="Times New Roman" w:hAnsi="Times New Roman" w:cs="Times New Roman"/>
          <w:sz w:val="24"/>
          <w:szCs w:val="24"/>
        </w:rPr>
        <w:t xml:space="preserve"> but also takes in to account the risk to patient safety </w:t>
      </w:r>
      <w:r w:rsidR="0016680F">
        <w:rPr>
          <w:rFonts w:ascii="Times New Roman" w:hAnsi="Times New Roman" w:cs="Times New Roman"/>
          <w:sz w:val="24"/>
          <w:szCs w:val="24"/>
        </w:rPr>
        <w:t xml:space="preserve">represented by a given value </w:t>
      </w:r>
      <w:proofErr w:type="gramStart"/>
      <w:r w:rsidR="0016680F">
        <w:rPr>
          <w:rFonts w:ascii="Times New Roman" w:hAnsi="Times New Roman" w:cs="Times New Roman"/>
          <w:sz w:val="24"/>
          <w:szCs w:val="24"/>
        </w:rPr>
        <w:t xml:space="preserve">of </w:t>
      </w:r>
      <w:r w:rsidRPr="00D03EA8">
        <w:rPr>
          <w:rFonts w:ascii="Times New Roman" w:hAnsi="Times New Roman" w:cs="Times New Roman"/>
          <w:sz w:val="24"/>
          <w:szCs w:val="24"/>
        </w:rPr>
        <w:t xml:space="preserve"> E.</w:t>
      </w:r>
      <w:proofErr w:type="gramEnd"/>
      <w:r w:rsidRPr="00D03E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B54A2" w14:textId="6A523873" w:rsidR="003A17F6" w:rsidRDefault="003A17F6" w:rsidP="003A17F6">
      <w:pPr>
        <w:pStyle w:val="Heading1"/>
      </w:pPr>
      <w:r>
        <w:t>Threshold based approach</w:t>
      </w:r>
      <w:r w:rsidR="00167C4E">
        <w:t xml:space="preserve"> </w:t>
      </w:r>
    </w:p>
    <w:p w14:paraId="2E30D528" w14:textId="3488054D" w:rsidR="003A17F6" w:rsidRDefault="003A17F6" w:rsidP="003A17F6"/>
    <w:p w14:paraId="6CADC47A" w14:textId="41234331" w:rsidR="007C79C4" w:rsidRDefault="007C79C4" w:rsidP="007C79C4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3B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threshold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approach</w:t>
      </w:r>
      <w:r w:rsidRPr="00F64E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comparison error, E,  and “proximity” </w:t>
      </w:r>
      <w:r w:rsidRPr="00004912">
        <w:rPr>
          <w:rFonts w:ascii="Times New Roman" w:hAnsi="Times New Roman" w:cs="Times New Roman"/>
          <w:i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 for the quantity of interest </w:t>
      </w:r>
      <w:r w:rsidR="0016680F" w:rsidRPr="00575CF7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166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(ex. </w:t>
      </w:r>
      <w:r w:rsidR="0016680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iscous shear stress to evaluate red-blood cell damage caused by </w:t>
      </w:r>
      <w:r w:rsidR="00D03E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device)  are expressed as follows</w:t>
      </w:r>
    </w:p>
    <w:p w14:paraId="61576BBD" w14:textId="1B7A66A8" w:rsidR="007C79C4" w:rsidRPr="00E671E6" w:rsidRDefault="00D03EA8" w:rsidP="007C79C4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Comparison Error, </w:t>
      </w:r>
      <w:r w:rsidR="007C79C4" w:rsidRPr="00E671E6">
        <w:rPr>
          <w:rFonts w:ascii="Times New Roman" w:hAnsi="Times New Roman" w:cs="Times New Roman"/>
          <w:i/>
          <w:iCs/>
          <w:sz w:val="24"/>
          <w:szCs w:val="24"/>
        </w:rPr>
        <w:t>E=|</w:t>
      </w:r>
      <w:proofErr w:type="spellStart"/>
      <w:r w:rsidR="007C79C4" w:rsidRPr="00E671E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7C79C4" w:rsidRPr="00E671E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</w:t>
      </w:r>
      <w:r w:rsidR="0016680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omp</w:t>
      </w:r>
      <w:r w:rsidR="007C79C4" w:rsidRPr="00E671E6">
        <w:rPr>
          <w:rFonts w:ascii="Times New Roman" w:hAnsi="Times New Roman" w:cs="Times New Roman"/>
          <w:i/>
          <w:iCs/>
          <w:sz w:val="24"/>
          <w:szCs w:val="24"/>
        </w:rPr>
        <w:t>-U</w:t>
      </w:r>
      <w:r w:rsidR="007C79C4" w:rsidRPr="00E671E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Experiment</w:t>
      </w:r>
      <w:proofErr w:type="spellEnd"/>
      <w:r w:rsidR="007C79C4" w:rsidRPr="00E671E6">
        <w:rPr>
          <w:rFonts w:ascii="Times New Roman" w:hAnsi="Times New Roman" w:cs="Times New Roman"/>
          <w:i/>
          <w:iCs/>
          <w:sz w:val="24"/>
          <w:szCs w:val="24"/>
        </w:rPr>
        <w:t>|</w:t>
      </w:r>
      <w:r w:rsidR="007C79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7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7C79C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7C79C4">
        <w:rPr>
          <w:rFonts w:ascii="Times New Roman" w:hAnsi="Times New Roman" w:cs="Times New Roman"/>
          <w:sz w:val="24"/>
          <w:szCs w:val="24"/>
        </w:rPr>
        <w:t>1)</w:t>
      </w:r>
    </w:p>
    <w:p w14:paraId="71CD0F65" w14:textId="24790CA6" w:rsidR="007C79C4" w:rsidRDefault="00D03EA8" w:rsidP="007C79C4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Proximity, </w:t>
      </w:r>
      <w:r w:rsidR="007C79C4" w:rsidRPr="00E671E6">
        <w:rPr>
          <w:rFonts w:ascii="Times New Roman" w:hAnsi="Times New Roman" w:cs="Times New Roman"/>
          <w:i/>
          <w:iCs/>
          <w:sz w:val="24"/>
          <w:szCs w:val="24"/>
        </w:rPr>
        <w:t>Ω = |</w:t>
      </w:r>
      <w:proofErr w:type="spellStart"/>
      <w:r w:rsidR="007C79C4" w:rsidRPr="00E671E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7C79C4" w:rsidRPr="00E671E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Threshold</w:t>
      </w:r>
      <w:proofErr w:type="spellEnd"/>
      <w:r w:rsidR="007C79C4" w:rsidRPr="00E671E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="007C79C4" w:rsidRPr="00E671E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7C79C4" w:rsidRPr="00E671E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</w:t>
      </w:r>
      <w:r w:rsidR="0016680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omp</w:t>
      </w:r>
      <w:proofErr w:type="spellEnd"/>
      <w:r w:rsidR="007C79C4" w:rsidRPr="00E671E6">
        <w:rPr>
          <w:rFonts w:ascii="Times New Roman" w:hAnsi="Times New Roman" w:cs="Times New Roman"/>
          <w:i/>
          <w:iCs/>
          <w:sz w:val="24"/>
          <w:szCs w:val="24"/>
        </w:rPr>
        <w:t>|</w:t>
      </w:r>
      <w:r w:rsidR="007C79C4">
        <w:rPr>
          <w:rFonts w:ascii="Times New Roman" w:hAnsi="Times New Roman" w:cs="Times New Roman"/>
          <w:sz w:val="24"/>
          <w:szCs w:val="24"/>
        </w:rPr>
        <w:t xml:space="preserve">. </w:t>
      </w:r>
      <w:r w:rsidR="007C79C4">
        <w:rPr>
          <w:rFonts w:ascii="Times New Roman" w:hAnsi="Times New Roman" w:cs="Times New Roman"/>
          <w:sz w:val="24"/>
          <w:szCs w:val="24"/>
        </w:rPr>
        <w:tab/>
      </w:r>
      <w:r w:rsidR="007C79C4">
        <w:rPr>
          <w:rFonts w:ascii="Times New Roman" w:hAnsi="Times New Roman" w:cs="Times New Roman"/>
          <w:sz w:val="24"/>
          <w:szCs w:val="24"/>
        </w:rPr>
        <w:tab/>
      </w:r>
      <w:r w:rsidR="007C79C4">
        <w:rPr>
          <w:rFonts w:ascii="Times New Roman" w:hAnsi="Times New Roman" w:cs="Times New Roman"/>
          <w:sz w:val="24"/>
          <w:szCs w:val="24"/>
        </w:rPr>
        <w:tab/>
      </w:r>
      <w:r w:rsidR="007C79C4">
        <w:rPr>
          <w:rFonts w:ascii="Times New Roman" w:hAnsi="Times New Roman" w:cs="Times New Roman"/>
          <w:sz w:val="24"/>
          <w:szCs w:val="24"/>
        </w:rPr>
        <w:tab/>
      </w:r>
      <w:r w:rsidR="007C79C4">
        <w:rPr>
          <w:rFonts w:ascii="Times New Roman" w:hAnsi="Times New Roman" w:cs="Times New Roman"/>
          <w:sz w:val="24"/>
          <w:szCs w:val="24"/>
        </w:rPr>
        <w:tab/>
      </w:r>
      <w:r w:rsidR="007C79C4">
        <w:rPr>
          <w:rFonts w:ascii="Times New Roman" w:hAnsi="Times New Roman" w:cs="Times New Roman"/>
          <w:sz w:val="24"/>
          <w:szCs w:val="24"/>
        </w:rPr>
        <w:tab/>
        <w:t xml:space="preserve">                 (2)</w:t>
      </w:r>
    </w:p>
    <w:p w14:paraId="62D47872" w14:textId="02752738" w:rsidR="007C79C4" w:rsidRDefault="007C79C4" w:rsidP="007C79C4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 </w:t>
      </w:r>
      <w:r w:rsidR="0016680F">
        <w:rPr>
          <w:rFonts w:ascii="Times New Roman" w:hAnsi="Times New Roman" w:cs="Times New Roman"/>
          <w:sz w:val="24"/>
          <w:szCs w:val="24"/>
        </w:rPr>
        <w:t xml:space="preserve">the subscript “comp” denotes the computed value.  </w:t>
      </w:r>
      <w:r w:rsidR="00C873CE">
        <w:rPr>
          <w:rFonts w:ascii="Times New Roman" w:hAnsi="Times New Roman" w:cs="Times New Roman"/>
          <w:sz w:val="24"/>
          <w:szCs w:val="24"/>
        </w:rPr>
        <w:t>Comparison error is the difference between experiments and simulations while proximity measures the difference between safety threshold and simulations for the quantity of interest.</w:t>
      </w:r>
    </w:p>
    <w:p w14:paraId="7725A202" w14:textId="48380A97" w:rsidR="007C79C4" w:rsidRDefault="007C79C4" w:rsidP="007C79C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the uncertainties in the experiments, </w:t>
      </w:r>
      <w:r w:rsidR="0016680F">
        <w:rPr>
          <w:rFonts w:ascii="Times New Roman" w:hAnsi="Times New Roman" w:cs="Times New Roman"/>
          <w:sz w:val="24"/>
          <w:szCs w:val="24"/>
        </w:rPr>
        <w:t>computational</w:t>
      </w:r>
      <w:r>
        <w:rPr>
          <w:rFonts w:ascii="Times New Roman" w:hAnsi="Times New Roman" w:cs="Times New Roman"/>
          <w:sz w:val="24"/>
          <w:szCs w:val="24"/>
        </w:rPr>
        <w:t xml:space="preserve"> model</w:t>
      </w:r>
      <w:r w:rsidR="001668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threshold are properly quantified, then both </w:t>
      </w:r>
      <w:r w:rsidRPr="00004912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04912">
        <w:rPr>
          <w:rFonts w:ascii="Times New Roman" w:hAnsi="Times New Roman" w:cs="Times New Roman"/>
          <w:i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 can be expressed in terms of confidence intervals as </w:t>
      </w:r>
      <w:r w:rsidRPr="00004912">
        <w:rPr>
          <w:rFonts w:ascii="Times New Roman" w:hAnsi="Times New Roman" w:cs="Times New Roman"/>
          <w:i/>
          <w:sz w:val="24"/>
          <w:szCs w:val="24"/>
        </w:rPr>
        <w:t>CI</w:t>
      </w:r>
      <w:r w:rsidRPr="00004912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04912">
        <w:rPr>
          <w:rFonts w:ascii="Times New Roman" w:hAnsi="Times New Roman" w:cs="Times New Roman"/>
          <w:i/>
          <w:sz w:val="24"/>
          <w:szCs w:val="24"/>
        </w:rPr>
        <w:t>CI</w:t>
      </w:r>
      <w:r w:rsidRPr="004B0109">
        <w:rPr>
          <w:rFonts w:ascii="Times New Roman" w:hAnsi="Times New Roman" w:cs="Times New Roman"/>
          <w:i/>
          <w:sz w:val="24"/>
          <w:szCs w:val="24"/>
          <w:vertAlign w:val="subscript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.  Figure 1 illustrates the threshold-based validation approach qualitatively for two different scenarios. In the first scenario (Fig 1a), the uncertainties for </w:t>
      </w:r>
      <w:r w:rsidR="0016680F">
        <w:rPr>
          <w:rFonts w:ascii="Times New Roman" w:hAnsi="Times New Roman" w:cs="Times New Roman"/>
          <w:sz w:val="24"/>
          <w:szCs w:val="24"/>
        </w:rPr>
        <w:t>computations</w:t>
      </w:r>
      <w:r>
        <w:rPr>
          <w:rFonts w:ascii="Times New Roman" w:hAnsi="Times New Roman" w:cs="Times New Roman"/>
          <w:sz w:val="24"/>
          <w:szCs w:val="24"/>
        </w:rPr>
        <w:t xml:space="preserve"> and experiments (represented by green and blue square brackets, respectively) are non-overlapping. However, </w:t>
      </w:r>
      <w:r w:rsidRPr="00445A4C">
        <w:rPr>
          <w:rFonts w:ascii="Times New Roman" w:hAnsi="Times New Roman" w:cs="Times New Roman"/>
          <w:sz w:val="24"/>
          <w:szCs w:val="24"/>
        </w:rPr>
        <w:t xml:space="preserve">E is less than </w:t>
      </w:r>
      <w:r>
        <w:rPr>
          <w:rFonts w:ascii="Times New Roman" w:hAnsi="Times New Roman" w:cs="Times New Roman"/>
          <w:sz w:val="24"/>
          <w:szCs w:val="24"/>
        </w:rPr>
        <w:t>Ω</w:t>
      </w:r>
      <w:r w:rsidRPr="00445A4C">
        <w:rPr>
          <w:rFonts w:ascii="Times New Roman" w:hAnsi="Times New Roman" w:cs="Times New Roman"/>
          <w:sz w:val="24"/>
          <w:szCs w:val="24"/>
        </w:rPr>
        <w:t xml:space="preserve"> and the CI</w:t>
      </w:r>
      <w:r w:rsidRPr="00445A4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445A4C">
        <w:rPr>
          <w:rFonts w:ascii="Times New Roman" w:hAnsi="Times New Roman" w:cs="Times New Roman"/>
          <w:sz w:val="24"/>
          <w:szCs w:val="24"/>
        </w:rPr>
        <w:t xml:space="preserve"> and CI</w:t>
      </w:r>
      <w:r w:rsidRPr="0095442A">
        <w:rPr>
          <w:rFonts w:ascii="Times New Roman" w:hAnsi="Times New Roman" w:cs="Times New Roman"/>
          <w:sz w:val="24"/>
          <w:szCs w:val="24"/>
          <w:vertAlign w:val="subscript"/>
        </w:rPr>
        <w:t>Ω</w:t>
      </w:r>
      <w:r w:rsidRPr="00445A4C">
        <w:rPr>
          <w:rFonts w:ascii="Times New Roman" w:hAnsi="Times New Roman" w:cs="Times New Roman"/>
          <w:sz w:val="24"/>
          <w:szCs w:val="24"/>
        </w:rPr>
        <w:t xml:space="preserve"> are non-overlapping</w:t>
      </w:r>
      <w:r>
        <w:rPr>
          <w:rFonts w:ascii="Times New Roman" w:hAnsi="Times New Roman" w:cs="Times New Roman"/>
          <w:sz w:val="24"/>
          <w:szCs w:val="24"/>
        </w:rPr>
        <w:t xml:space="preserve"> suggesting that the computations still provide valid data for </w:t>
      </w:r>
      <w:r w:rsidR="0016680F">
        <w:rPr>
          <w:rFonts w:ascii="Times New Roman" w:hAnsi="Times New Roman" w:cs="Times New Roman"/>
          <w:sz w:val="24"/>
          <w:szCs w:val="24"/>
        </w:rPr>
        <w:t xml:space="preserve">the quantity of interest.  </w:t>
      </w:r>
      <w:r>
        <w:rPr>
          <w:rFonts w:ascii="Times New Roman" w:hAnsi="Times New Roman" w:cs="Times New Roman"/>
          <w:sz w:val="24"/>
          <w:szCs w:val="24"/>
        </w:rPr>
        <w:t xml:space="preserve">In the second scenario (Fig 1b), the </w:t>
      </w:r>
      <w:r w:rsidR="0016680F">
        <w:rPr>
          <w:rFonts w:ascii="Times New Roman" w:hAnsi="Times New Roman" w:cs="Times New Roman"/>
          <w:sz w:val="24"/>
          <w:szCs w:val="24"/>
        </w:rPr>
        <w:t>computed</w:t>
      </w:r>
      <w:r>
        <w:rPr>
          <w:rFonts w:ascii="Times New Roman" w:hAnsi="Times New Roman" w:cs="Times New Roman"/>
          <w:sz w:val="24"/>
          <w:szCs w:val="24"/>
        </w:rPr>
        <w:t xml:space="preserve"> and the experimental results are closer to each other with overlapping uncertainties. However, the </w:t>
      </w:r>
      <w:r w:rsidR="0016680F">
        <w:rPr>
          <w:rFonts w:ascii="Times New Roman" w:hAnsi="Times New Roman" w:cs="Times New Roman"/>
          <w:sz w:val="24"/>
          <w:szCs w:val="24"/>
        </w:rPr>
        <w:t>computed</w:t>
      </w:r>
      <w:r>
        <w:rPr>
          <w:rFonts w:ascii="Times New Roman" w:hAnsi="Times New Roman" w:cs="Times New Roman"/>
          <w:sz w:val="24"/>
          <w:szCs w:val="24"/>
        </w:rPr>
        <w:t xml:space="preserve"> result is closer to the threshold than to the experiments. In addition, CI</w:t>
      </w:r>
      <w:r w:rsidRPr="007C252E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is overlapping with CI</w:t>
      </w:r>
      <w:r w:rsidRPr="0095442A">
        <w:rPr>
          <w:rFonts w:ascii="Times New Roman" w:hAnsi="Times New Roman" w:cs="Times New Roman"/>
          <w:sz w:val="24"/>
          <w:szCs w:val="24"/>
          <w:vertAlign w:val="subscript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 suggesting that the simulations do not provide sufficient validation at the prescribed level of significance (</w:t>
      </w:r>
      <w:proofErr w:type="gramStart"/>
      <w:r w:rsidR="0016680F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16680F">
        <w:rPr>
          <w:rFonts w:ascii="Times New Roman" w:hAnsi="Times New Roman" w:cs="Times New Roman"/>
          <w:sz w:val="24"/>
          <w:szCs w:val="24"/>
        </w:rPr>
        <w:t xml:space="preserve"> </w:t>
      </w:r>
      <w:r w:rsidRPr="00017BF8">
        <w:rPr>
          <w:rFonts w:ascii="Times New Roman" w:hAnsi="Times New Roman" w:cs="Times New Roman"/>
          <w:sz w:val="24"/>
          <w:szCs w:val="24"/>
        </w:rPr>
        <w:t>α=0.05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C518D7" w14:textId="77777777" w:rsidR="007C79C4" w:rsidRDefault="007C79C4" w:rsidP="007C79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3CF03E" wp14:editId="7DD951E3">
            <wp:extent cx="5943600" cy="1590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6E286" w14:textId="391016EB" w:rsidR="007C79C4" w:rsidRPr="00894E3B" w:rsidRDefault="007C79C4" w:rsidP="007C79C4">
      <w:pPr>
        <w:tabs>
          <w:tab w:val="left" w:pos="521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6EE5">
        <w:rPr>
          <w:rFonts w:ascii="Times New Roman" w:hAnsi="Times New Roman" w:cs="Times New Roman"/>
          <w:b/>
          <w:sz w:val="24"/>
          <w:szCs w:val="24"/>
        </w:rPr>
        <w:t xml:space="preserve">Fig </w:t>
      </w:r>
      <w:r>
        <w:rPr>
          <w:rFonts w:ascii="Times New Roman" w:hAnsi="Times New Roman" w:cs="Times New Roman"/>
          <w:b/>
          <w:sz w:val="24"/>
          <w:szCs w:val="24"/>
        </w:rPr>
        <w:t xml:space="preserve">1. Qualitative explanation of the threshold approach for two different scenarios Black – Threshold; Green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  simulation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Blue –experiment.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represent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mean±uncertainty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a)  Model is valid and b) Model not necessarily valid. In scenario (a), both the experiments and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simulations are far away from the threshold and CI</w:t>
      </w:r>
      <w:r w:rsidRPr="00894E3B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smaller than CI</w:t>
      </w:r>
      <w:r w:rsidRPr="0095442A">
        <w:rPr>
          <w:rFonts w:ascii="Times New Roman" w:hAnsi="Times New Roman" w:cs="Times New Roman"/>
          <w:sz w:val="24"/>
          <w:szCs w:val="24"/>
          <w:vertAlign w:val="subscript"/>
        </w:rPr>
        <w:t>Ω</w:t>
      </w:r>
      <w:r>
        <w:rPr>
          <w:rFonts w:ascii="Times New Roman" w:hAnsi="Times New Roman" w:cs="Times New Roman"/>
          <w:b/>
          <w:sz w:val="24"/>
          <w:szCs w:val="24"/>
        </w:rPr>
        <w:t>. In scenario (b), the simulations are closer to the threshold than to the experiments and CI</w:t>
      </w:r>
      <w:r w:rsidRPr="00894E3B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is larger than CI</w:t>
      </w:r>
      <w:r w:rsidRPr="0095442A">
        <w:rPr>
          <w:rFonts w:ascii="Times New Roman" w:hAnsi="Times New Roman" w:cs="Times New Roman"/>
          <w:sz w:val="24"/>
          <w:szCs w:val="24"/>
          <w:vertAlign w:val="subscript"/>
        </w:rPr>
        <w:t>Ω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14:paraId="6140345C" w14:textId="77777777" w:rsidR="007C79C4" w:rsidRPr="003A17F6" w:rsidRDefault="007C79C4" w:rsidP="003A17F6"/>
    <w:p w14:paraId="6A004AE6" w14:textId="23DCE79A" w:rsidR="00281371" w:rsidRDefault="00281371" w:rsidP="00281371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confidence interval CI</w:t>
      </w:r>
      <w:r w:rsidRPr="0095442A">
        <w:rPr>
          <w:rFonts w:ascii="Times New Roman" w:hAnsi="Times New Roman" w:cs="Times New Roman"/>
          <w:sz w:val="24"/>
          <w:szCs w:val="24"/>
          <w:vertAlign w:val="subscript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 for Ω is given by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ExcludeAuth="1"&gt;&lt;Author&gt;Rosner&lt;/Author&gt;&lt;Year&gt;2000&lt;/Year&gt;&lt;RecNum&gt;30&lt;/RecNum&gt;&lt;DisplayText&gt;[46]&lt;/DisplayText&gt;&lt;record&gt;&lt;rec-number&gt;30&lt;/rec-number&gt;&lt;foreign-keys&gt;&lt;key app="EN" db-id="v2zsfp9wd002zle9pddpazxsx9vp5t5fwzpa" timestamp="1475901735"&gt;30&lt;/key&gt;&lt;/foreign-keys&gt;&lt;ref-type name="Book"&gt;6&lt;/ref-type&gt;&lt;contributors&gt;&lt;authors&gt;&lt;author&gt;Bernard Rosner&lt;/author&gt;&lt;/authors&gt;&lt;/contributors&gt;&lt;titles&gt;&lt;title&gt;Fundamentals of Biostatistics &lt;/title&gt;&lt;/titles&gt;&lt;edition&gt;7&lt;/edition&gt;&lt;dates&gt;&lt;year&gt;2000&lt;/year&gt;&lt;/dates&gt;&lt;pub-location&gt;Boston, MA&lt;/pub-location&gt;&lt;publisher&gt;Brooks/Cole &lt;/publisher&gt;&lt;isbn&gt;0-538-73349-6&lt;/isbn&gt;&lt;urls&gt;&lt;/urls&gt;&lt;/record&gt;&lt;/Cite&gt;&lt;/EndNote&gt;</w:instrText>
      </w:r>
      <w:r w:rsidR="00937D8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46563D" w14:textId="667B1C71" w:rsidR="00281371" w:rsidRDefault="00937D85" w:rsidP="00281371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=[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Ω-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"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,1-α/2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  Ω+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"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,1-α/2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]</m:t>
        </m:r>
      </m:oMath>
      <w:r w:rsidR="002813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24312">
        <w:rPr>
          <w:rFonts w:ascii="Times New Roman" w:hAnsi="Times New Roman" w:cs="Times New Roman"/>
          <w:sz w:val="24"/>
          <w:szCs w:val="24"/>
        </w:rPr>
        <w:t>(</w:t>
      </w:r>
      <w:r w:rsidR="00E671E6">
        <w:rPr>
          <w:rFonts w:ascii="Times New Roman" w:hAnsi="Times New Roman" w:cs="Times New Roman"/>
          <w:sz w:val="24"/>
          <w:szCs w:val="24"/>
        </w:rPr>
        <w:t>3</w:t>
      </w:r>
      <w:r w:rsidR="00281371">
        <w:rPr>
          <w:rFonts w:ascii="Times New Roman" w:hAnsi="Times New Roman" w:cs="Times New Roman"/>
          <w:sz w:val="24"/>
          <w:szCs w:val="24"/>
        </w:rPr>
        <w:t>)</w:t>
      </w:r>
    </w:p>
    <w:p w14:paraId="2D671F3A" w14:textId="779120E8" w:rsidR="00281371" w:rsidRDefault="00C951EA" w:rsidP="00281371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81371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the subscripted </w:t>
      </w:r>
      <w:r w:rsidR="00281371">
        <w:rPr>
          <w:rFonts w:ascii="Times New Roman" w:hAnsi="Times New Roman" w:cs="Times New Roman"/>
          <w:sz w:val="24"/>
          <w:szCs w:val="24"/>
        </w:rPr>
        <w:t xml:space="preserve"> t </w:t>
      </w:r>
      <w:r>
        <w:rPr>
          <w:rFonts w:ascii="Times New Roman" w:hAnsi="Times New Roman" w:cs="Times New Roman"/>
          <w:sz w:val="24"/>
          <w:szCs w:val="24"/>
        </w:rPr>
        <w:t xml:space="preserve">values represent </w:t>
      </w:r>
      <w:r w:rsidR="00281371">
        <w:rPr>
          <w:rFonts w:ascii="Times New Roman" w:hAnsi="Times New Roman" w:cs="Times New Roman"/>
          <w:sz w:val="24"/>
          <w:szCs w:val="24"/>
        </w:rPr>
        <w:t xml:space="preserve"> critical values of the Student’s t-distribution, the degrees of freedom</w:t>
      </w:r>
      <w:r w:rsidR="00281371" w:rsidRPr="002B0F9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"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den>
            </m:f>
          </m:den>
        </m:f>
      </m:oMath>
      <w:r w:rsidR="00281371" w:rsidRPr="00923EA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813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1371" w:rsidRPr="003B23AF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="00281371" w:rsidRPr="003B23AF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28137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281371" w:rsidRPr="003B23AF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="00281371" w:rsidRPr="003B23AF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="00281371">
        <w:rPr>
          <w:rFonts w:ascii="Times New Roman" w:eastAsiaTheme="minorEastAsia" w:hAnsi="Times New Roman" w:cs="Times New Roman"/>
          <w:sz w:val="24"/>
          <w:szCs w:val="24"/>
        </w:rPr>
        <w:t xml:space="preserve"> are the number of samples associated with each variable, </w:t>
      </w:r>
      <w:r w:rsidR="00281371" w:rsidRPr="00923EA6">
        <w:rPr>
          <w:rFonts w:ascii="Times New Roman" w:eastAsiaTheme="minorEastAsia" w:hAnsi="Times New Roman" w:cs="Times New Roman"/>
          <w:sz w:val="24"/>
          <w:szCs w:val="24"/>
        </w:rPr>
        <w:t>α=0.05 (for 95% CI limit)</w:t>
      </w:r>
      <w:r w:rsidR="0028137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671E6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E671E6" w:rsidRPr="00E671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E671E6">
        <w:rPr>
          <w:rFonts w:ascii="Times New Roman" w:eastAsiaTheme="minorEastAsia" w:hAnsi="Times New Roman" w:cs="Times New Roman"/>
          <w:sz w:val="24"/>
          <w:szCs w:val="24"/>
        </w:rPr>
        <w:t xml:space="preserve"> is the variance in the computational results, B</w:t>
      </w:r>
      <w:r w:rsidR="00E671E6" w:rsidRPr="00E671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E671E6">
        <w:rPr>
          <w:rFonts w:ascii="Times New Roman" w:eastAsiaTheme="minorEastAsia" w:hAnsi="Times New Roman" w:cs="Times New Roman"/>
          <w:sz w:val="24"/>
          <w:szCs w:val="24"/>
        </w:rPr>
        <w:t xml:space="preserve"> is the variance in the threshold</w:t>
      </w:r>
      <w:r w:rsidR="00281371">
        <w:rPr>
          <w:rFonts w:ascii="Times New Roman" w:eastAsiaTheme="minorEastAsia" w:hAnsi="Times New Roman" w:cs="Times New Roman"/>
          <w:sz w:val="24"/>
          <w:szCs w:val="24"/>
        </w:rPr>
        <w:t xml:space="preserve">.  An analogous expression holds for </w:t>
      </w:r>
      <w:r w:rsidR="00281371" w:rsidRPr="003B23AF">
        <w:rPr>
          <w:rFonts w:ascii="Times New Roman" w:eastAsiaTheme="minorEastAsia" w:hAnsi="Times New Roman" w:cs="Times New Roman"/>
          <w:i/>
          <w:sz w:val="24"/>
          <w:szCs w:val="24"/>
        </w:rPr>
        <w:t>CI</w:t>
      </w:r>
      <w:r w:rsidR="00281371" w:rsidRPr="003B23AF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E</w:t>
      </w:r>
      <w:r w:rsidR="00281371">
        <w:rPr>
          <w:rFonts w:ascii="Times New Roman" w:eastAsiaTheme="minorEastAsia" w:hAnsi="Times New Roman" w:cs="Times New Roman"/>
          <w:sz w:val="24"/>
          <w:szCs w:val="24"/>
        </w:rPr>
        <w:t xml:space="preserve"> and can be written as </w:t>
      </w:r>
    </w:p>
    <w:p w14:paraId="6825CF55" w14:textId="536B6DB4" w:rsidR="00281371" w:rsidRDefault="00937D85" w:rsidP="002813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=[ E-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"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,1-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 E+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"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,1-α/2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]</m:t>
        </m:r>
      </m:oMath>
      <w:r w:rsidR="00281371" w:rsidRPr="00B23A56">
        <w:rPr>
          <w:rFonts w:ascii="Times New Roman" w:hAnsi="Times New Roman" w:cs="Times New Roman"/>
          <w:sz w:val="24"/>
          <w:szCs w:val="24"/>
        </w:rPr>
        <w:t xml:space="preserve"> </w:t>
      </w:r>
      <w:r w:rsidR="002813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C79C4">
        <w:rPr>
          <w:rFonts w:ascii="Times New Roman" w:hAnsi="Times New Roman" w:cs="Times New Roman"/>
          <w:sz w:val="24"/>
          <w:szCs w:val="24"/>
        </w:rPr>
        <w:t xml:space="preserve">   </w:t>
      </w:r>
      <w:r w:rsidR="00281371">
        <w:rPr>
          <w:rFonts w:ascii="Times New Roman" w:hAnsi="Times New Roman" w:cs="Times New Roman"/>
          <w:sz w:val="24"/>
          <w:szCs w:val="24"/>
        </w:rPr>
        <w:t xml:space="preserve"> (</w:t>
      </w:r>
      <w:r w:rsidR="007C79C4">
        <w:rPr>
          <w:rFonts w:ascii="Times New Roman" w:hAnsi="Times New Roman" w:cs="Times New Roman"/>
          <w:sz w:val="24"/>
          <w:szCs w:val="24"/>
        </w:rPr>
        <w:t>4</w:t>
      </w:r>
      <w:r w:rsidR="00281371">
        <w:rPr>
          <w:rFonts w:ascii="Times New Roman" w:hAnsi="Times New Roman" w:cs="Times New Roman"/>
          <w:sz w:val="24"/>
          <w:szCs w:val="24"/>
        </w:rPr>
        <w:t>)</w:t>
      </w:r>
    </w:p>
    <w:p w14:paraId="0D8FD2DD" w14:textId="402E60EF" w:rsidR="00281371" w:rsidRPr="002B0F95" w:rsidRDefault="00281371" w:rsidP="00281371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0F95">
        <w:rPr>
          <w:rFonts w:ascii="Times New Roman" w:hAnsi="Times New Roman" w:cs="Times New Roman"/>
          <w:sz w:val="24"/>
          <w:szCs w:val="24"/>
        </w:rPr>
        <w:t xml:space="preserve">where the degrees of freedom,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"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den>
            </m:f>
          </m:den>
        </m:f>
      </m:oMath>
      <w:r w:rsidRPr="00923EA6">
        <w:rPr>
          <w:rFonts w:ascii="Times New Roman" w:eastAsiaTheme="minorEastAsia" w:hAnsi="Times New Roman" w:cs="Times New Roman"/>
          <w:sz w:val="24"/>
          <w:szCs w:val="24"/>
        </w:rPr>
        <w:tab/>
        <w:t>,</w:t>
      </w:r>
      <w:r w:rsidR="00C951EA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Pr="00923EA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23EA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19919BC" w14:textId="6D9C15E0" w:rsidR="00281371" w:rsidRDefault="00281371" w:rsidP="00281371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3EA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71E6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E671E6" w:rsidRPr="00E671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E671E6">
        <w:rPr>
          <w:rFonts w:ascii="Times New Roman" w:eastAsiaTheme="minorEastAsia" w:hAnsi="Times New Roman" w:cs="Times New Roman"/>
          <w:sz w:val="24"/>
          <w:szCs w:val="24"/>
        </w:rPr>
        <w:t xml:space="preserve"> is the variance in the experimental results.</w:t>
      </w:r>
    </w:p>
    <w:p w14:paraId="78286B97" w14:textId="41B478B7" w:rsidR="00C873CE" w:rsidRDefault="00C873CE" w:rsidP="002813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model can be considered sufficiently validated if </w:t>
      </w:r>
      <w:r w:rsidRPr="00004912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is less than </w:t>
      </w:r>
      <w:r w:rsidRPr="00004912">
        <w:rPr>
          <w:rFonts w:ascii="Times New Roman" w:hAnsi="Times New Roman" w:cs="Times New Roman"/>
          <w:i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04912">
        <w:rPr>
          <w:rFonts w:ascii="Times New Roman" w:hAnsi="Times New Roman" w:cs="Times New Roman"/>
          <w:i/>
          <w:sz w:val="24"/>
          <w:szCs w:val="24"/>
        </w:rPr>
        <w:t>CI</w:t>
      </w:r>
      <w:r w:rsidRPr="00004912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04912">
        <w:rPr>
          <w:rFonts w:ascii="Times New Roman" w:hAnsi="Times New Roman" w:cs="Times New Roman"/>
          <w:i/>
          <w:sz w:val="24"/>
          <w:szCs w:val="24"/>
        </w:rPr>
        <w:t>CI</w:t>
      </w:r>
      <w:r w:rsidRPr="00004912">
        <w:rPr>
          <w:rFonts w:ascii="Times New Roman" w:hAnsi="Times New Roman" w:cs="Times New Roman"/>
          <w:i/>
          <w:sz w:val="24"/>
          <w:szCs w:val="24"/>
          <w:vertAlign w:val="subscript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 are non-overlapping (</w:t>
      </w:r>
      <w:proofErr w:type="gramStart"/>
      <w:r>
        <w:rPr>
          <w:rFonts w:ascii="Times New Roman" w:hAnsi="Times New Roman" w:cs="Times New Roman"/>
          <w:sz w:val="24"/>
          <w:szCs w:val="24"/>
        </w:rPr>
        <w:t>max(</w:t>
      </w:r>
      <w:proofErr w:type="gramEnd"/>
      <w:r w:rsidRPr="00004912">
        <w:rPr>
          <w:rFonts w:ascii="Times New Roman" w:hAnsi="Times New Roman" w:cs="Times New Roman"/>
          <w:i/>
          <w:sz w:val="24"/>
          <w:szCs w:val="24"/>
        </w:rPr>
        <w:t>CI</w:t>
      </w:r>
      <w:r w:rsidRPr="00004912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Pr="008134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&lt;min(</w:t>
      </w:r>
      <w:r w:rsidRPr="00004912">
        <w:rPr>
          <w:rFonts w:ascii="Times New Roman" w:hAnsi="Times New Roman" w:cs="Times New Roman"/>
          <w:i/>
          <w:sz w:val="24"/>
          <w:szCs w:val="24"/>
        </w:rPr>
        <w:t>CI</w:t>
      </w:r>
      <w:r w:rsidRPr="00004912">
        <w:rPr>
          <w:rFonts w:ascii="Times New Roman" w:hAnsi="Times New Roman" w:cs="Times New Roman"/>
          <w:i/>
          <w:sz w:val="24"/>
          <w:szCs w:val="24"/>
          <w:vertAlign w:val="subscript"/>
        </w:rPr>
        <w:t>Ω</w:t>
      </w:r>
      <w:r w:rsidRPr="008134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7A9BE4C" w14:textId="77777777" w:rsidR="00C951EA" w:rsidRDefault="00C951EA" w:rsidP="00D03E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90EE85" w14:textId="15A84E28" w:rsidR="00D03EA8" w:rsidRPr="00D03EA8" w:rsidRDefault="00D03EA8" w:rsidP="00575CF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3EA8">
        <w:rPr>
          <w:rFonts w:ascii="Times New Roman" w:hAnsi="Times New Roman" w:cs="Times New Roman"/>
          <w:sz w:val="24"/>
          <w:szCs w:val="24"/>
        </w:rPr>
        <w:t xml:space="preserve">A case study describing this validation approach is presented </w:t>
      </w:r>
      <w:r w:rsidR="00C951EA">
        <w:rPr>
          <w:rFonts w:ascii="Times New Roman" w:hAnsi="Times New Roman" w:cs="Times New Roman"/>
          <w:sz w:val="24"/>
          <w:szCs w:val="24"/>
        </w:rPr>
        <w:t>in</w:t>
      </w:r>
    </w:p>
    <w:p w14:paraId="11C57D13" w14:textId="230C813A" w:rsidR="00D03EA8" w:rsidRDefault="00937D85" w:rsidP="00D03E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03EA8" w:rsidRPr="00716AD0">
          <w:rPr>
            <w:rStyle w:val="Hyperlink"/>
            <w:rFonts w:ascii="Times New Roman" w:hAnsi="Times New Roman" w:cs="Times New Roman"/>
            <w:sz w:val="24"/>
            <w:szCs w:val="24"/>
          </w:rPr>
          <w:t>https://journals.plos.org/plosone/article?id=10.1371/journal.pone.0178749</w:t>
        </w:r>
      </w:hyperlink>
    </w:p>
    <w:p w14:paraId="0348C816" w14:textId="77777777" w:rsidR="00D03EA8" w:rsidRPr="00D03EA8" w:rsidRDefault="00D03EA8" w:rsidP="00D03E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68B6EF" w14:textId="77777777" w:rsidR="00281371" w:rsidRDefault="00281371" w:rsidP="00D03E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E130E3" w14:textId="6954CBD1" w:rsidR="00665C67" w:rsidRPr="00281371" w:rsidRDefault="000041FD" w:rsidP="00840CDB">
      <w:pPr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0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sectPr w:rsidR="00665C67" w:rsidRPr="0028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51920"/>
    <w:multiLevelType w:val="hybridMultilevel"/>
    <w:tmpl w:val="EFF0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7063"/>
    <w:multiLevelType w:val="multilevel"/>
    <w:tmpl w:val="8A60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0877629">
    <w:abstractNumId w:val="1"/>
  </w:num>
  <w:num w:numId="2" w16cid:durableId="102386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AD"/>
    <w:rsid w:val="000041FD"/>
    <w:rsid w:val="0004603A"/>
    <w:rsid w:val="000E3E62"/>
    <w:rsid w:val="0016680F"/>
    <w:rsid w:val="00167C4E"/>
    <w:rsid w:val="002503BF"/>
    <w:rsid w:val="00281371"/>
    <w:rsid w:val="002C4F50"/>
    <w:rsid w:val="002F5D99"/>
    <w:rsid w:val="003A17F6"/>
    <w:rsid w:val="0043403C"/>
    <w:rsid w:val="005338CC"/>
    <w:rsid w:val="00557E5B"/>
    <w:rsid w:val="00575CF7"/>
    <w:rsid w:val="0060536B"/>
    <w:rsid w:val="00655D7D"/>
    <w:rsid w:val="00665C67"/>
    <w:rsid w:val="006E505B"/>
    <w:rsid w:val="00765BA0"/>
    <w:rsid w:val="00786FD7"/>
    <w:rsid w:val="007C79C4"/>
    <w:rsid w:val="00832CE7"/>
    <w:rsid w:val="00840CDB"/>
    <w:rsid w:val="008D28DB"/>
    <w:rsid w:val="00937D85"/>
    <w:rsid w:val="009A01F5"/>
    <w:rsid w:val="00A1769C"/>
    <w:rsid w:val="00A24312"/>
    <w:rsid w:val="00A72194"/>
    <w:rsid w:val="00B62B69"/>
    <w:rsid w:val="00BC31AD"/>
    <w:rsid w:val="00BC7FE2"/>
    <w:rsid w:val="00C873CE"/>
    <w:rsid w:val="00C951EA"/>
    <w:rsid w:val="00CC2033"/>
    <w:rsid w:val="00D03EA8"/>
    <w:rsid w:val="00E671E6"/>
    <w:rsid w:val="00E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860C"/>
  <w15:chartTrackingRefBased/>
  <w15:docId w15:val="{E2CA5462-F3C9-4D55-95DB-DE957A3D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71"/>
  </w:style>
  <w:style w:type="paragraph" w:styleId="Heading1">
    <w:name w:val="heading 1"/>
    <w:basedOn w:val="Normal"/>
    <w:next w:val="Normal"/>
    <w:link w:val="Heading1Char"/>
    <w:uiPriority w:val="9"/>
    <w:qFormat/>
    <w:rsid w:val="00765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1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31AD"/>
    <w:rPr>
      <w:i/>
      <w:iCs/>
    </w:rPr>
  </w:style>
  <w:style w:type="character" w:customStyle="1" w:styleId="note">
    <w:name w:val="note"/>
    <w:basedOn w:val="DefaultParagraphFont"/>
    <w:rsid w:val="00BC31AD"/>
  </w:style>
  <w:style w:type="paragraph" w:customStyle="1" w:styleId="captionobject">
    <w:name w:val="caption_object"/>
    <w:basedOn w:val="Normal"/>
    <w:rsid w:val="00BC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5B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3A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17F6"/>
  </w:style>
  <w:style w:type="table" w:styleId="TableGrid">
    <w:name w:val="Table Grid"/>
    <w:basedOn w:val="TableNormal"/>
    <w:uiPriority w:val="59"/>
    <w:rsid w:val="003A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1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7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03E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4F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3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0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690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plos.org/plosone/article?id=10.1371/journal.pone.0178749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Prasanna</dc:creator>
  <cp:keywords/>
  <dc:description/>
  <cp:lastModifiedBy>Hariharan, Prasanna</cp:lastModifiedBy>
  <cp:revision>4</cp:revision>
  <dcterms:created xsi:type="dcterms:W3CDTF">2023-08-01T16:19:00Z</dcterms:created>
  <dcterms:modified xsi:type="dcterms:W3CDTF">2023-08-01T16:39:00Z</dcterms:modified>
</cp:coreProperties>
</file>