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787BC032" w:rsidR="00817DD6" w:rsidRPr="00FB261D" w:rsidRDefault="00FB261D" w:rsidP="00FB261D">
      <w:pPr>
        <w:pStyle w:val="AuthorList"/>
        <w:rPr>
          <w:sz w:val="32"/>
          <w:szCs w:val="32"/>
          <w:lang w:val="uz-Cyrl-UZ"/>
        </w:rPr>
      </w:pPr>
      <w:r>
        <w:rPr>
          <w:sz w:val="32"/>
          <w:szCs w:val="32"/>
        </w:rPr>
        <w:t>M</w:t>
      </w:r>
      <w:r w:rsidRPr="003E324B">
        <w:rPr>
          <w:sz w:val="32"/>
          <w:szCs w:val="32"/>
          <w:lang w:val="uz-Cyrl-UZ"/>
        </w:rPr>
        <w:t>odeled energetics of bacterial communities in ancient subzero brines</w:t>
      </w:r>
    </w:p>
    <w:p w14:paraId="2F6A2DA8" w14:textId="219F8F49" w:rsidR="00FB261D" w:rsidRPr="003E324B" w:rsidRDefault="00FB261D" w:rsidP="00FB261D">
      <w:pPr>
        <w:pStyle w:val="AuthorList"/>
      </w:pPr>
      <w:r w:rsidRPr="003E324B">
        <w:t>Georges Kanaan</w:t>
      </w:r>
      <w:r w:rsidRPr="003E324B">
        <w:rPr>
          <w:vertAlign w:val="superscript"/>
        </w:rPr>
        <w:t>*</w:t>
      </w:r>
      <w:r w:rsidRPr="003E324B">
        <w:t xml:space="preserve">, Tori M. </w:t>
      </w:r>
      <w:proofErr w:type="spellStart"/>
      <w:r w:rsidRPr="003E324B">
        <w:t>Hoehler</w:t>
      </w:r>
      <w:proofErr w:type="spellEnd"/>
      <w:r w:rsidRPr="003E324B">
        <w:t xml:space="preserve">, </w:t>
      </w:r>
      <w:r>
        <w:t xml:space="preserve">Go </w:t>
      </w:r>
      <w:proofErr w:type="spellStart"/>
      <w:r>
        <w:t>Iwahana</w:t>
      </w:r>
      <w:proofErr w:type="spellEnd"/>
      <w:r>
        <w:t xml:space="preserve">, </w:t>
      </w:r>
      <w:r w:rsidRPr="003E324B">
        <w:t>Jody W. Deming</w:t>
      </w:r>
    </w:p>
    <w:p w14:paraId="4916FCC9" w14:textId="30A5DA37" w:rsidR="00994A3D" w:rsidRPr="00FB261D" w:rsidRDefault="002868E2" w:rsidP="00FB261D">
      <w:pPr>
        <w:spacing w:before="240" w:after="0"/>
        <w:rPr>
          <w:rFonts w:cs="Times New Roman"/>
        </w:rPr>
      </w:pPr>
      <w:r w:rsidRPr="00994A3D">
        <w:rPr>
          <w:rFonts w:cs="Times New Roman"/>
          <w:b/>
        </w:rPr>
        <w:t xml:space="preserve">* Correspondence: </w:t>
      </w:r>
      <w:r w:rsidR="00FB261D">
        <w:rPr>
          <w:rFonts w:cs="Times New Roman"/>
        </w:rPr>
        <w:t>Georges Kanaan: georges@gkanaan.com</w:t>
      </w:r>
    </w:p>
    <w:p w14:paraId="11EC8DA1" w14:textId="77777777" w:rsidR="00994A3D" w:rsidRPr="001549D3" w:rsidRDefault="00994A3D" w:rsidP="00994A3D">
      <w:pPr>
        <w:keepNext/>
        <w:jc w:val="center"/>
        <w:rPr>
          <w:rFonts w:cs="Times New Roman"/>
          <w:szCs w:val="24"/>
        </w:rPr>
      </w:pPr>
      <w:r w:rsidRPr="001549D3">
        <w:rPr>
          <w:b/>
          <w:noProof/>
          <w:lang w:val="en-GB" w:eastAsia="en-GB"/>
        </w:rPr>
        <w:lastRenderedPageBreak/>
        <w:drawing>
          <wp:inline distT="0" distB="0" distL="0" distR="0" wp14:anchorId="4ACC5B9F" wp14:editId="4974A883">
            <wp:extent cx="3937167" cy="7943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167" cy="7943866"/>
                    </a:xfrm>
                    <a:prstGeom prst="rect">
                      <a:avLst/>
                    </a:prstGeom>
                    <a:noFill/>
                    <a:ln>
                      <a:noFill/>
                    </a:ln>
                  </pic:spPr>
                </pic:pic>
              </a:graphicData>
            </a:graphic>
          </wp:inline>
        </w:drawing>
      </w:r>
    </w:p>
    <w:p w14:paraId="0F88F6CE" w14:textId="2E64EE33" w:rsidR="00652437" w:rsidRPr="00652437" w:rsidRDefault="00FB261D" w:rsidP="00FB261D">
      <w:pPr>
        <w:rPr>
          <w:rFonts w:eastAsiaTheme="minorEastAsia" w:cs="Times New Roman"/>
        </w:rPr>
      </w:pPr>
      <w:r w:rsidRPr="005878E4">
        <w:rPr>
          <w:rFonts w:cs="Times New Roman"/>
          <w:b/>
        </w:rPr>
        <w:lastRenderedPageBreak/>
        <w:t xml:space="preserve">Figure </w:t>
      </w:r>
      <w:r>
        <w:rPr>
          <w:rFonts w:cs="Times New Roman"/>
          <w:b/>
        </w:rPr>
        <w:t>S1</w:t>
      </w:r>
      <w:r w:rsidRPr="005878E4">
        <w:rPr>
          <w:rFonts w:cs="Times New Roman"/>
          <w:b/>
        </w:rPr>
        <w:t>.</w:t>
      </w:r>
      <w:r w:rsidRPr="00215A34">
        <w:rPr>
          <w:rFonts w:cs="Times New Roman"/>
        </w:rPr>
        <w:t xml:space="preserve"> </w:t>
      </w:r>
      <w:r w:rsidRPr="005878E4">
        <w:rPr>
          <w:rFonts w:cs="Times New Roman"/>
        </w:rPr>
        <w:t xml:space="preserve">Model predictions of </w:t>
      </w:r>
      <w:r>
        <w:rPr>
          <w:rFonts w:cs="Times New Roman"/>
        </w:rPr>
        <w:t xml:space="preserve">particulate (POC) and dissolved organic carbon (DOC), dissolved inorganic carbon (DIC), and </w:t>
      </w:r>
      <w:r w:rsidRPr="005878E4">
        <w:rPr>
          <w:rFonts w:cs="Times New Roman"/>
        </w:rPr>
        <w:t>cell density over the lifetime of the system for each cryopeg brine scenario</w:t>
      </w:r>
      <w:r w:rsidR="00652437">
        <w:rPr>
          <w:rFonts w:cs="Times New Roman"/>
        </w:rPr>
        <w:t xml:space="preserve"> </w:t>
      </w:r>
      <w:r w:rsidR="00652437" w:rsidRPr="00652437">
        <w:rPr>
          <w:rFonts w:eastAsiaTheme="minorEastAsia" w:cs="Times New Roman"/>
        </w:rPr>
        <w:t>(CB1, CB4, CBIW)</w:t>
      </w:r>
      <w:r w:rsidRPr="005878E4">
        <w:rPr>
          <w:rFonts w:cs="Times New Roman"/>
        </w:rPr>
        <w:t xml:space="preserve">. </w:t>
      </w:r>
      <w:r w:rsidR="00652437" w:rsidRPr="00652437">
        <w:rPr>
          <w:rFonts w:eastAsiaTheme="minorEastAsia" w:cs="Times New Roman"/>
        </w:rPr>
        <w:t>Each row (A–H) depicts simulations based on a unique combination of conditions: minimum or maximum growth rate (µ</w:t>
      </w:r>
      <w:r w:rsidR="00652437" w:rsidRPr="00652437">
        <w:rPr>
          <w:rFonts w:eastAsiaTheme="minorEastAsia" w:cs="Times New Roman"/>
          <w:vertAlign w:val="subscript"/>
        </w:rPr>
        <w:t>max</w:t>
      </w:r>
      <w:r w:rsidR="00652437" w:rsidRPr="00652437">
        <w:rPr>
          <w:rFonts w:eastAsiaTheme="minorEastAsia" w:cs="Times New Roman"/>
        </w:rPr>
        <w:t>), low or high cell-specific metabolic rate (</w:t>
      </w:r>
      <w:r w:rsidR="00652437" w:rsidRPr="00652437">
        <w:rPr>
          <w:rFonts w:eastAsiaTheme="minorEastAsia" w:cs="Times New Roman"/>
          <w:i/>
          <w:iCs/>
        </w:rPr>
        <w:t>m</w:t>
      </w:r>
      <w:r w:rsidR="00652437" w:rsidRPr="00652437">
        <w:rPr>
          <w:rFonts w:eastAsiaTheme="minorEastAsia" w:cs="Times New Roman"/>
        </w:rPr>
        <w:t xml:space="preserve">), and measured or calculated cell-specific </w:t>
      </w:r>
      <w:r w:rsidR="00652437">
        <w:rPr>
          <w:rFonts w:cs="Times New Roman"/>
        </w:rPr>
        <w:t>extracellular enzyme activity</w:t>
      </w:r>
      <w:r w:rsidR="00652437" w:rsidRPr="00652437">
        <w:rPr>
          <w:rFonts w:eastAsiaTheme="minorEastAsia" w:cs="Times New Roman"/>
        </w:rPr>
        <w:t xml:space="preserve"> </w:t>
      </w:r>
      <w:r w:rsidR="00652437">
        <w:rPr>
          <w:rFonts w:eastAsiaTheme="minorEastAsia" w:cs="Times New Roman"/>
        </w:rPr>
        <w:t>(</w:t>
      </w:r>
      <w:r w:rsidR="00652437" w:rsidRPr="00652437">
        <w:rPr>
          <w:rFonts w:eastAsiaTheme="minorEastAsia" w:cs="Times New Roman"/>
        </w:rPr>
        <w:t>EEA</w:t>
      </w:r>
      <w:r w:rsidR="00652437">
        <w:rPr>
          <w:rFonts w:eastAsiaTheme="minorEastAsia" w:cs="Times New Roman"/>
        </w:rPr>
        <w:t>)</w:t>
      </w:r>
      <w:r w:rsidR="00652437" w:rsidRPr="00652437">
        <w:rPr>
          <w:rFonts w:eastAsiaTheme="minorEastAsia" w:cs="Times New Roman"/>
        </w:rPr>
        <w:t xml:space="preserve"> rate (</w:t>
      </w:r>
      <m:oMath>
        <m:sSub>
          <m:sSubPr>
            <m:ctrlPr>
              <w:rPr>
                <w:rFonts w:ascii="Cambria Math" w:eastAsiaTheme="minorEastAsia" w:hAnsi="Cambria Math" w:cs="Times New Roman"/>
                <w:i/>
              </w:rPr>
            </m:ctrlPr>
          </m:sSubPr>
          <m:e>
            <m:r>
              <w:rPr>
                <w:rFonts w:ascii="Cambria Math" w:eastAsiaTheme="minorEastAsia" w:hAnsi="Cambria Math" w:cs="Times New Roman"/>
              </w:rPr>
              <m:t>α</m:t>
            </m:r>
          </m:e>
          <m:sub>
            <m:r>
              <w:rPr>
                <w:rFonts w:ascii="Cambria Math" w:eastAsiaTheme="minorEastAsia" w:hAnsi="Cambria Math" w:cs="Times New Roman"/>
              </w:rPr>
              <m:t>cell</m:t>
            </m:r>
          </m:sub>
        </m:sSub>
      </m:oMath>
      <w:r w:rsidR="00652437" w:rsidRPr="00652437">
        <w:rPr>
          <w:rFonts w:eastAsiaTheme="minorEastAsia" w:cs="Times New Roman"/>
        </w:rPr>
        <w:t>). The resulting variations show the importance of EEA, which dictates the quantity of available DOC to the system. When EEA is high enough to allow the community to use all available POC, as in row E, the energetic demand posed by the fast-growing community depletes the available organic system in the system before simulation end. In other cases, such as in row G, significant quantities of POC remain due to an EEA bottleneck.</w:t>
      </w:r>
    </w:p>
    <w:p w14:paraId="58F1AED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2801D" w14:textId="77777777" w:rsidR="0084122F" w:rsidRDefault="0084122F" w:rsidP="00117666">
      <w:pPr>
        <w:spacing w:after="0"/>
      </w:pPr>
      <w:r>
        <w:separator/>
      </w:r>
    </w:p>
  </w:endnote>
  <w:endnote w:type="continuationSeparator" w:id="0">
    <w:p w14:paraId="4D2392CB" w14:textId="77777777" w:rsidR="0084122F" w:rsidRDefault="0084122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9140F" w14:textId="77777777" w:rsidR="0084122F" w:rsidRDefault="0084122F" w:rsidP="00117666">
      <w:pPr>
        <w:spacing w:after="0"/>
      </w:pPr>
      <w:r>
        <w:separator/>
      </w:r>
    </w:p>
  </w:footnote>
  <w:footnote w:type="continuationSeparator" w:id="0">
    <w:p w14:paraId="60C19BD4" w14:textId="77777777" w:rsidR="0084122F" w:rsidRDefault="0084122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2E1DBC"/>
    <w:rsid w:val="003544FB"/>
    <w:rsid w:val="003D2F2D"/>
    <w:rsid w:val="00401590"/>
    <w:rsid w:val="00436CCB"/>
    <w:rsid w:val="00447801"/>
    <w:rsid w:val="00452E9C"/>
    <w:rsid w:val="004735C8"/>
    <w:rsid w:val="004961FF"/>
    <w:rsid w:val="00517A89"/>
    <w:rsid w:val="005250F2"/>
    <w:rsid w:val="00593EEA"/>
    <w:rsid w:val="005A5EEE"/>
    <w:rsid w:val="006375C7"/>
    <w:rsid w:val="00652437"/>
    <w:rsid w:val="00654E8F"/>
    <w:rsid w:val="00660D05"/>
    <w:rsid w:val="006820B1"/>
    <w:rsid w:val="006B7D14"/>
    <w:rsid w:val="00701727"/>
    <w:rsid w:val="0070566C"/>
    <w:rsid w:val="00714C50"/>
    <w:rsid w:val="00725A7D"/>
    <w:rsid w:val="007501BE"/>
    <w:rsid w:val="00790BB3"/>
    <w:rsid w:val="007C206C"/>
    <w:rsid w:val="00803D24"/>
    <w:rsid w:val="00817DD6"/>
    <w:rsid w:val="0084122F"/>
    <w:rsid w:val="00885156"/>
    <w:rsid w:val="009151AA"/>
    <w:rsid w:val="0093429D"/>
    <w:rsid w:val="00943573"/>
    <w:rsid w:val="00970F7D"/>
    <w:rsid w:val="00994A3D"/>
    <w:rsid w:val="009C2B12"/>
    <w:rsid w:val="009C70F3"/>
    <w:rsid w:val="00A174D9"/>
    <w:rsid w:val="00A5181A"/>
    <w:rsid w:val="00A569CD"/>
    <w:rsid w:val="00AB6715"/>
    <w:rsid w:val="00B1671E"/>
    <w:rsid w:val="00B25EB8"/>
    <w:rsid w:val="00B354E1"/>
    <w:rsid w:val="00B37F4D"/>
    <w:rsid w:val="00C52A7B"/>
    <w:rsid w:val="00C56BAF"/>
    <w:rsid w:val="00C679AA"/>
    <w:rsid w:val="00C75972"/>
    <w:rsid w:val="00CC0A3A"/>
    <w:rsid w:val="00CD066B"/>
    <w:rsid w:val="00CE4FEE"/>
    <w:rsid w:val="00D0423A"/>
    <w:rsid w:val="00DB59C3"/>
    <w:rsid w:val="00DC259A"/>
    <w:rsid w:val="00DE23E8"/>
    <w:rsid w:val="00E52377"/>
    <w:rsid w:val="00E64E17"/>
    <w:rsid w:val="00E866C9"/>
    <w:rsid w:val="00EA3D3C"/>
    <w:rsid w:val="00F46900"/>
    <w:rsid w:val="00F61D89"/>
    <w:rsid w:val="00FB2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6524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7162855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3</Pages>
  <Words>167</Words>
  <Characters>955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Sophie Robinson</cp:lastModifiedBy>
  <cp:revision>2</cp:revision>
  <cp:lastPrinted>2013-10-03T12:51:00Z</cp:lastPrinted>
  <dcterms:created xsi:type="dcterms:W3CDTF">2023-07-06T08:58:00Z</dcterms:created>
  <dcterms:modified xsi:type="dcterms:W3CDTF">2023-07-06T08:58:00Z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