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41" w:rsidRPr="00A66704" w:rsidRDefault="00964A41" w:rsidP="00964A41">
      <w:pPr>
        <w:pStyle w:val="Titre1"/>
        <w:rPr>
          <w:rFonts w:cs="Times New Roman"/>
          <w:lang w:val="en-CA"/>
        </w:rPr>
      </w:pPr>
      <w:r w:rsidRPr="00A66704">
        <w:rPr>
          <w:rFonts w:cs="Times New Roman"/>
          <w:lang w:val="en-CA"/>
        </w:rPr>
        <w:t>Appendices</w:t>
      </w:r>
    </w:p>
    <w:p w:rsidR="00964A41" w:rsidRPr="00A66704" w:rsidRDefault="00964A41" w:rsidP="00964A41">
      <w:pPr>
        <w:pStyle w:val="Tabletitle"/>
        <w:rPr>
          <w:lang w:val="en-CA" w:eastAsia="fr-FR"/>
        </w:rPr>
      </w:pPr>
      <w:r w:rsidRPr="00A66704">
        <w:rPr>
          <w:lang w:val="en-CA" w:eastAsia="fr-FR"/>
        </w:rPr>
        <w:t>Table 1: List of antibodies and reagents used in this study</w:t>
      </w:r>
    </w:p>
    <w:tbl>
      <w:tblPr>
        <w:tblStyle w:val="Grilledutableau1"/>
        <w:tblpPr w:leftFromText="141" w:rightFromText="141" w:vertAnchor="text" w:tblpXSpec="center" w:tblpY="1"/>
        <w:tblOverlap w:val="never"/>
        <w:tblW w:w="8300" w:type="dxa"/>
        <w:tblLook w:val="04A0" w:firstRow="1" w:lastRow="0" w:firstColumn="1" w:lastColumn="0" w:noHBand="0" w:noVBand="1"/>
      </w:tblPr>
      <w:tblGrid>
        <w:gridCol w:w="1874"/>
        <w:gridCol w:w="1560"/>
        <w:gridCol w:w="1656"/>
        <w:gridCol w:w="1744"/>
        <w:gridCol w:w="1466"/>
      </w:tblGrid>
      <w:tr w:rsidR="00964A41" w:rsidRPr="00A66704" w:rsidTr="005A147F">
        <w:trPr>
          <w:cantSplit/>
          <w:trHeight w:val="696"/>
        </w:trPr>
        <w:tc>
          <w:tcPr>
            <w:tcW w:w="1687" w:type="dxa"/>
            <w:vAlign w:val="center"/>
          </w:tcPr>
          <w:p w:rsidR="00964A41" w:rsidRPr="00A66704" w:rsidRDefault="00964A41" w:rsidP="005A147F">
            <w:pPr>
              <w:spacing w:line="240" w:lineRule="auto"/>
              <w:jc w:val="center"/>
              <w:rPr>
                <w:sz w:val="22"/>
                <w:szCs w:val="22"/>
                <w:lang w:val="en-CA" w:eastAsia="fr-FR"/>
              </w:rPr>
            </w:pPr>
            <w:bookmarkStart w:id="0" w:name="_Hlk132131042"/>
            <w:r w:rsidRPr="00A66704">
              <w:rPr>
                <w:sz w:val="22"/>
                <w:szCs w:val="22"/>
                <w:lang w:val="en-CA" w:eastAsia="fr-FR"/>
              </w:rPr>
              <w:t>Target or product</w:t>
            </w:r>
          </w:p>
        </w:tc>
        <w:tc>
          <w:tcPr>
            <w:tcW w:w="1611"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Primary labeling</w:t>
            </w:r>
            <w:r>
              <w:rPr>
                <w:sz w:val="22"/>
                <w:szCs w:val="22"/>
                <w:lang w:val="en-CA" w:eastAsia="fr-FR"/>
              </w:rPr>
              <w:t xml:space="preserve"> </w:t>
            </w:r>
            <w:r>
              <w:rPr>
                <w:sz w:val="22"/>
                <w:szCs w:val="22"/>
                <w:lang w:val="en-CA" w:eastAsia="fr-FR"/>
              </w:rPr>
              <w:t>antibody</w:t>
            </w:r>
          </w:p>
        </w:tc>
        <w:tc>
          <w:tcPr>
            <w:tcW w:w="1682"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Dilution or concentration (Reference)</w:t>
            </w:r>
          </w:p>
        </w:tc>
        <w:tc>
          <w:tcPr>
            <w:tcW w:w="1826" w:type="dxa"/>
            <w:vAlign w:val="center"/>
          </w:tcPr>
          <w:p w:rsidR="00964A41" w:rsidRPr="00A66704" w:rsidRDefault="00964A41" w:rsidP="005A147F">
            <w:pPr>
              <w:spacing w:line="240" w:lineRule="auto"/>
              <w:jc w:val="center"/>
              <w:rPr>
                <w:sz w:val="22"/>
                <w:szCs w:val="22"/>
                <w:lang w:val="en-CA" w:eastAsia="fr-FR"/>
              </w:rPr>
            </w:pPr>
            <w:r>
              <w:rPr>
                <w:sz w:val="22"/>
                <w:szCs w:val="22"/>
                <w:lang w:val="en-CA" w:eastAsia="fr-FR"/>
              </w:rPr>
              <w:t>S</w:t>
            </w:r>
            <w:r w:rsidRPr="00A66704">
              <w:rPr>
                <w:sz w:val="22"/>
                <w:szCs w:val="22"/>
                <w:lang w:val="en-CA" w:eastAsia="fr-FR"/>
              </w:rPr>
              <w:t>econdary labeling</w:t>
            </w:r>
            <w:r>
              <w:rPr>
                <w:sz w:val="22"/>
                <w:szCs w:val="22"/>
                <w:lang w:val="en-CA" w:eastAsia="fr-FR"/>
              </w:rPr>
              <w:t xml:space="preserve"> </w:t>
            </w:r>
            <w:r>
              <w:rPr>
                <w:sz w:val="22"/>
                <w:szCs w:val="22"/>
                <w:lang w:val="en-CA" w:eastAsia="fr-FR"/>
              </w:rPr>
              <w:t>antibody</w:t>
            </w:r>
          </w:p>
        </w:tc>
        <w:tc>
          <w:tcPr>
            <w:tcW w:w="1494"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Dilution (Reference)</w:t>
            </w:r>
          </w:p>
        </w:tc>
      </w:tr>
      <w:tr w:rsidR="00964A41" w:rsidRPr="00A66704" w:rsidTr="005A147F">
        <w:trPr>
          <w:cantSplit/>
          <w:trHeight w:val="710"/>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RVFV N structural protein</w:t>
            </w:r>
          </w:p>
        </w:tc>
        <w:tc>
          <w:tcPr>
            <w:tcW w:w="1611"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Monoclonal mouse IgG1 anti-N RVFV</w:t>
            </w: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 (Cirad, 15G6-4B8)</w:t>
            </w:r>
          </w:p>
        </w:tc>
        <w:tc>
          <w:tcPr>
            <w:tcW w:w="1826"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donkey IgG anti-mouse IgG 555</w:t>
            </w:r>
          </w:p>
        </w:tc>
        <w:tc>
          <w:tcPr>
            <w:tcW w:w="1494"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1:500 (Invitrogen A31570)</w:t>
            </w:r>
          </w:p>
        </w:tc>
      </w:tr>
      <w:tr w:rsidR="00964A41" w:rsidRPr="00A66704" w:rsidTr="005A147F">
        <w:trPr>
          <w:cantSplit/>
          <w:trHeight w:val="459"/>
        </w:trPr>
        <w:tc>
          <w:tcPr>
            <w:tcW w:w="1687" w:type="dxa"/>
            <w:vAlign w:val="center"/>
          </w:tcPr>
          <w:p w:rsidR="00964A41" w:rsidRPr="00A66704" w:rsidRDefault="00964A41" w:rsidP="005A147F">
            <w:pPr>
              <w:spacing w:line="240" w:lineRule="auto"/>
              <w:jc w:val="center"/>
              <w:rPr>
                <w:sz w:val="22"/>
                <w:szCs w:val="22"/>
                <w:lang w:val="en-CA" w:eastAsia="fr-FR"/>
              </w:rPr>
            </w:pPr>
            <w:r>
              <w:rPr>
                <w:sz w:val="22"/>
                <w:szCs w:val="22"/>
                <w:lang w:val="en-CA" w:eastAsia="fr-FR"/>
              </w:rPr>
              <w:t xml:space="preserve">Astrocyte </w:t>
            </w:r>
            <w:r w:rsidRPr="00A66704">
              <w:rPr>
                <w:sz w:val="22"/>
                <w:szCs w:val="22"/>
                <w:lang w:val="en-CA" w:eastAsia="fr-FR"/>
              </w:rPr>
              <w:t>GFAP</w:t>
            </w:r>
          </w:p>
        </w:tc>
        <w:tc>
          <w:tcPr>
            <w:tcW w:w="1611"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goat IgG anti-GFAP</w:t>
            </w: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1:100 (Abcam ab53554)</w:t>
            </w:r>
          </w:p>
        </w:tc>
        <w:tc>
          <w:tcPr>
            <w:tcW w:w="1826"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rabbit Ig anti-goat Ig 488</w:t>
            </w:r>
          </w:p>
        </w:tc>
        <w:tc>
          <w:tcPr>
            <w:tcW w:w="1494"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 (DAKO, F0250)</w:t>
            </w:r>
          </w:p>
        </w:tc>
      </w:tr>
      <w:tr w:rsidR="00964A41" w:rsidRPr="00A66704" w:rsidTr="005A147F">
        <w:trPr>
          <w:cantSplit/>
          <w:trHeight w:val="696"/>
        </w:trPr>
        <w:tc>
          <w:tcPr>
            <w:tcW w:w="1687" w:type="dxa"/>
            <w:vAlign w:val="center"/>
          </w:tcPr>
          <w:p w:rsidR="00964A41" w:rsidRPr="00A66704" w:rsidRDefault="00964A41" w:rsidP="005A147F">
            <w:pPr>
              <w:spacing w:line="240" w:lineRule="auto"/>
              <w:jc w:val="center"/>
              <w:rPr>
                <w:sz w:val="22"/>
                <w:szCs w:val="22"/>
                <w:lang w:val="en-CA" w:eastAsia="fr-FR"/>
              </w:rPr>
            </w:pPr>
            <w:r>
              <w:rPr>
                <w:sz w:val="22"/>
                <w:szCs w:val="22"/>
                <w:lang w:val="en-CA" w:eastAsia="fr-FR"/>
              </w:rPr>
              <w:t xml:space="preserve">RVFV </w:t>
            </w:r>
            <w:r w:rsidRPr="00A66704">
              <w:rPr>
                <w:sz w:val="22"/>
                <w:szCs w:val="22"/>
                <w:lang w:val="en-CA" w:eastAsia="fr-FR"/>
              </w:rPr>
              <w:t>NSs</w:t>
            </w:r>
            <w:r>
              <w:rPr>
                <w:sz w:val="22"/>
                <w:szCs w:val="22"/>
                <w:lang w:val="en-CA" w:eastAsia="fr-FR"/>
              </w:rPr>
              <w:t xml:space="preserve"> protein</w:t>
            </w:r>
          </w:p>
        </w:tc>
        <w:tc>
          <w:tcPr>
            <w:tcW w:w="1611" w:type="dxa"/>
            <w:shd w:val="clear" w:color="auto" w:fill="auto"/>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w:t>
            </w:r>
            <w:r w:rsidRPr="009B051B">
              <w:rPr>
                <w:sz w:val="20"/>
                <w:szCs w:val="22"/>
                <w:lang w:val="en-CA" w:eastAsia="fr-FR"/>
              </w:rPr>
              <w:t xml:space="preserve"> mouse</w:t>
            </w:r>
            <w:r w:rsidRPr="009B051B">
              <w:rPr>
                <w:sz w:val="20"/>
                <w:szCs w:val="22"/>
                <w:lang w:val="en-CA" w:eastAsia="fr-FR"/>
              </w:rPr>
              <w:t xml:space="preserve"> Ig </w:t>
            </w:r>
            <w:bookmarkStart w:id="1" w:name="_GoBack"/>
            <w:bookmarkEnd w:id="1"/>
            <w:r w:rsidRPr="009B051B">
              <w:rPr>
                <w:sz w:val="20"/>
                <w:szCs w:val="22"/>
                <w:lang w:val="en-CA" w:eastAsia="fr-FR"/>
              </w:rPr>
              <w:t xml:space="preserve">anti-NSs </w:t>
            </w:r>
          </w:p>
        </w:tc>
        <w:tc>
          <w:tcPr>
            <w:tcW w:w="1682" w:type="dxa"/>
            <w:shd w:val="clear" w:color="auto" w:fill="auto"/>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1:200 (Yadani et al., 1999)</w:t>
            </w:r>
          </w:p>
        </w:tc>
        <w:tc>
          <w:tcPr>
            <w:tcW w:w="1826" w:type="dxa"/>
            <w:shd w:val="clear" w:color="auto" w:fill="auto"/>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donkey IgG anti-rabbit IgG 488</w:t>
            </w:r>
          </w:p>
        </w:tc>
        <w:tc>
          <w:tcPr>
            <w:tcW w:w="1494" w:type="dxa"/>
            <w:shd w:val="clear" w:color="auto" w:fill="auto"/>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1:500 (Invitrogen A32790)</w:t>
            </w:r>
          </w:p>
        </w:tc>
      </w:tr>
      <w:tr w:rsidR="00964A41" w:rsidRPr="00A66704" w:rsidTr="005A147F">
        <w:trPr>
          <w:cantSplit/>
          <w:trHeight w:val="696"/>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Cleaved-caspase 3</w:t>
            </w:r>
          </w:p>
        </w:tc>
        <w:tc>
          <w:tcPr>
            <w:tcW w:w="1611"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rabbit IgG anti-cleaved Caspase 3</w:t>
            </w: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w:t>
            </w:r>
            <w:r w:rsidRPr="009B051B">
              <w:rPr>
                <w:color w:val="000000"/>
                <w:sz w:val="20"/>
                <w:szCs w:val="22"/>
                <w:lang w:val="en-CA" w:eastAsia="fr-FR"/>
              </w:rPr>
              <w:t>50 (Merck, AB3623)</w:t>
            </w:r>
          </w:p>
        </w:tc>
        <w:tc>
          <w:tcPr>
            <w:tcW w:w="1826"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donkey IgG anti-rabbit IgG 488</w:t>
            </w:r>
          </w:p>
        </w:tc>
        <w:tc>
          <w:tcPr>
            <w:tcW w:w="1494"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1:500 (Invitrogen A32790)</w:t>
            </w:r>
          </w:p>
        </w:tc>
      </w:tr>
      <w:tr w:rsidR="00964A41" w:rsidRPr="00A66704" w:rsidTr="005A147F">
        <w:trPr>
          <w:cantSplit/>
          <w:trHeight w:val="710"/>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 xml:space="preserve">Cleaved-caspase 3 </w:t>
            </w:r>
          </w:p>
        </w:tc>
        <w:tc>
          <w:tcPr>
            <w:tcW w:w="1611"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rabbit IgG anti-cleaved Caspase 3</w:t>
            </w: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w:t>
            </w:r>
            <w:r w:rsidRPr="009B051B">
              <w:rPr>
                <w:color w:val="000000"/>
                <w:sz w:val="20"/>
                <w:szCs w:val="22"/>
                <w:lang w:val="en-CA" w:eastAsia="fr-FR"/>
              </w:rPr>
              <w:t>200 (Cell Signaling, 9661)</w:t>
            </w:r>
          </w:p>
        </w:tc>
        <w:tc>
          <w:tcPr>
            <w:tcW w:w="1826"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Polyclonal donkey IgG anti-rabbit IgG 488</w:t>
            </w:r>
          </w:p>
        </w:tc>
        <w:tc>
          <w:tcPr>
            <w:tcW w:w="1494"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1:500 (Invitrogen A32790)</w:t>
            </w:r>
          </w:p>
        </w:tc>
      </w:tr>
      <w:tr w:rsidR="00964A41" w:rsidRPr="00A66704" w:rsidTr="005A147F">
        <w:trPr>
          <w:cantSplit/>
          <w:trHeight w:val="696"/>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Nucleus</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826"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 xml:space="preserve">DAPI </w:t>
            </w:r>
          </w:p>
        </w:tc>
        <w:tc>
          <w:tcPr>
            <w:tcW w:w="1494"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1:1000 (Sigma-Aldrich, MBD0015)</w:t>
            </w:r>
          </w:p>
        </w:tc>
      </w:tr>
      <w:tr w:rsidR="00964A41" w:rsidRPr="00A66704" w:rsidTr="005A147F">
        <w:trPr>
          <w:cantSplit/>
          <w:trHeight w:val="696"/>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Phosphate-buffered saline (PBS)</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1X (</w:t>
            </w:r>
            <w:r w:rsidRPr="009B051B">
              <w:rPr>
                <w:sz w:val="20"/>
                <w:szCs w:val="22"/>
                <w:lang w:val="en-CA"/>
              </w:rPr>
              <w:t>Sigma-Aldrich, D8537</w:t>
            </w:r>
            <w:r w:rsidRPr="009B051B">
              <w:rPr>
                <w:sz w:val="20"/>
                <w:szCs w:val="22"/>
                <w:lang w:val="en-CA" w:eastAsia="fr-FR"/>
              </w:rPr>
              <w:t>)</w:t>
            </w:r>
          </w:p>
        </w:tc>
        <w:tc>
          <w:tcPr>
            <w:tcW w:w="1826"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494" w:type="dxa"/>
            <w:shd w:val="clear" w:color="auto" w:fill="EDEDED"/>
            <w:vAlign w:val="center"/>
          </w:tcPr>
          <w:p w:rsidR="00964A41" w:rsidRPr="009B051B" w:rsidRDefault="00964A41" w:rsidP="005A147F">
            <w:pPr>
              <w:spacing w:line="240" w:lineRule="auto"/>
              <w:jc w:val="center"/>
              <w:rPr>
                <w:sz w:val="20"/>
                <w:szCs w:val="22"/>
                <w:lang w:val="en-CA" w:eastAsia="fr-FR"/>
              </w:rPr>
            </w:pPr>
          </w:p>
        </w:tc>
      </w:tr>
      <w:tr w:rsidR="00964A41" w:rsidRPr="00A66704" w:rsidTr="005A147F">
        <w:trPr>
          <w:cantSplit/>
          <w:trHeight w:val="473"/>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Triton 100X</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color w:val="000000"/>
                <w:sz w:val="20"/>
                <w:szCs w:val="22"/>
                <w:lang w:val="en-CA" w:eastAsia="fr-FR"/>
              </w:rPr>
              <w:t xml:space="preserve">0.1% </w:t>
            </w:r>
            <w:r w:rsidRPr="009B051B">
              <w:rPr>
                <w:sz w:val="20"/>
                <w:szCs w:val="22"/>
                <w:lang w:val="en-CA" w:eastAsia="fr-FR"/>
              </w:rPr>
              <w:t>(Sigma-Aldrich, 93443)</w:t>
            </w:r>
          </w:p>
        </w:tc>
        <w:tc>
          <w:tcPr>
            <w:tcW w:w="1826"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494" w:type="dxa"/>
            <w:shd w:val="clear" w:color="auto" w:fill="EDEDED"/>
            <w:vAlign w:val="center"/>
          </w:tcPr>
          <w:p w:rsidR="00964A41" w:rsidRPr="009B051B" w:rsidRDefault="00964A41" w:rsidP="005A147F">
            <w:pPr>
              <w:spacing w:line="240" w:lineRule="auto"/>
              <w:jc w:val="center"/>
              <w:rPr>
                <w:sz w:val="20"/>
                <w:szCs w:val="22"/>
                <w:lang w:val="en-CA" w:eastAsia="fr-FR"/>
              </w:rPr>
            </w:pPr>
          </w:p>
        </w:tc>
      </w:tr>
      <w:tr w:rsidR="00964A41" w:rsidRPr="00A66704" w:rsidTr="005A147F">
        <w:trPr>
          <w:cantSplit/>
          <w:trHeight w:val="459"/>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Paraformaldehyde (PFA)</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4% (</w:t>
            </w:r>
            <w:r w:rsidRPr="009B051B">
              <w:rPr>
                <w:sz w:val="20"/>
                <w:szCs w:val="22"/>
                <w:lang w:val="en-CA"/>
              </w:rPr>
              <w:t>Sigma-Aldrich, P6148</w:t>
            </w:r>
            <w:r w:rsidRPr="009B051B">
              <w:rPr>
                <w:sz w:val="20"/>
                <w:szCs w:val="22"/>
                <w:lang w:val="en-CA" w:eastAsia="fr-FR"/>
              </w:rPr>
              <w:t>)</w:t>
            </w:r>
          </w:p>
        </w:tc>
        <w:tc>
          <w:tcPr>
            <w:tcW w:w="1826"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494" w:type="dxa"/>
            <w:shd w:val="clear" w:color="auto" w:fill="EDEDED"/>
            <w:vAlign w:val="center"/>
          </w:tcPr>
          <w:p w:rsidR="00964A41" w:rsidRPr="009B051B" w:rsidRDefault="00964A41" w:rsidP="005A147F">
            <w:pPr>
              <w:spacing w:line="240" w:lineRule="auto"/>
              <w:jc w:val="center"/>
              <w:rPr>
                <w:sz w:val="20"/>
                <w:szCs w:val="22"/>
                <w:lang w:val="en-CA" w:eastAsia="fr-FR"/>
              </w:rPr>
            </w:pPr>
          </w:p>
        </w:tc>
      </w:tr>
      <w:tr w:rsidR="00964A41" w:rsidRPr="00A66704" w:rsidTr="005A147F">
        <w:trPr>
          <w:cantSplit/>
          <w:trHeight w:val="459"/>
        </w:trPr>
        <w:tc>
          <w:tcPr>
            <w:tcW w:w="1687" w:type="dxa"/>
            <w:vAlign w:val="center"/>
          </w:tcPr>
          <w:p w:rsidR="00964A41" w:rsidRPr="00A66704" w:rsidRDefault="00964A41" w:rsidP="005A147F">
            <w:pPr>
              <w:spacing w:line="240" w:lineRule="auto"/>
              <w:jc w:val="center"/>
              <w:rPr>
                <w:sz w:val="22"/>
                <w:szCs w:val="22"/>
                <w:lang w:val="en-CA" w:eastAsia="fr-FR"/>
              </w:rPr>
            </w:pPr>
            <w:r w:rsidRPr="00A66704">
              <w:rPr>
                <w:sz w:val="22"/>
                <w:szCs w:val="22"/>
                <w:lang w:val="en-CA" w:eastAsia="fr-FR"/>
              </w:rPr>
              <w:t>Bovine serum albumin (BSA)</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2% (</w:t>
            </w:r>
            <w:r w:rsidRPr="009B051B">
              <w:rPr>
                <w:sz w:val="20"/>
                <w:szCs w:val="22"/>
                <w:lang w:val="en-CA"/>
              </w:rPr>
              <w:t>Sigma-Aldrich, A7906</w:t>
            </w:r>
            <w:r w:rsidRPr="009B051B">
              <w:rPr>
                <w:sz w:val="20"/>
                <w:szCs w:val="22"/>
                <w:lang w:val="en-CA" w:eastAsia="fr-FR"/>
              </w:rPr>
              <w:t>)</w:t>
            </w:r>
          </w:p>
        </w:tc>
        <w:tc>
          <w:tcPr>
            <w:tcW w:w="1826"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494" w:type="dxa"/>
            <w:shd w:val="clear" w:color="auto" w:fill="EDEDED"/>
            <w:vAlign w:val="center"/>
          </w:tcPr>
          <w:p w:rsidR="00964A41" w:rsidRPr="009B051B" w:rsidRDefault="00964A41" w:rsidP="005A147F">
            <w:pPr>
              <w:spacing w:line="240" w:lineRule="auto"/>
              <w:jc w:val="center"/>
              <w:rPr>
                <w:sz w:val="20"/>
                <w:szCs w:val="22"/>
                <w:lang w:val="en-CA" w:eastAsia="fr-FR"/>
              </w:rPr>
            </w:pPr>
          </w:p>
        </w:tc>
      </w:tr>
      <w:tr w:rsidR="00964A41" w:rsidRPr="00A66704" w:rsidTr="005A147F">
        <w:trPr>
          <w:cantSplit/>
          <w:trHeight w:val="459"/>
        </w:trPr>
        <w:tc>
          <w:tcPr>
            <w:tcW w:w="1687" w:type="dxa"/>
            <w:vAlign w:val="center"/>
          </w:tcPr>
          <w:p w:rsidR="00964A41" w:rsidRPr="00A66704" w:rsidRDefault="00964A41" w:rsidP="005A147F">
            <w:pPr>
              <w:spacing w:line="240" w:lineRule="auto"/>
              <w:jc w:val="center"/>
              <w:rPr>
                <w:sz w:val="22"/>
                <w:szCs w:val="22"/>
                <w:vertAlign w:val="subscript"/>
                <w:lang w:val="en-CA" w:eastAsia="fr-FR"/>
              </w:rPr>
            </w:pPr>
            <w:r w:rsidRPr="00A66704">
              <w:rPr>
                <w:sz w:val="22"/>
                <w:szCs w:val="22"/>
                <w:lang w:val="en-CA" w:eastAsia="fr-FR"/>
              </w:rPr>
              <w:t>H</w:t>
            </w:r>
            <w:r w:rsidRPr="00A66704">
              <w:rPr>
                <w:sz w:val="22"/>
                <w:szCs w:val="22"/>
                <w:vertAlign w:val="subscript"/>
                <w:lang w:val="en-CA" w:eastAsia="fr-FR"/>
              </w:rPr>
              <w:t>2</w:t>
            </w:r>
            <w:r w:rsidRPr="00A66704">
              <w:rPr>
                <w:sz w:val="22"/>
                <w:szCs w:val="22"/>
                <w:lang w:val="en-CA" w:eastAsia="fr-FR"/>
              </w:rPr>
              <w:t>O</w:t>
            </w:r>
            <w:r w:rsidRPr="00A66704">
              <w:rPr>
                <w:sz w:val="22"/>
                <w:szCs w:val="22"/>
                <w:vertAlign w:val="subscript"/>
                <w:lang w:val="en-CA" w:eastAsia="fr-FR"/>
              </w:rPr>
              <w:t>2</w:t>
            </w:r>
          </w:p>
        </w:tc>
        <w:tc>
          <w:tcPr>
            <w:tcW w:w="1611"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682" w:type="dxa"/>
            <w:vAlign w:val="center"/>
          </w:tcPr>
          <w:p w:rsidR="00964A41" w:rsidRPr="009B051B" w:rsidRDefault="00964A41" w:rsidP="005A147F">
            <w:pPr>
              <w:spacing w:line="240" w:lineRule="auto"/>
              <w:jc w:val="center"/>
              <w:rPr>
                <w:sz w:val="20"/>
                <w:szCs w:val="22"/>
                <w:lang w:val="en-CA" w:eastAsia="fr-FR"/>
              </w:rPr>
            </w:pPr>
            <w:r w:rsidRPr="009B051B">
              <w:rPr>
                <w:sz w:val="20"/>
                <w:szCs w:val="22"/>
                <w:lang w:val="en-CA" w:eastAsia="fr-FR"/>
              </w:rPr>
              <w:t>25mM (</w:t>
            </w:r>
            <w:r w:rsidRPr="009B051B">
              <w:rPr>
                <w:sz w:val="20"/>
                <w:szCs w:val="22"/>
                <w:lang w:val="en-CA"/>
              </w:rPr>
              <w:t xml:space="preserve">Sigma-Aldrich, </w:t>
            </w:r>
            <w:r w:rsidRPr="009B051B">
              <w:rPr>
                <w:color w:val="000000" w:themeColor="text1"/>
                <w:sz w:val="20"/>
                <w:szCs w:val="22"/>
                <w:lang w:val="en-CA"/>
              </w:rPr>
              <w:t>H1009</w:t>
            </w:r>
            <w:r w:rsidRPr="009B051B">
              <w:rPr>
                <w:color w:val="000000"/>
                <w:sz w:val="20"/>
                <w:szCs w:val="22"/>
                <w:lang w:val="en-CA" w:eastAsia="fr-FR"/>
              </w:rPr>
              <w:t>)</w:t>
            </w:r>
          </w:p>
        </w:tc>
        <w:tc>
          <w:tcPr>
            <w:tcW w:w="1826" w:type="dxa"/>
            <w:shd w:val="clear" w:color="auto" w:fill="EDEDED"/>
            <w:vAlign w:val="center"/>
          </w:tcPr>
          <w:p w:rsidR="00964A41" w:rsidRPr="009B051B" w:rsidRDefault="00964A41" w:rsidP="005A147F">
            <w:pPr>
              <w:spacing w:line="240" w:lineRule="auto"/>
              <w:jc w:val="center"/>
              <w:rPr>
                <w:sz w:val="20"/>
                <w:szCs w:val="22"/>
                <w:lang w:val="en-CA" w:eastAsia="fr-FR"/>
              </w:rPr>
            </w:pPr>
          </w:p>
        </w:tc>
        <w:tc>
          <w:tcPr>
            <w:tcW w:w="1494" w:type="dxa"/>
            <w:shd w:val="clear" w:color="auto" w:fill="EDEDED"/>
            <w:vAlign w:val="center"/>
          </w:tcPr>
          <w:p w:rsidR="00964A41" w:rsidRPr="009B051B" w:rsidRDefault="00964A41" w:rsidP="005A147F">
            <w:pPr>
              <w:spacing w:line="240" w:lineRule="auto"/>
              <w:jc w:val="center"/>
              <w:rPr>
                <w:sz w:val="20"/>
                <w:szCs w:val="22"/>
                <w:lang w:val="en-CA" w:eastAsia="fr-FR"/>
              </w:rPr>
            </w:pPr>
          </w:p>
        </w:tc>
      </w:tr>
      <w:bookmarkEnd w:id="0"/>
    </w:tbl>
    <w:p w:rsidR="00D85893" w:rsidRDefault="00D85893">
      <w:pPr>
        <w:spacing w:line="240" w:lineRule="auto"/>
        <w:rPr>
          <w:lang w:val="en-CA" w:eastAsia="fr-FR"/>
        </w:rPr>
      </w:pPr>
      <w:r>
        <w:rPr>
          <w:lang w:val="en-CA" w:eastAsia="fr-FR"/>
        </w:rPr>
        <w:br w:type="page"/>
      </w:r>
    </w:p>
    <w:p w:rsidR="00964A41" w:rsidRPr="00A66704" w:rsidRDefault="00964A41" w:rsidP="00964A41">
      <w:pPr>
        <w:pStyle w:val="Tabletitle"/>
      </w:pPr>
      <w:r w:rsidRPr="00A66704">
        <w:rPr>
          <w:lang w:val="en-CA" w:eastAsia="fr-FR"/>
        </w:rPr>
        <w:lastRenderedPageBreak/>
        <w:t xml:space="preserve">Table 2: List of genes analyzed with </w:t>
      </w:r>
      <w:r>
        <w:rPr>
          <w:lang w:val="en-CA" w:eastAsia="fr-FR"/>
        </w:rPr>
        <w:t xml:space="preserve">the </w:t>
      </w:r>
      <w:r w:rsidRPr="00A66704">
        <w:rPr>
          <w:lang w:val="en-CA" w:eastAsia="fr-FR"/>
        </w:rPr>
        <w:t>RT² Human Antiviral Response kit (QIAGEN, USA)</w:t>
      </w:r>
    </w:p>
    <w:tbl>
      <w:tblPr>
        <w:tblpPr w:leftFromText="141" w:rightFromText="141" w:vertAnchor="text" w:horzAnchor="margin" w:tblpXSpec="center" w:tblpY="87"/>
        <w:tblW w:w="8364" w:type="dxa"/>
        <w:tblLayout w:type="fixed"/>
        <w:tblCellMar>
          <w:left w:w="70" w:type="dxa"/>
          <w:right w:w="70" w:type="dxa"/>
        </w:tblCellMar>
        <w:tblLook w:val="04A0" w:firstRow="1" w:lastRow="0" w:firstColumn="1" w:lastColumn="0" w:noHBand="0" w:noVBand="1"/>
      </w:tblPr>
      <w:tblGrid>
        <w:gridCol w:w="995"/>
        <w:gridCol w:w="1834"/>
        <w:gridCol w:w="833"/>
        <w:gridCol w:w="1667"/>
        <w:gridCol w:w="833"/>
        <w:gridCol w:w="2202"/>
      </w:tblGrid>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b/>
                <w:bCs/>
                <w:sz w:val="18"/>
                <w:szCs w:val="18"/>
              </w:rPr>
            </w:pPr>
            <w:r w:rsidRPr="00A66704">
              <w:rPr>
                <w:b/>
                <w:bCs/>
                <w:sz w:val="18"/>
                <w:szCs w:val="18"/>
              </w:rPr>
              <w:t>Gene</w:t>
            </w:r>
          </w:p>
        </w:tc>
        <w:tc>
          <w:tcPr>
            <w:tcW w:w="1834"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b/>
                <w:bCs/>
                <w:sz w:val="18"/>
                <w:szCs w:val="18"/>
              </w:rPr>
            </w:pPr>
            <w:r w:rsidRPr="00A66704">
              <w:rPr>
                <w:b/>
                <w:bCs/>
                <w:sz w:val="18"/>
                <w:szCs w:val="18"/>
              </w:rPr>
              <w:t>Description</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b/>
                <w:bCs/>
                <w:sz w:val="18"/>
                <w:szCs w:val="18"/>
              </w:rPr>
            </w:pPr>
            <w:r w:rsidRPr="00A66704">
              <w:rPr>
                <w:b/>
                <w:bCs/>
                <w:sz w:val="18"/>
                <w:szCs w:val="18"/>
              </w:rPr>
              <w:t>Gene</w:t>
            </w:r>
          </w:p>
        </w:tc>
        <w:tc>
          <w:tcPr>
            <w:tcW w:w="1667"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b/>
                <w:bCs/>
                <w:sz w:val="18"/>
                <w:szCs w:val="18"/>
              </w:rPr>
            </w:pPr>
            <w:r w:rsidRPr="00A66704">
              <w:rPr>
                <w:b/>
                <w:bCs/>
                <w:sz w:val="18"/>
                <w:szCs w:val="18"/>
              </w:rPr>
              <w:t>Description</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b/>
                <w:bCs/>
                <w:sz w:val="18"/>
                <w:szCs w:val="18"/>
              </w:rPr>
            </w:pPr>
            <w:r w:rsidRPr="00A66704">
              <w:rPr>
                <w:b/>
                <w:bCs/>
                <w:sz w:val="18"/>
                <w:szCs w:val="18"/>
              </w:rPr>
              <w:t>Gene</w:t>
            </w:r>
          </w:p>
        </w:tc>
        <w:tc>
          <w:tcPr>
            <w:tcW w:w="2202"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b/>
                <w:bCs/>
                <w:sz w:val="18"/>
                <w:szCs w:val="18"/>
              </w:rPr>
            </w:pPr>
            <w:r w:rsidRPr="00A66704">
              <w:rPr>
                <w:b/>
                <w:bCs/>
                <w:sz w:val="18"/>
                <w:szCs w:val="18"/>
              </w:rPr>
              <w:t>Description</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AIM2</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Absent In Melanoma 2</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IFNA2</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alpha 2</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NFKBIA</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Nuclear Factor of Kappa light polypeptide gene enhancer in B-cells Inhibitor, alpha</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APOBEC3G</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Apolipoprotein B mRNA Editing enzyme, Catalytic polypeptide-like 3G</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IFNAR1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(alpha, beta and omega) Receptor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NLRP3</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NLR family, pyrin domain containing 3</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ATG5</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Autophagy Related 5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IFNB1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beta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NOD2</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Nucleotide-binding Oligomerization Domain containing 2</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AZI2</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5-Azacytidine Induced 2</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IKBKB</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Inhibitor of Kappa light polypeptide gene enhancer in B-cells, Kinase Beta</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OAS2</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2'-5'-Oligoadenylate Synthetase 2, 69/71kDa</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CARD9</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Caspase Recruitment Domain family, member 9</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IL12A</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Interleukin 12A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PIN1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Peptidylprolyl cis/trans Isomerase, NIMA-interacting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CASP1</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Caspase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IL12B</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Interleukin 12B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PSTPIP1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Proline-Serine-Threonine Phosphatase Interacting Protein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CASP10</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Caspase 10</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IL15</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Interleukin 15</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PYCARD</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D8735C">
              <w:rPr>
                <w:color w:val="000000"/>
                <w:sz w:val="14"/>
                <w:szCs w:val="22"/>
              </w:rPr>
              <w:t>PYD and CARD domain containing</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CASP8</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Caspase 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IL18</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Interleukin 18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PYDC1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PYD (</w:t>
            </w:r>
            <w:r>
              <w:rPr>
                <w:color w:val="000000"/>
                <w:sz w:val="14"/>
                <w:szCs w:val="22"/>
              </w:rPr>
              <w:t>PY</w:t>
            </w:r>
            <w:r w:rsidRPr="00A66704">
              <w:rPr>
                <w:color w:val="000000"/>
                <w:sz w:val="14"/>
                <w:szCs w:val="22"/>
              </w:rPr>
              <w:t xml:space="preserve">rin </w:t>
            </w:r>
            <w:r>
              <w:rPr>
                <w:color w:val="000000"/>
                <w:sz w:val="14"/>
                <w:szCs w:val="22"/>
              </w:rPr>
              <w:t>D</w:t>
            </w:r>
            <w:r w:rsidRPr="00A66704">
              <w:rPr>
                <w:color w:val="000000"/>
                <w:sz w:val="14"/>
                <w:szCs w:val="22"/>
              </w:rPr>
              <w:t>omain) Containing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CCL3</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Chemokine (C-C motif) Ligand 3</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IL1B</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Interleukin 1, beta</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RELA</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V-rel Reticuloendotheliosis viral oncogene homolog A (avian)</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CCL5</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Chemokine (C-C motif) Ligand 5</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IL6</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Interleukin 6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RIPK1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Receptor (TNFRSF)-Interacting </w:t>
            </w:r>
            <w:r w:rsidRPr="00DE4621">
              <w:rPr>
                <w:color w:val="000000"/>
                <w:sz w:val="14"/>
                <w:szCs w:val="22"/>
              </w:rPr>
              <w:t>serine-threonine</w:t>
            </w:r>
            <w:r w:rsidRPr="00A66704">
              <w:rPr>
                <w:color w:val="000000"/>
                <w:sz w:val="14"/>
                <w:szCs w:val="22"/>
              </w:rPr>
              <w:t xml:space="preserve"> Kinase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CD40</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CD40 molecule, TNF receptor superfamily member 5</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IL8</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Interleukin 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SPP1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Secreted Phospho</w:t>
            </w:r>
            <w:r>
              <w:rPr>
                <w:color w:val="000000"/>
                <w:sz w:val="14"/>
                <w:szCs w:val="22"/>
              </w:rPr>
              <w:t>P</w:t>
            </w:r>
            <w:r w:rsidRPr="00A66704">
              <w:rPr>
                <w:color w:val="000000"/>
                <w:sz w:val="14"/>
                <w:szCs w:val="22"/>
              </w:rPr>
              <w:t>rotein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CD80</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CD80 molecule</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IRAK1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Interleukin-1 Receptor-Associated Kinase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STAT1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Signal Transducer and Activator of Transcription 1, 91kDa</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CD86</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CD86 molecule</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IRF3</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Regulatory Factor 3</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SUGT1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SGT1, suppressor of G2 allele of SKP1 (</w:t>
            </w:r>
            <w:r w:rsidRPr="00DE4621">
              <w:rPr>
                <w:i/>
                <w:iCs/>
                <w:color w:val="000000"/>
                <w:sz w:val="14"/>
                <w:szCs w:val="22"/>
              </w:rPr>
              <w:t>S. cerevisiae</w:t>
            </w:r>
            <w:r w:rsidRPr="00A66704">
              <w:rPr>
                <w:color w:val="000000"/>
                <w:sz w:val="14"/>
                <w:szCs w:val="22"/>
              </w:rPr>
              <w:t>)</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CHUK</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Conserved Helix-loop-helix Ubiquitous Kinase</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IRF5</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Regulatory Factor 5</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TBK1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TANK-Binding Kinase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CTSB</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Cathepsin B</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IRF7</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Regulatory Factor 7</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TICAM1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Toll-like receptor Adaptor Molecule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CTSL</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Cathepsin L1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ISG15</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Stimulated Gene 15</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TLR3</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Toll-Like Receptor 3</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CTSS</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Cathepsin S</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JUN</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Jun proto-oncogene</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TLR7</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Toll-Like Receptor 7</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CXCL10</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Chemokine (C-X-C motif) Ligand 10</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MAP2K1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Kinase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TLR8</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Toll-Like Receptor 8</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CXCL11</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Chemokine (C-X-C motif) Ligand 11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MAP2K3</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Kinase 3</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TLR9</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Toll-Like Receptor 9</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CXCL9</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Chemokine (C-X-C motif) Ligand 9</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MAP3K1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Kinase Kinase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TNF</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Tumor Necrosis Factor</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CYLD</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Cylindromatosis (turban tumor syndrome)</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MAP3K7</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Kinase Kinase 7</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TRADD</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TNFRSF1A-Associated via Death Domain</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TKFC</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 xml:space="preserve">Dihydroxyacetone kinase 2 </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MAPK1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TRAF3</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TNF Receptor-Associated Factor 3</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DDX3X</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DEAD (Asp-Glu-Ala-Asp) box polypeptide 3, X-linked</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MAPK14</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14</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TRAF6</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TNF Receptor-Associated Factor 6</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DDX58</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DEAD (Asp-Glu-Ala-Asp) box polypeptide 58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MAPK3</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3</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TRIM25</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Tripartite Motif containing 25</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hideMark/>
          </w:tcPr>
          <w:p w:rsidR="00964A41" w:rsidRPr="00A66704" w:rsidRDefault="00964A41" w:rsidP="005A147F">
            <w:pPr>
              <w:spacing w:line="240" w:lineRule="auto"/>
              <w:jc w:val="center"/>
              <w:rPr>
                <w:i/>
                <w:iCs/>
                <w:sz w:val="16"/>
                <w:szCs w:val="16"/>
              </w:rPr>
            </w:pPr>
            <w:r w:rsidRPr="00A66704">
              <w:rPr>
                <w:i/>
                <w:iCs/>
                <w:sz w:val="16"/>
                <w:szCs w:val="16"/>
              </w:rPr>
              <w:t>DHX58</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DEXH (Asp-Glu-X-His) box polypeptide 58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MAPK8</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Mitogen-Activated Protein Kinase 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ACTB</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Actin, beta</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i/>
                <w:iCs/>
                <w:sz w:val="16"/>
                <w:szCs w:val="16"/>
              </w:rPr>
            </w:pPr>
            <w:r w:rsidRPr="00A66704">
              <w:rPr>
                <w:i/>
                <w:iCs/>
                <w:sz w:val="16"/>
                <w:szCs w:val="16"/>
              </w:rPr>
              <w:t>FADD</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Fas (TNFRSF6)-Associated via Death Domain</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MAVS</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Mitochondrial Antiviral Signaling protein</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B2M</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Beta-2-Microglobulin</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i/>
                <w:iCs/>
                <w:sz w:val="16"/>
                <w:szCs w:val="16"/>
              </w:rPr>
            </w:pPr>
            <w:r w:rsidRPr="00A66704">
              <w:rPr>
                <w:i/>
                <w:iCs/>
                <w:sz w:val="16"/>
                <w:szCs w:val="16"/>
              </w:rPr>
              <w:t>FOS</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FBJ murine osteosarcoma viral oncogene homolog</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MEFV</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Mediterranean Fever</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GAPDH</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Glyceraldehyde-3-Phosphate Dehydrogenase</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i/>
                <w:iCs/>
                <w:sz w:val="16"/>
                <w:szCs w:val="16"/>
              </w:rPr>
            </w:pPr>
            <w:r w:rsidRPr="00A66704">
              <w:rPr>
                <w:i/>
                <w:iCs/>
                <w:sz w:val="16"/>
                <w:szCs w:val="16"/>
              </w:rPr>
              <w:t>HSP90AA1</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Heat Shock Protein 90kDa Alpha (cytosolic), class A member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MX1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Myxovirus (influenza virus) resistance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HPRT1</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Hypoxanthine Phospho</w:t>
            </w:r>
            <w:r>
              <w:rPr>
                <w:color w:val="000000"/>
                <w:sz w:val="14"/>
                <w:szCs w:val="22"/>
              </w:rPr>
              <w:t>R</w:t>
            </w:r>
            <w:r w:rsidRPr="00A66704">
              <w:rPr>
                <w:color w:val="000000"/>
                <w:sz w:val="14"/>
                <w:szCs w:val="22"/>
              </w:rPr>
              <w:t>ibosyl</w:t>
            </w:r>
            <w:r>
              <w:rPr>
                <w:color w:val="000000"/>
                <w:sz w:val="14"/>
                <w:szCs w:val="22"/>
              </w:rPr>
              <w:t xml:space="preserve"> </w:t>
            </w:r>
            <w:r w:rsidRPr="00A66704">
              <w:rPr>
                <w:color w:val="000000"/>
                <w:sz w:val="14"/>
                <w:szCs w:val="22"/>
              </w:rPr>
              <w:t>Transferase 1</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i/>
                <w:iCs/>
                <w:sz w:val="16"/>
                <w:szCs w:val="16"/>
              </w:rPr>
            </w:pPr>
            <w:r w:rsidRPr="00A66704">
              <w:rPr>
                <w:i/>
                <w:iCs/>
                <w:sz w:val="16"/>
                <w:szCs w:val="16"/>
              </w:rPr>
              <w:t>IFIH1</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Induced with Helicase C domain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iCs/>
                <w:sz w:val="16"/>
                <w:szCs w:val="16"/>
              </w:rPr>
              <w:t>MYD88</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Myeloid Differentiation primary response gene (88)</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sz w:val="16"/>
                <w:szCs w:val="16"/>
              </w:rPr>
            </w:pPr>
            <w:r w:rsidRPr="00A66704">
              <w:rPr>
                <w:i/>
                <w:sz w:val="16"/>
                <w:szCs w:val="16"/>
              </w:rPr>
              <w:t>RPLP0</w:t>
            </w:r>
          </w:p>
        </w:tc>
        <w:tc>
          <w:tcPr>
            <w:tcW w:w="2202" w:type="dxa"/>
            <w:tcBorders>
              <w:top w:val="nil"/>
              <w:left w:val="single" w:sz="4" w:space="0" w:color="000000"/>
              <w:bottom w:val="single" w:sz="4" w:space="0" w:color="000000"/>
              <w:right w:val="single" w:sz="4" w:space="0" w:color="000000"/>
            </w:tcBorders>
            <w:shd w:val="clear" w:color="auto" w:fill="auto"/>
            <w:noWrap/>
            <w:vAlign w:val="center"/>
          </w:tcPr>
          <w:p w:rsidR="00964A41" w:rsidRPr="00A66704" w:rsidRDefault="00964A41" w:rsidP="005A147F">
            <w:pPr>
              <w:spacing w:line="240" w:lineRule="auto"/>
              <w:jc w:val="center"/>
              <w:rPr>
                <w:sz w:val="14"/>
                <w:szCs w:val="16"/>
              </w:rPr>
            </w:pPr>
            <w:r w:rsidRPr="00A66704">
              <w:rPr>
                <w:color w:val="000000"/>
                <w:sz w:val="14"/>
                <w:szCs w:val="22"/>
              </w:rPr>
              <w:t>Ribosomal Protein, Large, P0</w:t>
            </w:r>
          </w:p>
        </w:tc>
      </w:tr>
      <w:tr w:rsidR="00964A41" w:rsidRPr="00A66704" w:rsidTr="00964A41">
        <w:trPr>
          <w:cantSplit/>
          <w:trHeight w:val="241"/>
        </w:trPr>
        <w:tc>
          <w:tcPr>
            <w:tcW w:w="995"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i/>
                <w:iCs/>
                <w:sz w:val="16"/>
                <w:szCs w:val="16"/>
              </w:rPr>
            </w:pPr>
            <w:r w:rsidRPr="00A66704">
              <w:rPr>
                <w:i/>
                <w:iCs/>
                <w:sz w:val="16"/>
                <w:szCs w:val="16"/>
              </w:rPr>
              <w:t>IFNA1</w:t>
            </w:r>
          </w:p>
        </w:tc>
        <w:tc>
          <w:tcPr>
            <w:tcW w:w="1834"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Interferon, alpha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i/>
                <w:iCs/>
                <w:sz w:val="16"/>
                <w:szCs w:val="16"/>
              </w:rPr>
            </w:pPr>
            <w:r w:rsidRPr="00A66704">
              <w:rPr>
                <w:i/>
                <w:iCs/>
                <w:sz w:val="16"/>
                <w:szCs w:val="16"/>
              </w:rPr>
              <w:t>NFKB1</w:t>
            </w:r>
          </w:p>
        </w:tc>
        <w:tc>
          <w:tcPr>
            <w:tcW w:w="1667" w:type="dxa"/>
            <w:tcBorders>
              <w:top w:val="nil"/>
              <w:left w:val="single" w:sz="4" w:space="0" w:color="000000"/>
              <w:bottom w:val="single" w:sz="4" w:space="0" w:color="000000"/>
              <w:right w:val="single" w:sz="4" w:space="0" w:color="000000"/>
            </w:tcBorders>
            <w:shd w:val="clear" w:color="auto" w:fill="auto"/>
            <w:vAlign w:val="center"/>
          </w:tcPr>
          <w:p w:rsidR="00964A41" w:rsidRPr="00A66704" w:rsidRDefault="00964A41" w:rsidP="005A147F">
            <w:pPr>
              <w:spacing w:line="240" w:lineRule="auto"/>
              <w:jc w:val="center"/>
              <w:rPr>
                <w:sz w:val="14"/>
                <w:szCs w:val="16"/>
              </w:rPr>
            </w:pPr>
            <w:r w:rsidRPr="00A66704">
              <w:rPr>
                <w:color w:val="000000"/>
                <w:sz w:val="14"/>
                <w:szCs w:val="22"/>
              </w:rPr>
              <w:t>Nuclear Factor of Kappa light polypeptide gene enhancer in B-cells 1</w:t>
            </w:r>
          </w:p>
        </w:tc>
        <w:tc>
          <w:tcPr>
            <w:tcW w:w="833" w:type="dxa"/>
            <w:tcBorders>
              <w:top w:val="single" w:sz="4" w:space="0" w:color="auto"/>
              <w:left w:val="single" w:sz="4" w:space="0" w:color="auto"/>
              <w:bottom w:val="single" w:sz="4" w:space="0" w:color="auto"/>
              <w:right w:val="single" w:sz="4" w:space="0" w:color="auto"/>
            </w:tcBorders>
            <w:vAlign w:val="center"/>
          </w:tcPr>
          <w:p w:rsidR="00964A41" w:rsidRPr="00A66704" w:rsidRDefault="00964A41" w:rsidP="005A147F">
            <w:pPr>
              <w:spacing w:line="240" w:lineRule="auto"/>
              <w:jc w:val="center"/>
              <w:rPr>
                <w:i/>
                <w:sz w:val="16"/>
                <w:szCs w:val="16"/>
              </w:rPr>
            </w:pPr>
          </w:p>
        </w:tc>
        <w:tc>
          <w:tcPr>
            <w:tcW w:w="2202" w:type="dxa"/>
            <w:tcBorders>
              <w:top w:val="single" w:sz="4" w:space="0" w:color="auto"/>
              <w:left w:val="single" w:sz="4" w:space="0" w:color="auto"/>
              <w:bottom w:val="single" w:sz="4" w:space="0" w:color="auto"/>
              <w:right w:val="single" w:sz="4" w:space="0" w:color="auto"/>
            </w:tcBorders>
            <w:noWrap/>
            <w:vAlign w:val="center"/>
          </w:tcPr>
          <w:p w:rsidR="00964A41" w:rsidRPr="00A66704" w:rsidRDefault="00964A41" w:rsidP="005A147F">
            <w:pPr>
              <w:spacing w:line="240" w:lineRule="auto"/>
              <w:jc w:val="center"/>
              <w:rPr>
                <w:sz w:val="16"/>
                <w:szCs w:val="16"/>
              </w:rPr>
            </w:pPr>
          </w:p>
        </w:tc>
      </w:tr>
    </w:tbl>
    <w:p w:rsidR="00964A41" w:rsidRDefault="00964A41" w:rsidP="00964A41">
      <w:pPr>
        <w:spacing w:after="160" w:line="259" w:lineRule="auto"/>
        <w:rPr>
          <w:lang w:val="en-CA" w:eastAsia="fr-FR"/>
        </w:rPr>
      </w:pPr>
      <w:r>
        <w:rPr>
          <w:lang w:val="en-CA" w:eastAsia="fr-FR"/>
        </w:rPr>
        <w:br w:type="page"/>
      </w:r>
    </w:p>
    <w:p w:rsidR="00964A41" w:rsidRPr="00A66704" w:rsidRDefault="00964A41" w:rsidP="00964A41">
      <w:pPr>
        <w:pStyle w:val="Tabletitle"/>
        <w:rPr>
          <w:lang w:val="en-CA" w:eastAsia="fr-FR"/>
        </w:rPr>
      </w:pPr>
      <w:r w:rsidRPr="00A66704">
        <w:rPr>
          <w:lang w:val="en-CA" w:eastAsia="fr-FR"/>
        </w:rPr>
        <w:lastRenderedPageBreak/>
        <w:t xml:space="preserve">Table 3: List of proteins analyzed </w:t>
      </w:r>
      <w:r>
        <w:rPr>
          <w:lang w:val="en-CA" w:eastAsia="fr-FR"/>
        </w:rPr>
        <w:t>using</w:t>
      </w:r>
      <w:r w:rsidRPr="00A66704">
        <w:rPr>
          <w:lang w:val="en-CA" w:eastAsia="fr-FR"/>
        </w:rPr>
        <w:t xml:space="preserve"> </w:t>
      </w:r>
      <w:r>
        <w:rPr>
          <w:lang w:val="en-CA" w:eastAsia="fr-FR"/>
        </w:rPr>
        <w:t xml:space="preserve">the </w:t>
      </w:r>
      <w:r w:rsidRPr="00A66704">
        <w:rPr>
          <w:lang w:val="en-CA" w:eastAsia="fr-FR"/>
        </w:rPr>
        <w:t>LEGENDPlex kit</w:t>
      </w:r>
      <w:r>
        <w:rPr>
          <w:lang w:val="en-CA" w:eastAsia="fr-FR"/>
        </w:rPr>
        <w:t>s</w:t>
      </w:r>
      <w:r w:rsidRPr="00A66704">
        <w:rPr>
          <w:lang w:val="en-CA" w:eastAsia="fr-FR"/>
        </w:rPr>
        <w:t xml:space="preserve"> (BioLegend, USA)</w:t>
      </w:r>
    </w:p>
    <w:tbl>
      <w:tblPr>
        <w:tblpPr w:leftFromText="141" w:rightFromText="141" w:vertAnchor="page" w:horzAnchor="margin" w:tblpXSpec="center" w:tblpY="1862"/>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1"/>
        <w:gridCol w:w="919"/>
        <w:gridCol w:w="1726"/>
        <w:gridCol w:w="828"/>
        <w:gridCol w:w="1736"/>
        <w:gridCol w:w="1021"/>
        <w:gridCol w:w="1533"/>
      </w:tblGrid>
      <w:tr w:rsidR="00964A41" w:rsidRPr="00A66704" w:rsidTr="008D3182">
        <w:trPr>
          <w:cantSplit/>
          <w:trHeight w:val="256"/>
        </w:trPr>
        <w:tc>
          <w:tcPr>
            <w:tcW w:w="691" w:type="dxa"/>
            <w:vMerge w:val="restart"/>
            <w:vAlign w:val="center"/>
          </w:tcPr>
          <w:p w:rsidR="00964A41" w:rsidRPr="00A66704" w:rsidRDefault="00964A41" w:rsidP="005A147F">
            <w:pPr>
              <w:spacing w:line="240" w:lineRule="auto"/>
              <w:jc w:val="center"/>
              <w:rPr>
                <w:b/>
                <w:color w:val="000000"/>
                <w:sz w:val="18"/>
                <w:szCs w:val="22"/>
                <w:lang w:val="fr-FR" w:eastAsia="fr-FR"/>
              </w:rPr>
            </w:pPr>
            <w:r w:rsidRPr="00A66704">
              <w:rPr>
                <w:b/>
                <w:color w:val="000000"/>
                <w:sz w:val="18"/>
                <w:szCs w:val="22"/>
                <w:lang w:val="fr-FR" w:eastAsia="fr-FR"/>
              </w:rPr>
              <w:t>Bead ID</w:t>
            </w:r>
          </w:p>
        </w:tc>
        <w:tc>
          <w:tcPr>
            <w:tcW w:w="2645" w:type="dxa"/>
            <w:gridSpan w:val="2"/>
            <w:vAlign w:val="center"/>
          </w:tcPr>
          <w:p w:rsidR="00964A41" w:rsidRPr="00A66704" w:rsidRDefault="00964A41" w:rsidP="005A147F">
            <w:pPr>
              <w:spacing w:line="240" w:lineRule="auto"/>
              <w:jc w:val="center"/>
              <w:rPr>
                <w:b/>
                <w:color w:val="000000"/>
                <w:sz w:val="18"/>
                <w:szCs w:val="22"/>
                <w:lang w:val="en-CA" w:eastAsia="fr-FR"/>
              </w:rPr>
            </w:pPr>
            <w:r w:rsidRPr="00A66704">
              <w:rPr>
                <w:b/>
                <w:color w:val="000000"/>
                <w:sz w:val="18"/>
                <w:szCs w:val="22"/>
                <w:lang w:val="en-CA" w:eastAsia="fr-FR"/>
              </w:rPr>
              <w:t>Human Proinflammatory Chemokines Panel 1</w:t>
            </w:r>
          </w:p>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No. 740985</w:t>
            </w:r>
          </w:p>
        </w:tc>
        <w:tc>
          <w:tcPr>
            <w:tcW w:w="2564" w:type="dxa"/>
            <w:gridSpan w:val="2"/>
            <w:vAlign w:val="center"/>
          </w:tcPr>
          <w:p w:rsidR="00964A41" w:rsidRPr="00A66704" w:rsidRDefault="00964A41" w:rsidP="005A147F">
            <w:pPr>
              <w:spacing w:line="240" w:lineRule="auto"/>
              <w:jc w:val="center"/>
              <w:rPr>
                <w:b/>
                <w:color w:val="000000"/>
                <w:sz w:val="18"/>
                <w:szCs w:val="22"/>
                <w:lang w:val="en-CA" w:eastAsia="fr-FR"/>
              </w:rPr>
            </w:pPr>
            <w:r w:rsidRPr="00A66704">
              <w:rPr>
                <w:b/>
                <w:color w:val="000000"/>
                <w:sz w:val="18"/>
                <w:szCs w:val="22"/>
                <w:lang w:val="en-CA" w:eastAsia="fr-FR"/>
              </w:rPr>
              <w:t>Human Neuroinflammation Panel 1</w:t>
            </w:r>
          </w:p>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No. 740796</w:t>
            </w:r>
          </w:p>
        </w:tc>
        <w:tc>
          <w:tcPr>
            <w:tcW w:w="2554" w:type="dxa"/>
            <w:gridSpan w:val="2"/>
            <w:shd w:val="clear" w:color="auto" w:fill="auto"/>
            <w:noWrap/>
            <w:vAlign w:val="center"/>
            <w:hideMark/>
          </w:tcPr>
          <w:p w:rsidR="00964A41" w:rsidRPr="00A66704" w:rsidRDefault="00964A41" w:rsidP="005A147F">
            <w:pPr>
              <w:spacing w:line="240" w:lineRule="auto"/>
              <w:jc w:val="center"/>
              <w:rPr>
                <w:b/>
                <w:color w:val="000000"/>
                <w:sz w:val="18"/>
                <w:szCs w:val="22"/>
                <w:lang w:val="en-CA" w:eastAsia="fr-FR"/>
              </w:rPr>
            </w:pPr>
            <w:r w:rsidRPr="00A66704">
              <w:rPr>
                <w:b/>
                <w:color w:val="000000"/>
                <w:sz w:val="18"/>
                <w:szCs w:val="22"/>
                <w:lang w:val="en-CA" w:eastAsia="fr-FR"/>
              </w:rPr>
              <w:t>Human Anti-Virus Response Panel</w:t>
            </w:r>
          </w:p>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No. 740390</w:t>
            </w:r>
          </w:p>
        </w:tc>
      </w:tr>
      <w:tr w:rsidR="00964A41" w:rsidRPr="00A66704" w:rsidTr="008D3182">
        <w:trPr>
          <w:cantSplit/>
          <w:trHeight w:val="256"/>
        </w:trPr>
        <w:tc>
          <w:tcPr>
            <w:tcW w:w="691" w:type="dxa"/>
            <w:vMerge/>
            <w:vAlign w:val="center"/>
          </w:tcPr>
          <w:p w:rsidR="00964A41" w:rsidRPr="00A66704" w:rsidRDefault="00964A41" w:rsidP="005A147F">
            <w:pPr>
              <w:spacing w:line="240" w:lineRule="auto"/>
              <w:jc w:val="center"/>
              <w:rPr>
                <w:color w:val="000000"/>
                <w:sz w:val="18"/>
                <w:szCs w:val="22"/>
                <w:lang w:val="en-CA" w:eastAsia="fr-FR"/>
              </w:rPr>
            </w:pPr>
          </w:p>
        </w:tc>
        <w:tc>
          <w:tcPr>
            <w:tcW w:w="919" w:type="dxa"/>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Protein</w:t>
            </w:r>
          </w:p>
        </w:tc>
        <w:tc>
          <w:tcPr>
            <w:tcW w:w="1726" w:type="dxa"/>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Description</w:t>
            </w:r>
          </w:p>
        </w:tc>
        <w:tc>
          <w:tcPr>
            <w:tcW w:w="828" w:type="dxa"/>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Protein</w:t>
            </w:r>
          </w:p>
        </w:tc>
        <w:tc>
          <w:tcPr>
            <w:tcW w:w="1736" w:type="dxa"/>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Description</w:t>
            </w:r>
          </w:p>
        </w:tc>
        <w:tc>
          <w:tcPr>
            <w:tcW w:w="1021" w:type="dxa"/>
            <w:shd w:val="clear" w:color="auto" w:fill="auto"/>
            <w:noWrap/>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Protein</w:t>
            </w:r>
          </w:p>
        </w:tc>
        <w:tc>
          <w:tcPr>
            <w:tcW w:w="1533" w:type="dxa"/>
            <w:shd w:val="clear" w:color="auto" w:fill="auto"/>
            <w:vAlign w:val="center"/>
          </w:tcPr>
          <w:p w:rsidR="00964A41" w:rsidRPr="00A66704" w:rsidRDefault="00964A41" w:rsidP="005A147F">
            <w:pPr>
              <w:spacing w:line="240" w:lineRule="auto"/>
              <w:jc w:val="center"/>
              <w:rPr>
                <w:color w:val="000000"/>
                <w:sz w:val="18"/>
                <w:szCs w:val="22"/>
                <w:lang w:val="en-CA" w:eastAsia="fr-FR"/>
              </w:rPr>
            </w:pPr>
            <w:r w:rsidRPr="00A66704">
              <w:rPr>
                <w:color w:val="000000"/>
                <w:sz w:val="18"/>
                <w:szCs w:val="22"/>
                <w:lang w:val="en-CA" w:eastAsia="fr-FR"/>
              </w:rPr>
              <w:t>Description</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A4</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IL-8</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Interleukin 8</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VILIP-1</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Serum Visinin-Like Protein 1</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IL-1β</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Interleukin 1 beta</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A5</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CXCL10</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(C-X-C motif) Ligand 10</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CCL2</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Chemokine (C-C motif) Ligand 2</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IL-6</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Interleukin 6</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A6</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CCL11/24/26*</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11/24/26</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sTREM-2</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 xml:space="preserve">soluble </w:t>
            </w:r>
            <w:r w:rsidRPr="00A66704">
              <w:rPr>
                <w:sz w:val="18"/>
                <w:szCs w:val="18"/>
              </w:rPr>
              <w:t>T</w:t>
            </w:r>
            <w:r w:rsidRPr="00A66704">
              <w:rPr>
                <w:color w:val="000000"/>
                <w:sz w:val="18"/>
                <w:szCs w:val="18"/>
                <w:lang w:val="en-CA" w:eastAsia="fr-FR"/>
              </w:rPr>
              <w:t>riggering Receptor Expressed on Myeloid cells-2</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TNF-α</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Tumor Necrosis Factor alpha</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A7</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CCL17*</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17</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BDNF</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Brain-Derived Neurotrophic Factor</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CXCL10</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Chemokine (C-X-C motif) Ligand 10</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A8</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CCL2</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2</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TGF-β1 (Free Active)</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Transforming Growth Factor beta 1</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IFN-λ1*</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Interferon lambda 1</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A10</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CCL5</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5</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VEGF</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Vascular Endothelial Growth Factor</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IL-8</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Interleukin 8</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B2</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CCL3</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3</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IL-6</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Interleukin 6</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IL12a/IL12b</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Interleukin 12 (S.U. A and B)</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B3</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CXCL9</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(C-X-C motif) Ligand 9</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sTREM-1</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 xml:space="preserve">soluble </w:t>
            </w:r>
            <w:r w:rsidRPr="00A66704">
              <w:rPr>
                <w:sz w:val="18"/>
                <w:szCs w:val="18"/>
              </w:rPr>
              <w:t>T</w:t>
            </w:r>
            <w:r w:rsidRPr="00A66704">
              <w:rPr>
                <w:color w:val="000000"/>
                <w:sz w:val="18"/>
                <w:szCs w:val="18"/>
                <w:lang w:val="en-CA" w:eastAsia="fr-FR"/>
              </w:rPr>
              <w:t>riggering Receptor Expressed on Myeloid cells-1</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IFN-α2</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Interferon alpha 2</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B4</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CXCL5</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(C-X-C motif) Ligand 5</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β-NGF</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beta Nerve Growth Factor</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IFN-λ2/3*</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Interferon lambda 2 and 3</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B5</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CCL20</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20</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IL-18</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Interleukin 18</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GM-CSF</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Granulocyte-Macrophage-Colony-Stimulating Factor</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B6</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CXCL1</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(C-X-C motif) Ligand 1</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TNF-α</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Tumor Necrosis Factor alpha</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IFN-β1</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Interferon beta 1</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B7</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CXCL11</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(C-X-C motif) Ligand 11</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sRAGE</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soluble Receptor for Advanced Glycation End products</w:t>
            </w:r>
          </w:p>
        </w:tc>
        <w:tc>
          <w:tcPr>
            <w:tcW w:w="1021"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IL-10*</w:t>
            </w:r>
          </w:p>
        </w:tc>
        <w:tc>
          <w:tcPr>
            <w:tcW w:w="1533" w:type="dxa"/>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Interleukin 10</w:t>
            </w:r>
          </w:p>
        </w:tc>
      </w:tr>
      <w:tr w:rsidR="00964A41" w:rsidRPr="00A66704" w:rsidTr="008D3182">
        <w:trPr>
          <w:cantSplit/>
          <w:trHeight w:val="256"/>
        </w:trPr>
        <w:tc>
          <w:tcPr>
            <w:tcW w:w="691" w:type="dxa"/>
            <w:shd w:val="clear" w:color="auto" w:fill="auto"/>
            <w:vAlign w:val="center"/>
          </w:tcPr>
          <w:p w:rsidR="00964A41" w:rsidRPr="00A66704" w:rsidRDefault="00964A41" w:rsidP="005A147F">
            <w:pPr>
              <w:spacing w:line="240" w:lineRule="auto"/>
              <w:jc w:val="center"/>
              <w:rPr>
                <w:color w:val="000000"/>
                <w:sz w:val="18"/>
                <w:szCs w:val="22"/>
              </w:rPr>
            </w:pPr>
            <w:r w:rsidRPr="00A66704">
              <w:rPr>
                <w:color w:val="000000"/>
                <w:sz w:val="18"/>
                <w:szCs w:val="22"/>
              </w:rPr>
              <w:t>B9</w:t>
            </w:r>
          </w:p>
        </w:tc>
        <w:tc>
          <w:tcPr>
            <w:tcW w:w="919"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CCL4*</w:t>
            </w:r>
          </w:p>
        </w:tc>
        <w:tc>
          <w:tcPr>
            <w:tcW w:w="1726" w:type="dxa"/>
            <w:vAlign w:val="center"/>
          </w:tcPr>
          <w:p w:rsidR="00964A41" w:rsidRPr="00A66704" w:rsidRDefault="00964A41" w:rsidP="005A147F">
            <w:pPr>
              <w:spacing w:line="240" w:lineRule="auto"/>
              <w:jc w:val="center"/>
              <w:rPr>
                <w:color w:val="000000"/>
                <w:sz w:val="18"/>
                <w:szCs w:val="18"/>
                <w:lang w:val="en-CA"/>
              </w:rPr>
            </w:pPr>
            <w:r w:rsidRPr="00A66704">
              <w:rPr>
                <w:color w:val="000000"/>
                <w:sz w:val="18"/>
                <w:szCs w:val="18"/>
                <w:lang w:val="en-CA"/>
              </w:rPr>
              <w:t>Chemokine (C-C motif) Ligand 4</w:t>
            </w:r>
          </w:p>
        </w:tc>
        <w:tc>
          <w:tcPr>
            <w:tcW w:w="828"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CX3CL1*</w:t>
            </w:r>
          </w:p>
        </w:tc>
        <w:tc>
          <w:tcPr>
            <w:tcW w:w="1736" w:type="dxa"/>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rPr>
              <w:t>Chemokine (C-X3-C motif) Ligand 1</w:t>
            </w:r>
          </w:p>
        </w:tc>
        <w:tc>
          <w:tcPr>
            <w:tcW w:w="1021" w:type="dxa"/>
            <w:tcBorders>
              <w:bottom w:val="single" w:sz="4" w:space="0" w:color="auto"/>
            </w:tcBorders>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IFN-γ</w:t>
            </w:r>
          </w:p>
        </w:tc>
        <w:tc>
          <w:tcPr>
            <w:tcW w:w="1533" w:type="dxa"/>
            <w:tcBorders>
              <w:bottom w:val="single" w:sz="4" w:space="0" w:color="auto"/>
            </w:tcBorders>
            <w:shd w:val="clear" w:color="auto" w:fill="auto"/>
            <w:vAlign w:val="center"/>
          </w:tcPr>
          <w:p w:rsidR="00964A41" w:rsidRPr="00A66704" w:rsidRDefault="00964A41" w:rsidP="005A147F">
            <w:pPr>
              <w:spacing w:line="240" w:lineRule="auto"/>
              <w:jc w:val="center"/>
              <w:rPr>
                <w:color w:val="000000"/>
                <w:sz w:val="18"/>
                <w:szCs w:val="18"/>
                <w:lang w:val="en-CA" w:eastAsia="fr-FR"/>
              </w:rPr>
            </w:pPr>
            <w:r w:rsidRPr="00A66704">
              <w:rPr>
                <w:color w:val="000000"/>
                <w:sz w:val="18"/>
                <w:szCs w:val="18"/>
                <w:lang w:val="en-CA" w:eastAsia="fr-FR"/>
              </w:rPr>
              <w:t>Interferon gamma</w:t>
            </w:r>
          </w:p>
        </w:tc>
      </w:tr>
    </w:tbl>
    <w:p w:rsidR="00964A41" w:rsidRPr="00D85893" w:rsidRDefault="00964A41" w:rsidP="00D85893">
      <w:pPr>
        <w:pStyle w:val="Footnotes"/>
        <w:jc w:val="both"/>
        <w:rPr>
          <w:sz w:val="20"/>
          <w:lang w:val="en-CA" w:eastAsia="fr-FR"/>
        </w:rPr>
      </w:pPr>
      <w:r w:rsidRPr="008D3182">
        <w:rPr>
          <w:sz w:val="20"/>
          <w:lang w:val="en-CA" w:eastAsia="fr-FR"/>
        </w:rPr>
        <w:t>*Not detected due to concentration under limit of detection in all tested conditions and/or not included in the RT² gene panel.</w:t>
      </w:r>
    </w:p>
    <w:p w:rsidR="00964A41" w:rsidRPr="00A66704" w:rsidRDefault="00964A41" w:rsidP="00964A41">
      <w:pPr>
        <w:spacing w:after="160" w:line="259" w:lineRule="auto"/>
        <w:rPr>
          <w:lang w:val="en-CA" w:eastAsia="fr-FR"/>
        </w:rPr>
      </w:pPr>
      <w:r w:rsidRPr="00A66704">
        <w:rPr>
          <w:lang w:val="en-CA" w:eastAsia="fr-FR"/>
        </w:rPr>
        <w:br w:type="page"/>
      </w:r>
    </w:p>
    <w:p w:rsidR="00964A41" w:rsidRPr="00E36B92" w:rsidRDefault="00964A41" w:rsidP="00964A41">
      <w:pPr>
        <w:pStyle w:val="Tabletitle"/>
        <w:rPr>
          <w:color w:val="C00000"/>
          <w:lang w:val="en-CA" w:eastAsia="fr-FR"/>
        </w:rPr>
      </w:pPr>
      <w:r w:rsidRPr="00A66704">
        <w:rPr>
          <w:lang w:val="en-CA" w:eastAsia="fr-FR"/>
        </w:rPr>
        <w:lastRenderedPageBreak/>
        <w:t xml:space="preserve">Table 4: </w:t>
      </w:r>
      <w:r w:rsidRPr="00540D5C">
        <w:rPr>
          <w:lang w:val="en-CA" w:eastAsia="fr-FR"/>
        </w:rPr>
        <w:t>List of primers and RTqPCR cycling conditions</w:t>
      </w:r>
      <w:r w:rsidR="00D85893">
        <w:rPr>
          <w:lang w:val="en-CA" w:eastAsia="fr-FR"/>
        </w:rPr>
        <w:t>.</w:t>
      </w:r>
    </w:p>
    <w:tbl>
      <w:tblPr>
        <w:tblStyle w:val="Grilledutableau"/>
        <w:tblpPr w:leftFromText="141" w:rightFromText="141" w:vertAnchor="text" w:tblpXSpec="center" w:tblpY="1"/>
        <w:tblOverlap w:val="never"/>
        <w:tblW w:w="8446" w:type="dxa"/>
        <w:tblLayout w:type="fixed"/>
        <w:tblLook w:val="04A0" w:firstRow="1" w:lastRow="0" w:firstColumn="1" w:lastColumn="0" w:noHBand="0" w:noVBand="1"/>
      </w:tblPr>
      <w:tblGrid>
        <w:gridCol w:w="1030"/>
        <w:gridCol w:w="841"/>
        <w:gridCol w:w="1400"/>
        <w:gridCol w:w="1035"/>
        <w:gridCol w:w="633"/>
        <w:gridCol w:w="824"/>
        <w:gridCol w:w="722"/>
        <w:gridCol w:w="648"/>
        <w:gridCol w:w="242"/>
        <w:gridCol w:w="1071"/>
      </w:tblGrid>
      <w:tr w:rsidR="00964A41" w:rsidRPr="00A66704" w:rsidTr="00964A41">
        <w:trPr>
          <w:cantSplit/>
          <w:trHeight w:val="466"/>
        </w:trPr>
        <w:tc>
          <w:tcPr>
            <w:tcW w:w="1030" w:type="dxa"/>
            <w:vAlign w:val="center"/>
          </w:tcPr>
          <w:p w:rsidR="00964A41" w:rsidRPr="009B051B" w:rsidRDefault="00964A41" w:rsidP="005A147F">
            <w:pPr>
              <w:tabs>
                <w:tab w:val="left" w:pos="1565"/>
              </w:tabs>
              <w:spacing w:line="240" w:lineRule="auto"/>
              <w:jc w:val="center"/>
              <w:rPr>
                <w:b/>
                <w:sz w:val="20"/>
                <w:lang w:val="en-CA" w:eastAsia="fr-FR"/>
              </w:rPr>
            </w:pPr>
            <w:r w:rsidRPr="009B051B">
              <w:rPr>
                <w:b/>
                <w:sz w:val="20"/>
                <w:lang w:val="en-CA" w:eastAsia="fr-FR"/>
              </w:rPr>
              <w:t>Target gene</w:t>
            </w:r>
          </w:p>
        </w:tc>
        <w:tc>
          <w:tcPr>
            <w:tcW w:w="3276" w:type="dxa"/>
            <w:gridSpan w:val="3"/>
            <w:tcBorders>
              <w:bottom w:val="single" w:sz="4" w:space="0" w:color="auto"/>
            </w:tcBorders>
            <w:vAlign w:val="center"/>
          </w:tcPr>
          <w:p w:rsidR="00964A41" w:rsidRPr="009B051B" w:rsidRDefault="00964A41" w:rsidP="005A147F">
            <w:pPr>
              <w:tabs>
                <w:tab w:val="left" w:pos="1565"/>
              </w:tabs>
              <w:spacing w:line="240" w:lineRule="auto"/>
              <w:jc w:val="center"/>
              <w:rPr>
                <w:b/>
                <w:sz w:val="20"/>
                <w:lang w:val="en-CA" w:eastAsia="fr-FR"/>
              </w:rPr>
            </w:pPr>
            <w:r w:rsidRPr="009B051B">
              <w:rPr>
                <w:b/>
                <w:sz w:val="20"/>
                <w:lang w:val="en-CA" w:eastAsia="fr-FR"/>
              </w:rPr>
              <w:t>Forward primer 5’–3’</w:t>
            </w:r>
          </w:p>
        </w:tc>
        <w:tc>
          <w:tcPr>
            <w:tcW w:w="3069" w:type="dxa"/>
            <w:gridSpan w:val="5"/>
            <w:tcBorders>
              <w:bottom w:val="single" w:sz="4" w:space="0" w:color="auto"/>
            </w:tcBorders>
            <w:vAlign w:val="center"/>
          </w:tcPr>
          <w:p w:rsidR="00964A41" w:rsidRPr="009B051B" w:rsidRDefault="00964A41" w:rsidP="005A147F">
            <w:pPr>
              <w:tabs>
                <w:tab w:val="left" w:pos="1565"/>
              </w:tabs>
              <w:spacing w:line="240" w:lineRule="auto"/>
              <w:jc w:val="center"/>
              <w:rPr>
                <w:b/>
                <w:sz w:val="20"/>
                <w:lang w:val="en-CA" w:eastAsia="fr-FR"/>
              </w:rPr>
            </w:pPr>
            <w:r w:rsidRPr="009B051B">
              <w:rPr>
                <w:b/>
                <w:sz w:val="20"/>
                <w:lang w:val="en-CA" w:eastAsia="fr-FR"/>
              </w:rPr>
              <w:t>Reverse primer 5’-3’</w:t>
            </w:r>
          </w:p>
        </w:tc>
        <w:tc>
          <w:tcPr>
            <w:tcW w:w="1071" w:type="dxa"/>
            <w:vAlign w:val="center"/>
          </w:tcPr>
          <w:p w:rsidR="00964A41" w:rsidRPr="009B051B" w:rsidRDefault="00964A41" w:rsidP="005A147F">
            <w:pPr>
              <w:tabs>
                <w:tab w:val="left" w:pos="1565"/>
              </w:tabs>
              <w:spacing w:line="240" w:lineRule="auto"/>
              <w:jc w:val="center"/>
              <w:rPr>
                <w:b/>
                <w:sz w:val="20"/>
                <w:lang w:val="en-CA" w:eastAsia="fr-FR"/>
              </w:rPr>
            </w:pPr>
            <w:r w:rsidRPr="009B051B">
              <w:rPr>
                <w:b/>
                <w:sz w:val="20"/>
                <w:lang w:val="en-CA" w:eastAsia="fr-FR"/>
              </w:rPr>
              <w:t>Reference</w:t>
            </w:r>
          </w:p>
        </w:tc>
      </w:tr>
      <w:tr w:rsidR="00964A41" w:rsidRPr="00A66704" w:rsidTr="00964A41">
        <w:trPr>
          <w:cantSplit/>
          <w:trHeight w:val="245"/>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BDNF</w:t>
            </w:r>
          </w:p>
        </w:tc>
        <w:tc>
          <w:tcPr>
            <w:tcW w:w="3276" w:type="dxa"/>
            <w:gridSpan w:val="3"/>
            <w:tcBorders>
              <w:top w:val="single" w:sz="4" w:space="0" w:color="auto"/>
              <w:left w:val="nil"/>
              <w:bottom w:val="single" w:sz="4" w:space="0" w:color="auto"/>
              <w:right w:val="single" w:sz="4" w:space="0" w:color="auto"/>
            </w:tcBorders>
            <w:shd w:val="clear" w:color="auto" w:fill="auto"/>
            <w:vAlign w:val="center"/>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lang w:val="en-CA"/>
              </w:rPr>
              <w:t>GGATGAGGACCAGAAAGT</w:t>
            </w:r>
          </w:p>
        </w:tc>
        <w:tc>
          <w:tcPr>
            <w:tcW w:w="30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lang w:val="en-CA"/>
              </w:rPr>
              <w:t>AGCAGAAAGAGAAGAGGAG</w:t>
            </w:r>
          </w:p>
        </w:tc>
        <w:tc>
          <w:tcPr>
            <w:tcW w:w="1071" w:type="dxa"/>
            <w:vAlign w:val="center"/>
          </w:tcPr>
          <w:p w:rsidR="00964A41" w:rsidRPr="00D8735C"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{"citationItems":[{"id":"ITEM-1","itemData":{"ISSN":"20082835","PMID":"24551431","abstract":"Background: Stem cells from Human Exfoliated Deciduous teeth (SHED) have the capability to differentiate into neural cells. Neurotrophins including Nerve Growth Factor (NGF), Brain-Derived Neurotrophic Factor (BDNF), neurotrophin- 3 (NT-3), and neurotrophin-4 (NT-4) have neurogenesis, neurotrophic, or neuroprotective effects and are expressed in developing teeth. The aim of this study was to measure quantitative changes in mRNA expression levels of neurotrophins in neural-like cells differentiated from dental pulp stem cells. Methods: Isolated total RNA from SHED, dental pulp and neural-like cells (n=3) were transcribed into cDNA. Then real time PCR was done. Expression levels of mRNA for NGF, BDNF, NT-3, and NT-4 genes were compared in these three cells. Results: In neural like cells, BDNF mRNA increased (372.1±113.5) significantly (p&lt;0.01) after differentiation. NGF mRNA increased to more than 266 times the dental pulp level after differentiation. A similar pattern was seen for the expression of NT3 after differentiation. NT4 mRNA enhancement was 1344± 630.8 and 30.7±7.9 fold in neural like cells and SHED cells, respectively. Results show alterations with different degrees and direction in neurotrophins mRNA expression levels in these cells. Conclusion: Our results suggest that neurotrophins dental pulp cells, SHED cells and neural like cells derived from SHED cells produce neurotrophic factors. Since the large amounts of neurotrophins are expressed in SHED and neural like cells they may have important role in survival and differentiation of dental pulp stem cells and obtained information may lead to a novel method for tooth regeneration. © 2014, Avicenna Journal of Medical Biotechnology. All rights reserved.","author":[{"dropping-particle":"","family":"Esmaeili","given":"Abolghasem","non-dropping-particle":"","parse-names":false,"suffix":""},{"dropping-particle":"","family":"Alifarja","given":"Sedigheh","non-dropping-particle":"","parse-names":false,"suffix":""},{"dropping-particle":"","family":"Nourbakhsh","given":"Nosrat","non-dropping-particle":"","parse-names":false,"suffix":""},{"dropping-particle":"","family":"Talebi","given":"Ardeshir","non-dropping-particle":"","parse-names":false,"suffix":""}],"container-title":"Avicenna Journal of Medical Biotechnology","id":"ITEM-1","issue":"1","issued":{"date-parts":[["2014"]]},"page":"21-26","title":"Messenger RNA expression patterns of neurotrophins during transdifferentiation of stem cells from human-exfoliated deciduous teeth into neural-like cells","type":"article-journal","volume":"6"},"uris":["http://www.mendeley.com/documents/?uuid=7ff2dc40-f43d-4685-9e49-1e4346b9c029"]}],"mendeley":{"formattedCitation":"[1]","manualFormatting":"[1]","plainTextFormattedCitation":"[1]","previouslyFormattedCitation":"[1]"},"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1</w:t>
            </w:r>
            <w:r w:rsidRPr="00761362">
              <w:rPr>
                <w:noProof/>
                <w:sz w:val="20"/>
                <w:szCs w:val="20"/>
                <w:lang w:val="en-CA" w:eastAsia="fr-FR"/>
              </w:rPr>
              <w:t>]</w:t>
            </w:r>
            <w:r>
              <w:rPr>
                <w:sz w:val="20"/>
                <w:szCs w:val="20"/>
                <w:lang w:val="en-CA" w:eastAsia="fr-FR"/>
              </w:rPr>
              <w:fldChar w:fldCharType="end"/>
            </w:r>
          </w:p>
        </w:tc>
      </w:tr>
      <w:tr w:rsidR="00964A41" w:rsidRPr="00A66704" w:rsidTr="00964A41">
        <w:trPr>
          <w:cantSplit/>
          <w:trHeight w:val="232"/>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NGF</w:t>
            </w:r>
          </w:p>
        </w:tc>
        <w:tc>
          <w:tcPr>
            <w:tcW w:w="3276" w:type="dxa"/>
            <w:gridSpan w:val="3"/>
            <w:tcBorders>
              <w:top w:val="single" w:sz="4" w:space="0" w:color="auto"/>
              <w:left w:val="nil"/>
              <w:bottom w:val="single" w:sz="4" w:space="0" w:color="auto"/>
              <w:right w:val="single" w:sz="4" w:space="0" w:color="auto"/>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CCATCCCATCTTCCACAG</w:t>
            </w:r>
          </w:p>
        </w:tc>
        <w:tc>
          <w:tcPr>
            <w:tcW w:w="3069" w:type="dxa"/>
            <w:gridSpan w:val="5"/>
            <w:tcBorders>
              <w:top w:val="single" w:sz="4" w:space="0" w:color="auto"/>
              <w:left w:val="single" w:sz="4" w:space="0" w:color="auto"/>
              <w:bottom w:val="single" w:sz="4" w:space="0" w:color="auto"/>
              <w:right w:val="nil"/>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bookmarkStart w:id="2" w:name="OLE_LINK1"/>
            <w:r w:rsidRPr="003D3B35">
              <w:rPr>
                <w:color w:val="000000"/>
                <w:sz w:val="16"/>
                <w:szCs w:val="20"/>
              </w:rPr>
              <w:t>CTCTCCCAACACCATCAC</w:t>
            </w:r>
            <w:bookmarkEnd w:id="2"/>
          </w:p>
        </w:tc>
        <w:tc>
          <w:tcPr>
            <w:tcW w:w="1071" w:type="dxa"/>
            <w:vAlign w:val="center"/>
          </w:tcPr>
          <w:p w:rsidR="00964A41" w:rsidRPr="00D8735C" w:rsidRDefault="00964A41" w:rsidP="005A147F">
            <w:pPr>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{"citationItems":[{"id":"ITEM-1","itemData":{"ISSN":"20082835","PMID":"24551431","abstract":"Background: Stem cells from Human Exfoliated Deciduous teeth (SHED) have the capability to differentiate into neural cells. Neurotrophins including Nerve Growth Factor (NGF), Brain-Derived Neurotrophic Factor (BDNF), neurotrophin- 3 (NT-3), and neurotrophin-4 (NT-4) have neurogenesis, neurotrophic, or neuroprotective effects and are expressed in developing teeth. The aim of this study was to measure quantitative changes in mRNA expression levels of neurotrophins in neural-like cells differentiated from dental pulp stem cells. Methods: Isolated total RNA from SHED, dental pulp and neural-like cells (n=3) were transcribed into cDNA. Then real time PCR was done. Expression levels of mRNA for NGF, BDNF, NT-3, and NT-4 genes were compared in these three cells. Results: In neural like cells, BDNF mRNA increased (372.1±113.5) significantly (p&lt;0.01) after differentiation. NGF mRNA increased to more than 266 times the dental pulp level after differentiation. A similar pattern was seen for the expression of NT3 after differentiation. NT4 mRNA enhancement was 1344± 630.8 and 30.7±7.9 fold in neural like cells and SHED cells, respectively. Results show alterations with different degrees and direction in neurotrophins mRNA expression levels in these cells. Conclusion: Our results suggest that neurotrophins dental pulp cells, SHED cells and neural like cells derived from SHED cells produce neurotrophic factors. Since the large amounts of neurotrophins are expressed in SHED and neural like cells they may have important role in survival and differentiation of dental pulp stem cells and obtained information may lead to a novel method for tooth regeneration. © 2014, Avicenna Journal of Medical Biotechnology. All rights reserved.","author":[{"dropping-particle":"","family":"Esmaeili","given":"Abolghasem","non-dropping-particle":"","parse-names":false,"suffix":""},{"dropping-particle":"","family":"Alifarja","given":"Sedigheh","non-dropping-particle":"","parse-names":false,"suffix":""},{"dropping-particle":"","family":"Nourbakhsh","given":"Nosrat","non-dropping-particle":"","parse-names":false,"suffix":""},{"dropping-particle":"","family":"Talebi","given":"Ardeshir","non-dropping-particle":"","parse-names":false,"suffix":""}],"container-title":"Avicenna Journal of Medical Biotechnology","id":"ITEM-1","issue":"1","issued":{"date-parts":[["2014"]]},"page":"21-26","title":"Messenger RNA expression patterns of neurotrophins during transdifferentiation of stem cells from human-exfoliated deciduous teeth into neural-like cells","type":"article-journal","volume":"6"},"uris":["http://www.mendeley.com/documents/?uuid=7ff2dc40-f43d-4685-9e49-1e4346b9c029"]}],"mendeley":{"formattedCitation":"[1]","manualFormatting":"[1]","plainTextFormattedCitation":"[1]","previouslyFormattedCitation":"[1]"},"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1</w:t>
            </w:r>
            <w:r w:rsidRPr="00761362">
              <w:rPr>
                <w:noProof/>
                <w:sz w:val="20"/>
                <w:szCs w:val="20"/>
                <w:lang w:val="en-CA" w:eastAsia="fr-FR"/>
              </w:rPr>
              <w:t>]</w:t>
            </w:r>
            <w:r>
              <w:rPr>
                <w:sz w:val="20"/>
                <w:szCs w:val="20"/>
                <w:lang w:val="en-CA" w:eastAsia="fr-FR"/>
              </w:rPr>
              <w:fldChar w:fldCharType="end"/>
            </w:r>
          </w:p>
        </w:tc>
      </w:tr>
      <w:tr w:rsidR="00964A41" w:rsidRPr="00A66704" w:rsidTr="00964A41">
        <w:trPr>
          <w:cantSplit/>
          <w:trHeight w:val="232"/>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CCL5</w:t>
            </w:r>
          </w:p>
        </w:tc>
        <w:tc>
          <w:tcPr>
            <w:tcW w:w="3276" w:type="dxa"/>
            <w:gridSpan w:val="3"/>
            <w:tcBorders>
              <w:top w:val="single" w:sz="4" w:space="0" w:color="auto"/>
            </w:tcBorders>
            <w:vAlign w:val="center"/>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lang w:val="en-CA"/>
              </w:rPr>
              <w:t>CTCATTGCTACTGCCCTCTGCGCTCCTGC</w:t>
            </w:r>
          </w:p>
        </w:tc>
        <w:tc>
          <w:tcPr>
            <w:tcW w:w="3069" w:type="dxa"/>
            <w:gridSpan w:val="5"/>
            <w:tcBorders>
              <w:top w:val="single" w:sz="4" w:space="0" w:color="auto"/>
            </w:tcBorders>
            <w:vAlign w:val="center"/>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lang w:val="en-CA"/>
              </w:rPr>
              <w:t>GCTCATCTCCAAAGAGTTGATGTACTC</w:t>
            </w:r>
          </w:p>
        </w:tc>
        <w:tc>
          <w:tcPr>
            <w:tcW w:w="1071" w:type="dxa"/>
            <w:vAlign w:val="center"/>
          </w:tcPr>
          <w:p w:rsidR="00964A41" w:rsidRPr="00D8735C"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{"citationItems":[{"id":"ITEM-1","itemData":{"DOI":"10.1002/pros.20306","ISSN":"02704137","PMID":"16161154","abstract":"BACKGROUND. Expression of the inflammatory chemokine CCL5 (RANTES) by tumor cells is thought to correlate with the progression of several cancers. CCL5 was shown to induce breast cancer cell migration, mediated by the receptor CCR5. A CCR5 antagonist was demonstrated to inhibit experimental breast tumor growth. Recently, CCL5 and CCR5 mRNA expression was reported in prostate cancer (PCa) tissues. Herein, we characterized CCL5 and CCR5 expression in cultures of PCa cells and explored possible functions of CCL5 in PCa progression. METHODS. Quantitative RT-PCR, ELISA, and immunohistochemical staining were performed to examine CCL5 expression in prostate cell lines. CCR5 expression was measured by flow cytometry. Proliferation and invasion assays were performed to determine potential functions of CCL5 and CCR5 in PCa. RESULTS. Expression of CCL5 mRNA and protein was found in human PCa cell lines (PC-3; DU-145; LNCaP) and primary prostate adenocarcinoma cells. CCL5 and CCR5 were also detected in human PCa tissues. CCR5 expression was demonstrated on the cell surface of PCa cells, as well as in intracellular pools. Incubation with CCL5 (10-100 ng/ml) induced PCa cell proliferation, and the CCR5 antagonist TAK-779 inhibited CCL5-induced proliferation. CCL5 was found to stimulate PCa cell invasion, and TAK-779 blocked the effects of CCL5. CONCLUSIONS. In light of evidence that inflammation influences the pathogenesis of PCa, these results suggest that inflammatory chemokines, such as CCL5, expressed by prostate cells may act directly on the growth and survival of PCa cells. Chemokine receptor antagonists may thus block autocrine mechanisms of PCa progression.","author":[{"dropping-particle":"","family":"Vaday","given":"Gayle G.","non-dropping-particle":"","parse-names":false,"suffix":""},{"dropping-particle":"","family":"Peehl","given":"Donna M.","non-dropping-particle":"","parse-names":false,"suffix":""},{"dropping-particle":"","family":"Kadam","given":"Pournima A.","non-dropping-particle":"","parse-names":false,"suffix":""},{"dropping-particle":"","family":"Lawrence","given":"Diana M.","non-dropping-particle":"","parse-names":false,"suffix":""}],"container-title":"Prostate","id":"ITEM-1","issue":"2","issued":{"date-parts":[["2006"]]},"page":"124-134","title":"Expression of CCL5 (RANTES) and CCR5 in prostate cancer","type":"article-journal","volume":"66"},"uris":["http://www.mendeley.com/documents/?uuid=2444c357-78fc-4094-bce5-44b421f175e0"]}],"mendeley":{"formattedCitation":"[2]","manualFormatting":"[2]","plainTextFormattedCitation":"[2]","previouslyFormattedCitation":"[2]"},"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2</w:t>
            </w:r>
            <w:r w:rsidRPr="00761362">
              <w:rPr>
                <w:noProof/>
                <w:sz w:val="20"/>
                <w:szCs w:val="20"/>
                <w:lang w:val="en-CA" w:eastAsia="fr-FR"/>
              </w:rPr>
              <w:t>]</w:t>
            </w:r>
            <w:r>
              <w:rPr>
                <w:sz w:val="20"/>
                <w:szCs w:val="20"/>
                <w:lang w:val="en-CA" w:eastAsia="fr-FR"/>
              </w:rPr>
              <w:fldChar w:fldCharType="end"/>
            </w:r>
          </w:p>
        </w:tc>
      </w:tr>
      <w:tr w:rsidR="00964A41" w:rsidRPr="00D8735C" w:rsidTr="00964A41">
        <w:trPr>
          <w:cantSplit/>
          <w:trHeight w:val="232"/>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CXCL10</w:t>
            </w:r>
          </w:p>
        </w:tc>
        <w:tc>
          <w:tcPr>
            <w:tcW w:w="3276" w:type="dxa"/>
            <w:gridSpan w:val="3"/>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TATTCCTGCAAGCCAATTTTGTC</w:t>
            </w:r>
          </w:p>
        </w:tc>
        <w:tc>
          <w:tcPr>
            <w:tcW w:w="3069" w:type="dxa"/>
            <w:gridSpan w:val="5"/>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TCTTGATC*GCCTTCGATTCTG</w:t>
            </w:r>
          </w:p>
        </w:tc>
        <w:tc>
          <w:tcPr>
            <w:tcW w:w="1071" w:type="dxa"/>
            <w:vAlign w:val="center"/>
          </w:tcPr>
          <w:p w:rsidR="00964A41" w:rsidRPr="00761362"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{"citationItems":[{"id":"ITEM-1","itemData":{"DOI":"10.1128/jvi.03576-14","ISSN":"0022-538X","PMID":"25540380","abstract":" One of the first lines of host defense against many viruses in vertebrates is the innate immune system, which detects pathogen-associated molecular patterns (PAMPs) using pathogen recognition receptors (PRR). The dynamic interactions between pathogens and hosts create, in some cases, species-specific relationships. Recently, it was shown that murine factor X (mFX)-armored human adenovirus (HAd) stimulated a mFX-Toll-like receptor 4 (TLR4)-associated response in mouse macrophages in vitro and in vivo . Given the importance of studies using animals to better understand host-pathogen interactions, we asked if human FX (hFX)-armored HAd type 5 (HAd5) was capable of activating innate immune sensors in primary human mononuclear phagocytes. To this end, we assayed human mononuclear phagocytes for their ability to be stimulated by hFX-armored HAd5 via a TLR/NF-κB pathway, in particular, a TLR4 pathway. In our hands, we found no significant interaction, activation, or maturation of human mononuclear phagocytes caused by the presence of hFX-armored HAd5.  IMPORTANCE Animals, and mice in particular, are often used as informative and powerful surrogates for how pathogens interact with natural host systems. When possible, extended and targeted studies in the natural host can then be performed. Our data will help us understand the differences in preclinical testing in mice and clinical use in humans in order to improve treatment for HAd diseases and Ad vector effectiveness. ","author":[{"dropping-particle":"","family":"Eichholz","given":"Karsten","non-dropping-particle":"","parse-names":false,"suffix":""},{"dropping-particle":"","family":"Mennechet","given":"Franck J. D.","non-dropping-particle":"","parse-names":false,"suffix":""},{"dropping-particle":"","family":"Kremer","given":"Eric J.","non-dropping-particle":"","parse-names":false,"suffix":""}],"container-title":"Journal of Virology","id":"ITEM-1","issue":"5","issued":{"date-parts":[["2015"]]},"page":"2884-2891","title":"Human Coagulation Factor X-Adenovirus Type 5 Complexes Poorly Stimulate an Innate Immune Response in Human Mononuclear Phagocytes","type":"article-journal","volume":"89"},"uris":["http://www.mendeley.com/documents/?uuid=bcda309c-cc0d-4901-8746-f334f8439257"]}],"mendeley":{"formattedCitation":"[3]","manualFormatting":"[3]","plainTextFormattedCitation":"[3]","previouslyFormattedCitation":"[3]"},"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3</w:t>
            </w:r>
            <w:r w:rsidRPr="00761362">
              <w:rPr>
                <w:noProof/>
                <w:sz w:val="20"/>
                <w:szCs w:val="20"/>
                <w:lang w:val="en-CA" w:eastAsia="fr-FR"/>
              </w:rPr>
              <w:t>]</w:t>
            </w:r>
            <w:r>
              <w:rPr>
                <w:sz w:val="20"/>
                <w:szCs w:val="20"/>
                <w:lang w:val="en-CA" w:eastAsia="fr-FR"/>
              </w:rPr>
              <w:fldChar w:fldCharType="end"/>
            </w:r>
          </w:p>
        </w:tc>
      </w:tr>
      <w:tr w:rsidR="00964A41" w:rsidRPr="00761362" w:rsidTr="00964A41">
        <w:trPr>
          <w:cantSplit/>
          <w:trHeight w:val="232"/>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CXCL11</w:t>
            </w:r>
          </w:p>
        </w:tc>
        <w:tc>
          <w:tcPr>
            <w:tcW w:w="3276" w:type="dxa"/>
            <w:gridSpan w:val="3"/>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GACGCTGTCTTTGCATAGGC</w:t>
            </w:r>
          </w:p>
        </w:tc>
        <w:tc>
          <w:tcPr>
            <w:tcW w:w="3069" w:type="dxa"/>
            <w:gridSpan w:val="5"/>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GGATTTAGGCATCGTTGTCCTTT</w:t>
            </w:r>
          </w:p>
        </w:tc>
        <w:tc>
          <w:tcPr>
            <w:tcW w:w="1071" w:type="dxa"/>
            <w:vAlign w:val="center"/>
          </w:tcPr>
          <w:p w:rsidR="00964A41" w:rsidRPr="00761362"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{"citationItems":[{"id":"ITEM-1","itemData":{"DOI":"10.2147/OTT.S167872","ISSN":"11786930","abstract":"Background: The poor prognosis of colorectal cancer (CRC) largely results from local invasion and tumor metastases. Epithelial-mesenchymal transition (EMT) is a key step in the progression of solid tumors and plays a vital role in tumor metastasis. Recent studies demonstrate that C-X-C motif chemokine 11 (CXCL11) is involved in various cancers’ progression. However, its biological activity in CRC needs deeper exploration. Methods: The level of CXCL11 in CRC tissues and cell lines was determined using the quantitative real-time PCR (qRT-PCR) assay. The MTT, colony formation, wound healing and Transwell invasion assays were applied to assess the role of CXCL11 in CRC cell growth, migration and invasion, in vitro, respectively. A xenograft model was constructed to analyze the function of CXCL11 in CRC cell growth in vivo. Results: CXCL11 was over-expressed in CRC tissues and cell lines. Repression of CXCL11 significantly inhibited CRC cell migration, invasion and EMT in vitro. In addition, downregulation of CXCL11 reduced CRC cell growth and metastasis in vivo. Finally, we revealed that repression of CXCL11 inhibited the metastatic ability of CRC cell in a N-cadherin dependent manner. Conclusion: In summary, this study explicates the oncogenic activities of CXCL11 in CRC cell growth and metastasis.","author":[{"dropping-particle":"","family":"Gao","given":"Yu Jie","non-dropping-particle":"","parse-names":false,"suffix":""},{"dropping-particle":"","family":"Liu","given":"De Lin","non-dropping-particle":"","parse-names":false,"suffix":""},{"dropping-particle":"","family":"Li","given":"Sheng","non-dropping-particle":"","parse-names":false,"suffix":""},{"dropping-particle":"","family":"Yuan","given":"Gao Feng","non-dropping-particle":"","parse-names":false,"suffix":""},{"dropping-particle":"","family":"Li","given":"Li","non-dropping-particle":"","parse-names":false,"suffix":""},{"dropping-particle":"","family":"Zhu","given":"Hong Yan","non-dropping-particle":"","parse-names":false,"suffix":""},{"dropping-particle":"","family":"Cao","given":"Guan Yi","non-dropping-particle":"","parse-names":false,"suffix":""}],"container-title":"OncoTargets and Therapy","id":"ITEM-1","issued":{"date-parts":[["2018"]]},"page":"7333-7343","title":"Down-regulation of CXCL11 inhibits colorectal cancer cell growth and epithelial-mesenchymal transition","type":"article-journal","volume":"11"},"uris":["http://www.mendeley.com/documents/?uuid=ffba1aa7-226a-4039-bd28-70a589dbd7ba"]}],"mendeley":{"formattedCitation":"[4]","manualFormatting":"[4]","plainTextFormattedCitation":"[4]","previouslyFormattedCitation":"[4]"},"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4</w:t>
            </w:r>
            <w:r w:rsidRPr="00761362">
              <w:rPr>
                <w:noProof/>
                <w:sz w:val="20"/>
                <w:szCs w:val="20"/>
                <w:lang w:val="en-CA" w:eastAsia="fr-FR"/>
              </w:rPr>
              <w:t>]</w:t>
            </w:r>
            <w:r>
              <w:rPr>
                <w:sz w:val="20"/>
                <w:szCs w:val="20"/>
                <w:lang w:val="en-CA" w:eastAsia="fr-FR"/>
              </w:rPr>
              <w:fldChar w:fldCharType="end"/>
            </w:r>
          </w:p>
        </w:tc>
      </w:tr>
      <w:tr w:rsidR="00964A41" w:rsidRPr="00A66704" w:rsidTr="00964A41">
        <w:trPr>
          <w:cantSplit/>
          <w:trHeight w:val="232"/>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HPRT1</w:t>
            </w:r>
          </w:p>
        </w:tc>
        <w:tc>
          <w:tcPr>
            <w:tcW w:w="3276" w:type="dxa"/>
            <w:gridSpan w:val="3"/>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AGCTTGCTGGTGAAAAGGAC</w:t>
            </w:r>
          </w:p>
        </w:tc>
        <w:tc>
          <w:tcPr>
            <w:tcW w:w="3069" w:type="dxa"/>
            <w:gridSpan w:val="5"/>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TTATAGTCAAGGGCATATCC</w:t>
            </w:r>
          </w:p>
        </w:tc>
        <w:tc>
          <w:tcPr>
            <w:tcW w:w="1071" w:type="dxa"/>
            <w:vAlign w:val="center"/>
          </w:tcPr>
          <w:p w:rsidR="00964A41" w:rsidRPr="00D8735C"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{"citationItems":[{"id":"ITEM-1","itemData":{"DOI":"10.1016/j.cyto.2011.02.015","ISSN":"10434666","PMID":"21414799","abstract":"Interleukin 6 (IL-6) and nitric oxide (NO) are important mediators of the inflammatory response. We report that in human peripheral blood mononuclear cells (PBMCs), NO exerts a biphasic effect on the expression of IL-6. Using sodium nitroprusside (SNP) and S-nitrosoglutathione (GSNO) as NO-donating compounds, we observed that both mRNA and protein levels of IL-6 increased at lower (≥10. μM) and decreased at higher (&gt;100. μM) concentrations of NO donors. Changes in the expression of IL-6 correlated with changes in the activity of NF-κB, which increased at lower and decreased at higher concentrations of both NO donors as shown by the electrophoretic mobility shift assay (EMSA). The effects of NO on NF-κB activity were cGMP-dependent because they were reversed in the presence of ODQ, the inhibitor of soluble guanylyl cyclase (sGC), and KT5823, the inhibitor of cGMP-dependent protein kinase (PKG). Moreover, the membrane permeable analog of cGMP (8-Br-cGMP) mimicked the effect of the NO donors. These observations show that NO, depending on its concentration, may act in human PBMCs as a stimulator of IL-6 expression involving the sGC/cGMP/PKG pathway. © 2011 Elsevier Ltd.","author":[{"dropping-particle":"","family":"Siednienko","given":"Jakub","non-dropping-particle":"","parse-names":false,"suffix":""},{"dropping-particle":"","family":"Nowak","given":"Joanna","non-dropping-particle":"","parse-names":false,"suffix":""},{"dropping-particle":"","family":"Moynagh","given":"Paul N.","non-dropping-particle":"","parse-names":false,"suffix":""},{"dropping-particle":"","family":"Gorczyca","given":"Wojciech A.","non-dropping-particle":"","parse-names":false,"suffix":""}],"container-title":"Cytokine","id":"ITEM-1","issue":"3","issued":{"date-parts":[["2011"]]},"page":"282-288","publisher":"Elsevier Ltd","title":"Nitric oxide affects IL-6 expression in human peripheral blood mononuclear cells involving cGMP-dependent modulation of NF-κB activity","type":"article-journal","volume":"54"},"uris":["http://www.mendeley.com/documents/?uuid=55423bc1-a0da-47a9-8ee7-7f27dc0980af"]}],"mendeley":{"formattedCitation":"[5]","manualFormatting":"[5]","plainTextFormattedCitation":"[5]","previouslyFormattedCitation":"[5]"},"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5</w:t>
            </w:r>
            <w:r w:rsidRPr="00761362">
              <w:rPr>
                <w:noProof/>
                <w:sz w:val="20"/>
                <w:szCs w:val="20"/>
                <w:lang w:val="en-CA" w:eastAsia="fr-FR"/>
              </w:rPr>
              <w:t>]</w:t>
            </w:r>
            <w:r>
              <w:rPr>
                <w:sz w:val="20"/>
                <w:szCs w:val="20"/>
                <w:lang w:val="en-CA" w:eastAsia="fr-FR"/>
              </w:rPr>
              <w:fldChar w:fldCharType="end"/>
            </w:r>
          </w:p>
        </w:tc>
      </w:tr>
      <w:tr w:rsidR="00964A41" w:rsidRPr="00255231" w:rsidTr="00964A41">
        <w:trPr>
          <w:cantSplit/>
          <w:trHeight w:val="244"/>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IFNB1</w:t>
            </w:r>
          </w:p>
        </w:tc>
        <w:tc>
          <w:tcPr>
            <w:tcW w:w="3276" w:type="dxa"/>
            <w:gridSpan w:val="3"/>
            <w:tcBorders>
              <w:bottom w:val="single" w:sz="4" w:space="0" w:color="auto"/>
            </w:tcBorders>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GTCTCCTCCAAATTGCTCTC</w:t>
            </w:r>
          </w:p>
        </w:tc>
        <w:tc>
          <w:tcPr>
            <w:tcW w:w="3069" w:type="dxa"/>
            <w:gridSpan w:val="5"/>
            <w:tcBorders>
              <w:bottom w:val="single" w:sz="4" w:space="0" w:color="auto"/>
            </w:tcBorders>
            <w:vAlign w:val="center"/>
          </w:tcPr>
          <w:p w:rsidR="00964A41" w:rsidRPr="003D3B35" w:rsidRDefault="00964A41" w:rsidP="005A147F">
            <w:pPr>
              <w:tabs>
                <w:tab w:val="left" w:pos="1565"/>
              </w:tabs>
              <w:spacing w:line="240" w:lineRule="auto"/>
              <w:jc w:val="center"/>
              <w:rPr>
                <w:sz w:val="16"/>
                <w:szCs w:val="20"/>
                <w:lang w:val="en-CA" w:eastAsia="fr-FR"/>
              </w:rPr>
            </w:pPr>
            <w:r w:rsidRPr="003D3B35">
              <w:rPr>
                <w:sz w:val="16"/>
                <w:szCs w:val="20"/>
                <w:lang w:val="en-CA" w:eastAsia="fr-FR"/>
              </w:rPr>
              <w:t>ACAGGAGCTTCTGACACTGA</w:t>
            </w:r>
          </w:p>
        </w:tc>
        <w:tc>
          <w:tcPr>
            <w:tcW w:w="1071" w:type="dxa"/>
            <w:vAlign w:val="center"/>
          </w:tcPr>
          <w:p w:rsidR="00964A41" w:rsidRPr="00761362"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{"citationItems":[{"id":"ITEM-1","itemData":{"DOI":"10.1371/journal.pone.0088716","ISSN":"19326203","PMID":"24551142","abstract":"One year after the occurrence of the first case of infection by the Middle East Respiratory Syndrome coronavirus (MERS-CoV) there is no clear consensus on the best treatment to propose. The World Health Organization, as well as several other national agencies, are still working on different clinical approaches to implement the most relevant treatment in MERS-CoV infection. We compared innate and adaptive immune responses of two patients infected with MERS-CoV to understand the underlying mechanisms involved in the response and propose potential therapeutic approaches. Broncho-alveolar lavage (BAL) of the first week and sera of the first month from the two patients were used in this study. Quantitative polymerase chain reaction (qRTPCR) was performed after extraction of RNA from BAL cells of MERS-CoV infected patients and control patients. BAL supernatants and sera were used to assess cytokines and chemokines secretion by enzyme-linked immunosorbent assay. The first patient died rapidly after 3 weeks in the intensive care unit, the second patient still recovers from infection. The patient with a poor outcome (patient 1), compared to patient 2, did not promote type-1 Interferon (IFN), and particularly IFNα, in response to double stranded RNA (dsRNA) from MERS-CoV. The absence of IFNα, known to promote antigen presentation in response to viruses, impairs the development of a robust antiviral adaptive Th-1 immune response. This response is mediated by IL-12 and IFNγ that decreases viral clearance; levels of both of these mediators were decreased in patient 1. Finally, we confirm previous in vitro findings that MERS-CoV can drive IL-17 production in humans. Host recognition of viral dsRNA determines outcome in the early stage of MERS-CoV infection. We highlight the critical role of IFNα in this initial stage to orchestrate a robust immune response and bring substantial arguments for the indication of early IFNα treatment during MERS-CoV infection. © 2014 Faure et al.","author":[{"dropping-particle":"","family":"Faure","given":"Emmanuel","non-dropping-particle":"","parse-names":false,"suffix":""},{"dropping-particle":"","family":"Poissy","given":"Julien","non-dropping-particle":"","parse-names":false,"suffix":""},{"dropping-particle":"","family":"Goffard","given":"Anne","non-dropping-particle":"","parse-names":false,"suffix":""},{"dropping-particle":"","family":"Fournier","given":"Clement","non-dropping-particle":"","parse-names":false,"suffix":""},{"dropping-particle":"","family":"Kipnis","given":"Eric","non-dropping-particle":"","parse-names":false,"suffix":""},{"dropping-particle":"","family":"Titecat","given":"Marie","non-dropping-particle":"","parse-names":false,"suffix":""},{"dropping-particle":"","family":"Bortolotti","given":"Perinne","non-dropping-particle":"","parse-names":false,"suffix":""},{"dropping-particle":"","family":"Martinez","given":"Laura","non-dropping-particle":"","parse-names":false,"suffix":""},{"dropping-particle":"","family":"Dubucquoi","given":"Sylvain","non-dropping-particle":"","parse-names":false,"suffix":""},{"dropping-particle":"","family":"Dessein","given":"Rodrigue","non-dropping-particle":"","parse-names":false,"suffix":""},{"dropping-particle":"","family":"Gosset","given":"Philippe","non-dropping-particle":"","parse-names":false,"suffix":""},{"dropping-particle":"","family":"Mathieu","given":"Daniel","non-dropping-particle":"","parse-names":false,"suffix":""},{"dropping-particle":"","family":"Guery","given":"Benoit","non-dropping-particle":"","parse-names":false,"suffix":""}],"container-title":"PLoS ONE","id":"ITEM-1","issue":"2","issued":{"date-parts":[["2014"]]},"title":"Distinct immune response in two MERS-CoV-infected patients: Can we go from bench to bedside?","type":"article-journal","volume":"9"},"uris":["http://www.mendeley.com/documents/?uuid=913fc25b-84f7-4291-be12-a4fc9787f36b"]}],"mendeley":{"formattedCitation":"[6]","manualFormatting":"[6]","plainTextFormattedCitation":"[6]","previouslyFormattedCitation":"[6]"},"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[6]</w:t>
            </w:r>
            <w:r>
              <w:rPr>
                <w:sz w:val="20"/>
                <w:szCs w:val="20"/>
                <w:lang w:val="en-CA" w:eastAsia="fr-FR"/>
              </w:rPr>
              <w:fldChar w:fldCharType="end"/>
            </w:r>
          </w:p>
        </w:tc>
      </w:tr>
      <w:tr w:rsidR="00964A41" w:rsidRPr="00255231" w:rsidTr="00964A41">
        <w:trPr>
          <w:cantSplit/>
          <w:trHeight w:val="244"/>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IL1B</w:t>
            </w:r>
          </w:p>
        </w:tc>
        <w:tc>
          <w:tcPr>
            <w:tcW w:w="3276" w:type="dxa"/>
            <w:gridSpan w:val="3"/>
            <w:tcBorders>
              <w:top w:val="single" w:sz="4" w:space="0" w:color="auto"/>
              <w:left w:val="nil"/>
              <w:bottom w:val="single" w:sz="4" w:space="0" w:color="auto"/>
              <w:right w:val="single" w:sz="4" w:space="0" w:color="auto"/>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ATGATGGCTTATTACAGTGGCAA</w:t>
            </w:r>
          </w:p>
        </w:tc>
        <w:tc>
          <w:tcPr>
            <w:tcW w:w="3069" w:type="dxa"/>
            <w:gridSpan w:val="5"/>
            <w:tcBorders>
              <w:top w:val="single" w:sz="4" w:space="0" w:color="auto"/>
              <w:left w:val="single" w:sz="4" w:space="0" w:color="auto"/>
              <w:bottom w:val="single" w:sz="4" w:space="0" w:color="auto"/>
              <w:right w:val="nil"/>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GTCGGAGATTCGTAGCTGGA</w:t>
            </w:r>
          </w:p>
        </w:tc>
        <w:tc>
          <w:tcPr>
            <w:tcW w:w="1071" w:type="dxa"/>
            <w:vAlign w:val="center"/>
          </w:tcPr>
          <w:p w:rsidR="00964A41" w:rsidRPr="00D8735C"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{"citationItems":[{"id":"ITEM-1","itemData":{"DOI":"10.3390/ijms20194870","ISSN":"14220067","PMID":"31575039","abstract":"Signal transducer and activator of transcription 3 (STAT3) is a multifunctional factor that regulates inflammation and immunity. Knowledge of its regulatory mechanisms is very limited. Here, we showed that enterovirus 71 (EV71) infection induced the phosphorylation of STAT3 and the expression of its downstream inflammatory regulators. Knockdown of STAT3 with siRNAs significantly restricted viral RNA and protein levels, and also reduced viral titers. With further investigation, we found that importin α family member Karyopherin-α1 (KPNA1) was employed by both STAT1 and STAT3 for their nuclear import. The phosphorylated and un-phosphorylated STAT3 competed with STAT1 for binding to the decreased KPNA1 post infection and repressed downstream ISG expression. STAT3 knockdown alleviated the repressed type I IFN-mediated antiviral response upon infection and led to decreased viral replication. Taken together, our data suggested the role of STAT3 in maintaining the balance of inflammation and antiviral responses in the central nervous system (CNS) upon infection.","author":[{"dropping-particle":"","family":"Wang","given":"Huanru","non-dropping-particle":"","parse-names":false,"suffix":""},{"dropping-particle":"","family":"Yuan","given":"Meng","non-dropping-particle":"","parse-names":false,"suffix":""},{"dropping-particle":"","family":"Wang","given":"Shuaibo","non-dropping-particle":"","parse-names":false,"suffix":""},{"dropping-particle":"","family":"Zhang","given":"Li","non-dropping-particle":"","parse-names":false,"suffix":""},{"dropping-particle":"","family":"Zhang","given":"Rui","non-dropping-particle":"","parse-names":false,"suffix":""},{"dropping-particle":"","family":"Zou","given":"Xue","non-dropping-particle":"","parse-names":false,"suffix":""},{"dropping-particle":"","family":"Wang","given":"Xiaohui","non-dropping-particle":"","parse-names":false,"suffix":""},{"dropping-particle":"","family":"Chen","given":"Deyan","non-dropping-particle":"","parse-names":false,"suffix":""},{"dropping-particle":"","family":"Wu","given":"Zhiwei","non-dropping-particle":"","parse-names":false,"suffix":""}],"container-title":"International Journal of Molecular Sciences","id":"ITEM-1","issue":"19","issued":{"date-parts":[["2019"]]},"title":"STAT3 Regulates the Type I IFN-mediated antiviral response by interfering with the nuclear entry of STAT1","type":"article-journal","volume":"20"},"uris":["http://www.mendeley.com/documents/?uuid=89b3258f-66f8-4797-904b-11554a9a348f"]}],"mendeley":{"formattedCitation":"[7]","manualFormatting":"[7]","plainTextFormattedCitation":"[7]","previouslyFormattedCitation":"[7]"},"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7</w:t>
            </w:r>
            <w:r w:rsidRPr="00761362">
              <w:rPr>
                <w:noProof/>
                <w:sz w:val="20"/>
                <w:szCs w:val="20"/>
                <w:lang w:val="en-CA" w:eastAsia="fr-FR"/>
              </w:rPr>
              <w:t>]</w:t>
            </w:r>
            <w:r>
              <w:rPr>
                <w:sz w:val="20"/>
                <w:szCs w:val="20"/>
                <w:lang w:val="en-CA" w:eastAsia="fr-FR"/>
              </w:rPr>
              <w:fldChar w:fldCharType="end"/>
            </w:r>
          </w:p>
        </w:tc>
      </w:tr>
      <w:tr w:rsidR="00964A41" w:rsidRPr="00255231" w:rsidTr="00964A41">
        <w:trPr>
          <w:cantSplit/>
          <w:trHeight w:val="244"/>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IL6</w:t>
            </w:r>
          </w:p>
        </w:tc>
        <w:tc>
          <w:tcPr>
            <w:tcW w:w="3276" w:type="dxa"/>
            <w:gridSpan w:val="3"/>
            <w:tcBorders>
              <w:top w:val="single" w:sz="4" w:space="0" w:color="auto"/>
              <w:left w:val="nil"/>
              <w:bottom w:val="single" w:sz="4" w:space="0" w:color="auto"/>
              <w:right w:val="single" w:sz="4" w:space="0" w:color="auto"/>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CCAGGAGCCCAGCTATGAAC</w:t>
            </w:r>
          </w:p>
        </w:tc>
        <w:tc>
          <w:tcPr>
            <w:tcW w:w="3069" w:type="dxa"/>
            <w:gridSpan w:val="5"/>
            <w:tcBorders>
              <w:top w:val="single" w:sz="4" w:space="0" w:color="auto"/>
              <w:left w:val="single" w:sz="4" w:space="0" w:color="auto"/>
              <w:bottom w:val="single" w:sz="4" w:space="0" w:color="auto"/>
              <w:right w:val="nil"/>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 xml:space="preserve">CCCAGGGAGAAGGCAACTG </w:t>
            </w:r>
          </w:p>
        </w:tc>
        <w:tc>
          <w:tcPr>
            <w:tcW w:w="1071" w:type="dxa"/>
            <w:vAlign w:val="center"/>
          </w:tcPr>
          <w:p w:rsidR="00964A41" w:rsidRPr="00D8735C"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10.1002/ana.20697","ISSN":"0364-5134","author":[{"dropping-particle":"","family":"Chen","given":"Yongmei","non-dropping-particle":"","parse-names":false,"suffix":""},{"dropping-particle":"","family":"Pawlikowska","given":"Ludmila","non-dropping-particle":"","parse-names":false,"suffix":""},{"dropping-particle":"","family":"Yao","given":"Jianhua S.","non-dropping-particle":"","parse-names":false,"suffix":""},{"dropping-particle":"","family":"Shen","given":"Fanxia","non-dropping-particle":"","parse-names":false,"suffix":""},{"dropping-particle":"","family":"Zhai","given":"Wenwu","non-dropping-particle":"","parse-names":false,"suffix":""},{"dropping-particle":"","family":"Achrol","given":"Achal S.","non-dropping-particle":"","parse-names":false,"suffix":""},{"dropping-particle":"","family":"Lawton","given":"Michael T.","non-dropping-particle":"","parse-names":false,"suffix":""},{"dropping-particle":"","family":"Kwok","given":"Pui-Yan","non-dropping-particle":"","parse-names":false,"suffix":""},{"dropping-particle":"","family":"Yang","given":"Guo-Yuan","non-dropping-particle":"","parse-names":false,"suffix":""},{"dropping-particle":"","family":"Young","given":"William L.","non-dropping-particle":"","parse-names":false,"suffix":""}],"container-title":"Annals of Neurology","id":"ITEM-1","issue":"1","issued":{"date-parts":[["2006","1"]]},"page":"72-80","title":"Interleukin-6 involvement in brain arteriovenous malformations","type":"article-journal","volume":"59"},"uris":["http://www.mendeley.com/documents/?uuid=ca8a3ff5-1076-4974-b742-b412f9b92513"]}],"mendeley":{"formattedCitation":"[8]","manualFormatting":"[8]","plainTextFormattedCitation":"[8]","previouslyFormattedCitation":"[8]"},"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8</w:t>
            </w:r>
            <w:r w:rsidRPr="00761362">
              <w:rPr>
                <w:noProof/>
                <w:sz w:val="20"/>
                <w:szCs w:val="20"/>
                <w:lang w:val="en-CA" w:eastAsia="fr-FR"/>
              </w:rPr>
              <w:t>]</w:t>
            </w:r>
            <w:r>
              <w:rPr>
                <w:sz w:val="20"/>
                <w:szCs w:val="20"/>
                <w:lang w:val="en-CA" w:eastAsia="fr-FR"/>
              </w:rPr>
              <w:fldChar w:fldCharType="end"/>
            </w:r>
          </w:p>
        </w:tc>
      </w:tr>
      <w:tr w:rsidR="00964A41" w:rsidRPr="00D8735C" w:rsidTr="00964A41">
        <w:trPr>
          <w:cantSplit/>
          <w:trHeight w:val="244"/>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TNF</w:t>
            </w:r>
          </w:p>
        </w:tc>
        <w:tc>
          <w:tcPr>
            <w:tcW w:w="3276" w:type="dxa"/>
            <w:gridSpan w:val="3"/>
            <w:tcBorders>
              <w:top w:val="single" w:sz="4" w:space="0" w:color="auto"/>
              <w:left w:val="nil"/>
              <w:bottom w:val="single" w:sz="4" w:space="0" w:color="auto"/>
              <w:right w:val="single" w:sz="4" w:space="0" w:color="auto"/>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CAGCCTCTTCTCCTTCCTGAT</w:t>
            </w:r>
          </w:p>
        </w:tc>
        <w:tc>
          <w:tcPr>
            <w:tcW w:w="3069" w:type="dxa"/>
            <w:gridSpan w:val="5"/>
            <w:tcBorders>
              <w:top w:val="single" w:sz="4" w:space="0" w:color="auto"/>
              <w:left w:val="single" w:sz="4" w:space="0" w:color="auto"/>
              <w:bottom w:val="single" w:sz="4" w:space="0" w:color="auto"/>
              <w:right w:val="nil"/>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GCCAGAGGGCTGATTAGAGA</w:t>
            </w:r>
          </w:p>
        </w:tc>
        <w:tc>
          <w:tcPr>
            <w:tcW w:w="1071" w:type="dxa"/>
            <w:vAlign w:val="center"/>
          </w:tcPr>
          <w:p w:rsidR="00964A41" w:rsidRPr="00761362"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{"citationItems":[{"id":"ITEM-1","itemData":{"DOI":"10.1073/pnas.1313768111","ISBN":"1313768111","ISSN":"10916490","PMID":"24371310","abstract":"Thousands of large intergenic noncoding RNAs (lincRNAs) have been identified in the mammalian genome, many of which have important roles in regulating a variety of biological processes. Here, we used a custom microarray to identify lincRNAs associated with activation of the innate immune response. A panel of 159 lincRNAs was found to be differentially expressed following innate activation of THP1 macrophages. Among them, linc1992 was shown to be expressed in many human tissues and was required for induction of TNFα expression. Linc1992 bound specifically to heterogenous nuclear ribonucleoprotein L (hnRNPL) and formed a functional linc1992-hnRNPL complex that regulated transcription of the TNFα gene by binding to its promoter. Transcriptome analysis revealed that linc1992 was required for expression of many immune-response genes, including other cytokines and transcriptional and posttranscriptional regulators of TNFα expression, and that knockdown of linc1992 caused dysregulation of these genes during innate activation of THP1 macrophages. Therefore, we named linc1992 THRIL (TNFα and hnRNPL related immunoregulatory LincRNA). Finally, THRIL expression was correlated with the severity of symptoms in patients with Kawasaki disease, an acute inflammatory disease of childhood. Collectively, our data provide evidence that lincRNAs and their binding proteins can regulate TNFα expression and may play important roles in the innate immune response and inflammatory diseases in humans.","author":[{"dropping-particle":"","family":"Li","given":"Zhonghan","non-dropping-particle":"","parse-names":false,"suffix":""},{"dropping-particle":"","family":"Chao","given":"Ti Chun","non-dropping-particle":"","parse-names":false,"suffix":""},{"dropping-particle":"","family":"Chang","given":"Kung Yen","non-dropping-particle":"","parse-names":false,"suffix":""},{"dropping-particle":"","family":"Lin","given":"Nianwei","non-dropping-particle":"","parse-names":false,"suffix":""},{"dropping-particle":"","family":"Patil","given":"Veena S.","non-dropping-particle":"","parse-names":false,"suffix":""},{"dropping-particle":"","family":"Shimizu","given":"Chisato","non-dropping-particle":"","parse-names":false,"suffix":""},{"dropping-particle":"","family":"Head","given":"Steven R.","non-dropping-particle":"","parse-names":false,"suffix":""},{"dropping-particle":"","family":"Burns","given":"Jane C.","non-dropping-particle":"","parse-names":false,"suffix":""},{"dropping-particle":"","family":"Rana","given":"Tariq M.","non-dropping-particle":"","parse-names":false,"suffix":""}],"container-title":"Proceedings of the National Academy of Sciences of the United States of America","id":"ITEM-1","issue":"3","issued":{"date-parts":[["2014"]]},"page":"1002-1007","title":"The long noncoding RNA THRIL regulates TNFα expression through its interaction with hnRNPL","type":"article-journal","volume":"111"},"uris":["http://www.mendeley.com/documents/?uuid=16776339-cf20-4bd5-bbb9-00474ecb3142"]}],"mendeley":{"formattedCitation":"[9]","manualFormatting":"[9]","plainTextFormattedCitation":"[9]","previouslyFormattedCitation":"[9]"},"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9</w:t>
            </w:r>
            <w:r w:rsidRPr="00761362">
              <w:rPr>
                <w:noProof/>
                <w:sz w:val="20"/>
                <w:szCs w:val="20"/>
                <w:lang w:val="en-CA" w:eastAsia="fr-FR"/>
              </w:rPr>
              <w:t>]</w:t>
            </w:r>
            <w:r>
              <w:rPr>
                <w:sz w:val="20"/>
                <w:szCs w:val="20"/>
                <w:lang w:val="en-CA" w:eastAsia="fr-FR"/>
              </w:rPr>
              <w:fldChar w:fldCharType="end"/>
            </w:r>
          </w:p>
        </w:tc>
      </w:tr>
      <w:tr w:rsidR="00964A41" w:rsidRPr="00D8735C" w:rsidTr="00964A41">
        <w:trPr>
          <w:cantSplit/>
          <w:trHeight w:val="244"/>
        </w:trPr>
        <w:tc>
          <w:tcPr>
            <w:tcW w:w="1030" w:type="dxa"/>
            <w:vAlign w:val="center"/>
          </w:tcPr>
          <w:p w:rsidR="00964A41" w:rsidRPr="009B051B" w:rsidRDefault="00964A41" w:rsidP="005A147F">
            <w:pPr>
              <w:tabs>
                <w:tab w:val="left" w:pos="1565"/>
              </w:tabs>
              <w:spacing w:line="240" w:lineRule="auto"/>
              <w:jc w:val="center"/>
              <w:rPr>
                <w:i/>
                <w:sz w:val="20"/>
                <w:lang w:val="en-CA" w:eastAsia="fr-FR"/>
              </w:rPr>
            </w:pPr>
            <w:r w:rsidRPr="009B051B">
              <w:rPr>
                <w:i/>
                <w:sz w:val="20"/>
                <w:lang w:val="en-CA" w:eastAsia="fr-FR"/>
              </w:rPr>
              <w:t>VEGF</w:t>
            </w:r>
          </w:p>
        </w:tc>
        <w:tc>
          <w:tcPr>
            <w:tcW w:w="3276" w:type="dxa"/>
            <w:gridSpan w:val="3"/>
            <w:tcBorders>
              <w:top w:val="single" w:sz="4" w:space="0" w:color="auto"/>
              <w:left w:val="nil"/>
              <w:bottom w:val="single" w:sz="4" w:space="0" w:color="auto"/>
              <w:right w:val="single" w:sz="4" w:space="0" w:color="auto"/>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TGCAGATTATGCGGATCAAACC</w:t>
            </w:r>
          </w:p>
        </w:tc>
        <w:tc>
          <w:tcPr>
            <w:tcW w:w="3069" w:type="dxa"/>
            <w:gridSpan w:val="5"/>
            <w:tcBorders>
              <w:top w:val="single" w:sz="4" w:space="0" w:color="auto"/>
              <w:left w:val="single" w:sz="4" w:space="0" w:color="auto"/>
              <w:bottom w:val="single" w:sz="4" w:space="0" w:color="auto"/>
              <w:right w:val="nil"/>
            </w:tcBorders>
            <w:shd w:val="clear" w:color="auto" w:fill="auto"/>
            <w:vAlign w:val="bottom"/>
          </w:tcPr>
          <w:p w:rsidR="00964A41" w:rsidRPr="003D3B35" w:rsidRDefault="00964A41" w:rsidP="005A147F">
            <w:pPr>
              <w:tabs>
                <w:tab w:val="left" w:pos="1565"/>
              </w:tabs>
              <w:spacing w:line="240" w:lineRule="auto"/>
              <w:jc w:val="center"/>
              <w:rPr>
                <w:sz w:val="16"/>
                <w:szCs w:val="20"/>
                <w:lang w:val="en-CA" w:eastAsia="fr-FR"/>
              </w:rPr>
            </w:pPr>
            <w:r w:rsidRPr="003D3B35">
              <w:rPr>
                <w:color w:val="000000"/>
                <w:sz w:val="16"/>
                <w:szCs w:val="20"/>
              </w:rPr>
              <w:t>TGCATTCACATTTGTTGTGCTGTAG</w:t>
            </w:r>
          </w:p>
        </w:tc>
        <w:tc>
          <w:tcPr>
            <w:tcW w:w="1071" w:type="dxa"/>
            <w:vAlign w:val="center"/>
          </w:tcPr>
          <w:p w:rsidR="00964A41" w:rsidRPr="00761362" w:rsidRDefault="00964A41" w:rsidP="005A147F">
            <w:pPr>
              <w:tabs>
                <w:tab w:val="left" w:pos="1565"/>
              </w:tabs>
              <w:spacing w:line="240" w:lineRule="auto"/>
              <w:jc w:val="center"/>
              <w:rPr>
                <w:sz w:val="20"/>
                <w:szCs w:val="20"/>
                <w:lang w:val="en-CA" w:eastAsia="fr-FR"/>
              </w:rPr>
            </w:pPr>
            <w:r>
              <w:rPr>
                <w:sz w:val="20"/>
                <w:szCs w:val="20"/>
                <w:lang w:val="en-CA" w:eastAsia="fr-FR"/>
              </w:rPr>
              <w:fldChar w:fldCharType="begin" w:fldLock="1"/>
            </w:r>
            <w:r>
              <w:rPr>
                <w:sz w:val="20"/>
                <w:szCs w:val="20"/>
                <w:lang w:val="en-CA" w:eastAsia="fr-FR"/>
              </w:rPr>
              <w:instrText>ADDIN CSL_CITATION {"citationItems":[{"id":"ITEM-1","itemData":{"ISSN":"22285814","PMID":"25685744","abstract":"Objective: Unexplained recurrent spontaneous abortion (URSA) is one of the main complications of pregnancy which is usually defined as three or more consecutive pregnancy losses before the 20th week of gestation without a known cause. Vascular endothelial growth factor (VEGF) is a potent angiogenic factor and shown, along with its receptors (VEGFR1, 2), to play important roles in several physiologic processes including reproduction. The aim of the present study was to analyze gene expression of VEGF and VEGF receptors in endometrium of patients with a history of URSA compared with normal fertile women. In addition, serum VEGF concentration was assessed and compared between the two groups at the same time. Materials and Methods: In this case control study, endometrial and blood samples were obtained between day 19th and 24th of menstrual cycle (window of implantation) from 10 women with a history of URSA (case group) and 6 fertile women who had at least one successful pregnancy (control group). Expression of VEGF and VEGFRs was studied by reverse transcription- Polymerase chain reaction (RT-PCR) and then quantified by real time PCR. Normalization of expression levels was done by comparison with beta-actin expression level as an internal control. Relative VEGF, VEGFR1 and VEGFR2 expression quantities were compared between the two groups. Enzyme linked immunosorbent assay (ELISA) was used for serum VEGF assay. Results: VEGF, VEGFR1 and VEGFR2 gene expression was detected in endometrial samples of both groups. The mean relative expression of VEGF gene was lower in the case group compared with control women, however, both VEGF receptors were expressed higher in endometrium of the case group. In addition, the serum level of VEGF was significantly higher in the case group compared with the controls. Conclusion: Alteration in gene expression of VEGF and its receptors in endometrium and changes of serum VEGF might play important roles in pathogenesis of unexplained RSA.","author":[{"dropping-particle":"","family":"Amirchaghmaghi","given":"Elham","non-dropping-particle":"","parse-names":false,"suffix":""},{"dropping-particle":"","family":"Rezaei","given":"Abbas","non-dropping-particle":"","parse-names":false,"suffix":""},{"dropping-particle":"","family":"Moini","given":"Ashraf","non-dropping-particle":"","parse-names":false,"suffix":""},{"dropping-particle":"","family":"Roghaei","given":"Mohammad Ali","non-dropping-particle":"","parse-names":false,"suffix":""},{"dropping-particle":"","family":"Hafezi","given":"Maryam","non-dropping-particle":"","parse-names":false,"suffix":""},{"dropping-particle":"","family":"Aflatoonian","given":"Reza","non-dropping-particle":"","parse-names":false,"suffix":""}],"container-title":"Cell Journal","id":"ITEM-1","issue":"4","issued":{"date-parts":[["2015"]]},"page":"538-545","title":"Gene expression analysis of VEGF and its receptors and assessment of its serum level in unexplained recurrent spontaneous abortion","type":"article-journal","volume":"16"},"uris":["http://www.mendeley.com/documents/?uuid=d4d531ce-e910-4490-8d62-2af8bd65e714"]}],"mendeley":{"formattedCitation":"[10]","manualFormatting":"[10]","plainTextFormattedCitation":"[10]","previouslyFormattedCitation":"[10]"},"properties":{"noteIndex":0},"schema":"https://github.com/citation-style-language/schema/raw/master/csl-citation.json"}</w:instrText>
            </w:r>
            <w:r>
              <w:rPr>
                <w:sz w:val="20"/>
                <w:szCs w:val="20"/>
                <w:lang w:val="en-CA" w:eastAsia="fr-FR"/>
              </w:rPr>
              <w:fldChar w:fldCharType="separate"/>
            </w:r>
            <w:r w:rsidRPr="00761362">
              <w:rPr>
                <w:noProof/>
                <w:sz w:val="20"/>
                <w:szCs w:val="20"/>
                <w:lang w:val="en-CA" w:eastAsia="fr-FR"/>
              </w:rPr>
              <w:t>[</w:t>
            </w:r>
            <w:r>
              <w:rPr>
                <w:noProof/>
                <w:sz w:val="20"/>
                <w:szCs w:val="20"/>
                <w:lang w:val="en-CA" w:eastAsia="fr-FR"/>
              </w:rPr>
              <w:t>10</w:t>
            </w:r>
            <w:r w:rsidRPr="00761362">
              <w:rPr>
                <w:noProof/>
                <w:sz w:val="20"/>
                <w:szCs w:val="20"/>
                <w:lang w:val="en-CA" w:eastAsia="fr-FR"/>
              </w:rPr>
              <w:t>]</w:t>
            </w:r>
            <w:r>
              <w:rPr>
                <w:sz w:val="20"/>
                <w:szCs w:val="20"/>
                <w:lang w:val="en-CA" w:eastAsia="fr-FR"/>
              </w:rPr>
              <w:fldChar w:fldCharType="end"/>
            </w:r>
          </w:p>
        </w:tc>
      </w:tr>
      <w:tr w:rsidR="00964A41" w:rsidRPr="00A66704" w:rsidTr="00964A41">
        <w:trPr>
          <w:cantSplit/>
          <w:trHeight w:val="244"/>
        </w:trPr>
        <w:tc>
          <w:tcPr>
            <w:tcW w:w="8446" w:type="dxa"/>
            <w:gridSpan w:val="10"/>
            <w:vAlign w:val="center"/>
          </w:tcPr>
          <w:p w:rsidR="00964A41" w:rsidRPr="009B051B" w:rsidRDefault="00964A41" w:rsidP="005A147F">
            <w:pPr>
              <w:tabs>
                <w:tab w:val="left" w:pos="1565"/>
              </w:tabs>
              <w:spacing w:line="240" w:lineRule="auto"/>
              <w:jc w:val="center"/>
              <w:rPr>
                <w:b/>
                <w:color w:val="C00000"/>
                <w:sz w:val="20"/>
                <w:szCs w:val="20"/>
                <w:lang w:val="en-CA" w:eastAsia="fr-FR"/>
              </w:rPr>
            </w:pPr>
            <w:r w:rsidRPr="009B051B">
              <w:rPr>
                <w:b/>
                <w:sz w:val="20"/>
                <w:szCs w:val="20"/>
                <w:lang w:val="en-CA" w:eastAsia="fr-FR"/>
              </w:rPr>
              <w:t>RTqPCR cycling conditions</w:t>
            </w:r>
          </w:p>
        </w:tc>
      </w:tr>
      <w:tr w:rsidR="00964A41" w:rsidRPr="00A66704" w:rsidTr="00964A41">
        <w:trPr>
          <w:cantSplit/>
          <w:trHeight w:val="244"/>
        </w:trPr>
        <w:tc>
          <w:tcPr>
            <w:tcW w:w="1871" w:type="dxa"/>
            <w:gridSpan w:val="2"/>
            <w:vMerge w:val="restart"/>
            <w:vAlign w:val="center"/>
          </w:tcPr>
          <w:p w:rsidR="00964A41" w:rsidRPr="00540D5C" w:rsidRDefault="00964A41" w:rsidP="005A147F">
            <w:pPr>
              <w:tabs>
                <w:tab w:val="left" w:pos="1565"/>
              </w:tabs>
              <w:spacing w:line="240" w:lineRule="auto"/>
              <w:jc w:val="center"/>
              <w:rPr>
                <w:b/>
                <w:lang w:val="en-CA" w:eastAsia="fr-FR"/>
              </w:rPr>
            </w:pPr>
            <w:r w:rsidRPr="009B051B">
              <w:rPr>
                <w:b/>
                <w:sz w:val="20"/>
                <w:lang w:val="en-CA" w:eastAsia="fr-FR"/>
              </w:rPr>
              <w:t>Kit</w:t>
            </w:r>
          </w:p>
        </w:tc>
        <w:tc>
          <w:tcPr>
            <w:tcW w:w="6575" w:type="dxa"/>
            <w:gridSpan w:val="8"/>
            <w:vAlign w:val="center"/>
          </w:tcPr>
          <w:p w:rsidR="00964A41" w:rsidRPr="009B051B" w:rsidRDefault="00964A41" w:rsidP="005A147F">
            <w:pPr>
              <w:tabs>
                <w:tab w:val="left" w:pos="1565"/>
              </w:tabs>
              <w:spacing w:line="240" w:lineRule="auto"/>
              <w:jc w:val="center"/>
              <w:rPr>
                <w:color w:val="C00000"/>
                <w:sz w:val="20"/>
                <w:szCs w:val="20"/>
                <w:lang w:val="en-CA" w:eastAsia="fr-FR"/>
              </w:rPr>
            </w:pPr>
            <w:r w:rsidRPr="009B051B">
              <w:rPr>
                <w:sz w:val="20"/>
                <w:szCs w:val="20"/>
                <w:lang w:val="en-CA" w:eastAsia="fr-FR"/>
              </w:rPr>
              <w:t>Cycling conditions</w:t>
            </w:r>
          </w:p>
        </w:tc>
      </w:tr>
      <w:tr w:rsidR="00964A41" w:rsidRPr="00A66704" w:rsidTr="00964A41">
        <w:trPr>
          <w:cantSplit/>
          <w:trHeight w:val="244"/>
        </w:trPr>
        <w:tc>
          <w:tcPr>
            <w:tcW w:w="1871" w:type="dxa"/>
            <w:gridSpan w:val="2"/>
            <w:vMerge/>
            <w:vAlign w:val="center"/>
          </w:tcPr>
          <w:p w:rsidR="00964A41" w:rsidRPr="00540D5C" w:rsidRDefault="00964A41" w:rsidP="005A147F">
            <w:pPr>
              <w:tabs>
                <w:tab w:val="left" w:pos="1565"/>
              </w:tabs>
              <w:spacing w:line="240" w:lineRule="auto"/>
              <w:jc w:val="center"/>
              <w:rPr>
                <w:b/>
                <w:lang w:val="en-CA" w:eastAsia="fr-FR"/>
              </w:rPr>
            </w:pPr>
          </w:p>
        </w:tc>
        <w:tc>
          <w:tcPr>
            <w:tcW w:w="1400" w:type="dxa"/>
            <w:vAlign w:val="center"/>
          </w:tcPr>
          <w:p w:rsidR="00964A41" w:rsidRPr="009B051B" w:rsidRDefault="00964A41" w:rsidP="005A147F">
            <w:pPr>
              <w:tabs>
                <w:tab w:val="left" w:pos="1565"/>
              </w:tabs>
              <w:spacing w:line="240" w:lineRule="auto"/>
              <w:jc w:val="center"/>
              <w:rPr>
                <w:sz w:val="20"/>
                <w:szCs w:val="20"/>
                <w:lang w:val="en-CA" w:eastAsia="fr-FR"/>
              </w:rPr>
            </w:pPr>
            <w:r w:rsidRPr="009B051B">
              <w:rPr>
                <w:rFonts w:cs="Calibri"/>
                <w:sz w:val="20"/>
                <w:szCs w:val="20"/>
                <w:lang w:val="en-CA" w:eastAsia="fr-FR"/>
              </w:rPr>
              <w:t>Preincubation</w:t>
            </w:r>
          </w:p>
        </w:tc>
        <w:tc>
          <w:tcPr>
            <w:tcW w:w="1035" w:type="dxa"/>
            <w:vAlign w:val="center"/>
          </w:tcPr>
          <w:p w:rsidR="00964A41" w:rsidRPr="009B051B" w:rsidRDefault="00964A41" w:rsidP="005A147F">
            <w:pPr>
              <w:tabs>
                <w:tab w:val="left" w:pos="1565"/>
              </w:tabs>
              <w:spacing w:line="240" w:lineRule="auto"/>
              <w:jc w:val="center"/>
              <w:rPr>
                <w:sz w:val="20"/>
                <w:szCs w:val="20"/>
                <w:lang w:val="en-CA" w:eastAsia="fr-FR"/>
              </w:rPr>
            </w:pPr>
            <w:r w:rsidRPr="009B051B">
              <w:rPr>
                <w:rFonts w:cs="Calibri"/>
                <w:sz w:val="20"/>
                <w:szCs w:val="20"/>
                <w:lang w:val="en-CA" w:eastAsia="fr-FR"/>
              </w:rPr>
              <w:t>cDNA synthesis</w:t>
            </w:r>
          </w:p>
        </w:tc>
        <w:tc>
          <w:tcPr>
            <w:tcW w:w="2179" w:type="dxa"/>
            <w:gridSpan w:val="3"/>
            <w:vAlign w:val="center"/>
          </w:tcPr>
          <w:p w:rsidR="00964A41" w:rsidRPr="009B051B" w:rsidRDefault="00964A41" w:rsidP="005A147F">
            <w:pPr>
              <w:tabs>
                <w:tab w:val="left" w:pos="1565"/>
              </w:tabs>
              <w:spacing w:line="240" w:lineRule="auto"/>
              <w:jc w:val="center"/>
              <w:rPr>
                <w:sz w:val="20"/>
                <w:szCs w:val="20"/>
                <w:lang w:val="en-CA" w:eastAsia="fr-FR"/>
              </w:rPr>
            </w:pPr>
            <w:r w:rsidRPr="009B051B">
              <w:rPr>
                <w:rFonts w:cs="Calibri"/>
                <w:sz w:val="20"/>
                <w:szCs w:val="20"/>
                <w:lang w:val="en-CA" w:eastAsia="fr-FR"/>
              </w:rPr>
              <w:t>Amplification</w:t>
            </w:r>
          </w:p>
        </w:tc>
        <w:tc>
          <w:tcPr>
            <w:tcW w:w="1961" w:type="dxa"/>
            <w:gridSpan w:val="3"/>
            <w:vAlign w:val="center"/>
          </w:tcPr>
          <w:p w:rsidR="00964A41" w:rsidRPr="009B051B" w:rsidRDefault="00964A41" w:rsidP="005A147F">
            <w:pPr>
              <w:tabs>
                <w:tab w:val="left" w:pos="1565"/>
              </w:tabs>
              <w:spacing w:line="240" w:lineRule="auto"/>
              <w:jc w:val="center"/>
              <w:rPr>
                <w:color w:val="C00000"/>
                <w:sz w:val="20"/>
                <w:szCs w:val="20"/>
                <w:lang w:val="en-CA" w:eastAsia="fr-FR"/>
              </w:rPr>
            </w:pPr>
            <w:r w:rsidRPr="009B051B">
              <w:rPr>
                <w:rFonts w:cs="Calibri"/>
                <w:sz w:val="20"/>
                <w:szCs w:val="20"/>
                <w:lang w:val="en-CA" w:eastAsia="fr-FR"/>
              </w:rPr>
              <w:t>Melting curve/Inactivation</w:t>
            </w:r>
          </w:p>
        </w:tc>
      </w:tr>
      <w:tr w:rsidR="00964A41" w:rsidRPr="00540D5C" w:rsidTr="00964A41">
        <w:trPr>
          <w:cantSplit/>
          <w:trHeight w:val="401"/>
        </w:trPr>
        <w:tc>
          <w:tcPr>
            <w:tcW w:w="1871" w:type="dxa"/>
            <w:gridSpan w:val="2"/>
          </w:tcPr>
          <w:p w:rsidR="00964A41" w:rsidRPr="00255231" w:rsidRDefault="00964A41" w:rsidP="005A147F">
            <w:pPr>
              <w:tabs>
                <w:tab w:val="left" w:pos="1565"/>
              </w:tabs>
              <w:spacing w:line="240" w:lineRule="auto"/>
              <w:jc w:val="center"/>
              <w:rPr>
                <w:sz w:val="20"/>
                <w:lang w:val="en-CA" w:eastAsia="fr-FR"/>
              </w:rPr>
            </w:pPr>
            <w:r w:rsidRPr="00255231">
              <w:rPr>
                <w:rFonts w:cs="Calibri"/>
                <w:sz w:val="20"/>
                <w:szCs w:val="22"/>
                <w:lang w:val="en-CA" w:eastAsia="fr-FR"/>
              </w:rPr>
              <w:t>RevertAid First Strand cDNA synthe</w:t>
            </w:r>
            <w:r>
              <w:rPr>
                <w:rFonts w:cs="Calibri"/>
                <w:sz w:val="20"/>
                <w:szCs w:val="22"/>
                <w:lang w:val="en-CA" w:eastAsia="fr-FR"/>
              </w:rPr>
              <w:t>s</w:t>
            </w:r>
            <w:r w:rsidRPr="00255231">
              <w:rPr>
                <w:rFonts w:cs="Calibri"/>
                <w:sz w:val="20"/>
                <w:szCs w:val="22"/>
                <w:lang w:val="en-CA" w:eastAsia="fr-FR"/>
              </w:rPr>
              <w:t>is (Fischer Scientific, USA)</w:t>
            </w:r>
          </w:p>
        </w:tc>
        <w:tc>
          <w:tcPr>
            <w:tcW w:w="1400"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65°C, 5min</w:t>
            </w:r>
          </w:p>
        </w:tc>
        <w:tc>
          <w:tcPr>
            <w:tcW w:w="1035"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42°C, 60min</w:t>
            </w:r>
          </w:p>
        </w:tc>
        <w:tc>
          <w:tcPr>
            <w:tcW w:w="2179" w:type="dxa"/>
            <w:gridSpan w:val="3"/>
            <w:shd w:val="clear" w:color="auto" w:fill="F2F2F2" w:themeFill="background1" w:themeFillShade="F2"/>
            <w:vAlign w:val="center"/>
          </w:tcPr>
          <w:p w:rsidR="00964A41" w:rsidRPr="003D3B35" w:rsidRDefault="00964A41" w:rsidP="005A147F">
            <w:pPr>
              <w:tabs>
                <w:tab w:val="left" w:pos="1565"/>
              </w:tabs>
              <w:spacing w:line="240" w:lineRule="auto"/>
              <w:jc w:val="center"/>
              <w:rPr>
                <w:sz w:val="18"/>
                <w:lang w:val="en-CA" w:eastAsia="fr-FR"/>
              </w:rPr>
            </w:pPr>
          </w:p>
        </w:tc>
        <w:tc>
          <w:tcPr>
            <w:tcW w:w="1961" w:type="dxa"/>
            <w:gridSpan w:val="3"/>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70°C, 5min</w:t>
            </w:r>
          </w:p>
        </w:tc>
      </w:tr>
      <w:tr w:rsidR="00964A41" w:rsidRPr="00540D5C" w:rsidTr="00964A41">
        <w:trPr>
          <w:cantSplit/>
          <w:trHeight w:val="583"/>
        </w:trPr>
        <w:tc>
          <w:tcPr>
            <w:tcW w:w="1871" w:type="dxa"/>
            <w:gridSpan w:val="2"/>
          </w:tcPr>
          <w:p w:rsidR="00964A41" w:rsidRPr="00255231" w:rsidRDefault="00964A41" w:rsidP="005A147F">
            <w:pPr>
              <w:tabs>
                <w:tab w:val="left" w:pos="1565"/>
              </w:tabs>
              <w:spacing w:line="240" w:lineRule="auto"/>
              <w:jc w:val="center"/>
              <w:rPr>
                <w:rFonts w:cs="Calibri"/>
                <w:sz w:val="20"/>
                <w:szCs w:val="22"/>
                <w:lang w:val="en-CA" w:eastAsia="fr-FR"/>
              </w:rPr>
            </w:pPr>
            <w:bookmarkStart w:id="3" w:name="_Hlk131789173"/>
            <w:r w:rsidRPr="00255231">
              <w:rPr>
                <w:rFonts w:cs="Calibri"/>
                <w:sz w:val="20"/>
                <w:szCs w:val="22"/>
                <w:lang w:val="en-CA" w:eastAsia="fr-FR"/>
              </w:rPr>
              <w:t>LightCycler 480 SYBR Green I Master (Roche, Switzerland)</w:t>
            </w:r>
            <w:bookmarkEnd w:id="3"/>
          </w:p>
        </w:tc>
        <w:tc>
          <w:tcPr>
            <w:tcW w:w="1400"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95°C, 10min</w:t>
            </w:r>
          </w:p>
        </w:tc>
        <w:tc>
          <w:tcPr>
            <w:tcW w:w="1035" w:type="dxa"/>
            <w:shd w:val="clear" w:color="auto" w:fill="F2F2F2" w:themeFill="background1" w:themeFillShade="F2"/>
            <w:vAlign w:val="center"/>
          </w:tcPr>
          <w:p w:rsidR="00964A41" w:rsidRPr="003D3B35" w:rsidRDefault="00964A41" w:rsidP="005A147F">
            <w:pPr>
              <w:tabs>
                <w:tab w:val="left" w:pos="1565"/>
              </w:tabs>
              <w:spacing w:line="240" w:lineRule="auto"/>
              <w:jc w:val="center"/>
              <w:rPr>
                <w:sz w:val="18"/>
                <w:lang w:val="en-CA" w:eastAsia="fr-FR"/>
              </w:rPr>
            </w:pPr>
          </w:p>
        </w:tc>
        <w:tc>
          <w:tcPr>
            <w:tcW w:w="633"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95°C, 15s</w:t>
            </w:r>
          </w:p>
        </w:tc>
        <w:tc>
          <w:tcPr>
            <w:tcW w:w="824"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60°C, 15s</w:t>
            </w:r>
          </w:p>
        </w:tc>
        <w:tc>
          <w:tcPr>
            <w:tcW w:w="722"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72°C, 25s</w:t>
            </w:r>
          </w:p>
        </w:tc>
        <w:tc>
          <w:tcPr>
            <w:tcW w:w="648" w:type="dxa"/>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95°C, 5s</w:t>
            </w:r>
          </w:p>
        </w:tc>
        <w:tc>
          <w:tcPr>
            <w:tcW w:w="1313" w:type="dxa"/>
            <w:gridSpan w:val="2"/>
            <w:vAlign w:val="center"/>
          </w:tcPr>
          <w:p w:rsidR="00964A41" w:rsidRPr="003D3B35" w:rsidRDefault="00964A41" w:rsidP="005A147F">
            <w:pPr>
              <w:tabs>
                <w:tab w:val="left" w:pos="1565"/>
              </w:tabs>
              <w:spacing w:line="240" w:lineRule="auto"/>
              <w:jc w:val="center"/>
              <w:rPr>
                <w:sz w:val="18"/>
                <w:lang w:val="en-CA" w:eastAsia="fr-FR"/>
              </w:rPr>
            </w:pPr>
            <w:r w:rsidRPr="003D3B35">
              <w:rPr>
                <w:sz w:val="18"/>
                <w:lang w:val="en-CA" w:eastAsia="fr-FR"/>
              </w:rPr>
              <w:t>65°C to 97°C continuously</w:t>
            </w:r>
          </w:p>
        </w:tc>
      </w:tr>
    </w:tbl>
    <w:p w:rsidR="00964A41" w:rsidRPr="008D3182" w:rsidRDefault="00964A41" w:rsidP="00F825E7">
      <w:pPr>
        <w:pStyle w:val="Footnotes"/>
        <w:jc w:val="both"/>
        <w:rPr>
          <w:sz w:val="20"/>
          <w:lang w:val="en-CA" w:eastAsia="fr-FR"/>
        </w:rPr>
      </w:pPr>
      <w:r w:rsidRPr="008D3182">
        <w:rPr>
          <w:sz w:val="20"/>
          <w:lang w:val="en-CA" w:eastAsia="fr-FR"/>
        </w:rPr>
        <w:t>*G instead of C in the reference [3]</w:t>
      </w:r>
    </w:p>
    <w:bookmarkStart w:id="4" w:name="_Hlk132284435"/>
    <w:p w:rsidR="00964A41" w:rsidRPr="00F825E7" w:rsidRDefault="00964A41" w:rsidP="008D3182">
      <w:pPr>
        <w:pStyle w:val="Footnotes"/>
        <w:jc w:val="both"/>
        <w:rPr>
          <w:noProof/>
          <w:sz w:val="18"/>
        </w:rPr>
      </w:pPr>
      <w:r w:rsidRPr="00F825E7">
        <w:rPr>
          <w:sz w:val="14"/>
          <w:lang w:val="en-CA" w:eastAsia="fr-FR"/>
        </w:rPr>
        <w:fldChar w:fldCharType="begin" w:fldLock="1"/>
      </w:r>
      <w:r w:rsidRPr="00F825E7">
        <w:rPr>
          <w:sz w:val="14"/>
          <w:lang w:val="en-CA" w:eastAsia="fr-FR"/>
        </w:rPr>
        <w:instrText xml:space="preserve">ADDIN Mendeley Bibliography CSL_BIBLIOGRAPHY </w:instrText>
      </w:r>
      <w:r w:rsidRPr="00F825E7">
        <w:rPr>
          <w:sz w:val="14"/>
          <w:lang w:val="en-CA" w:eastAsia="fr-FR"/>
        </w:rPr>
        <w:fldChar w:fldCharType="separate"/>
      </w:r>
      <w:r w:rsidRPr="00F825E7">
        <w:rPr>
          <w:noProof/>
          <w:sz w:val="14"/>
        </w:rPr>
        <w:t xml:space="preserve">[1] </w:t>
      </w:r>
      <w:r w:rsidRPr="00F825E7">
        <w:rPr>
          <w:noProof/>
          <w:sz w:val="14"/>
        </w:rPr>
        <w:tab/>
      </w:r>
      <w:r w:rsidRPr="00F825E7">
        <w:rPr>
          <w:noProof/>
          <w:sz w:val="18"/>
        </w:rPr>
        <w:t>Esmaeili A, Alifarja S, Nourbakhsh N, et al. Messenger RNA expression patterns of neurotrophins during transdifferentiation of stem cells from human-exfoliated deciduous teeth into neural-like cells. Avicenna J Med Biotechnol. 2014;6:21–26.</w:t>
      </w:r>
    </w:p>
    <w:p w:rsidR="00964A41" w:rsidRPr="00F825E7" w:rsidRDefault="00964A41" w:rsidP="008D3182">
      <w:pPr>
        <w:pStyle w:val="Footnotes"/>
        <w:jc w:val="both"/>
        <w:rPr>
          <w:noProof/>
          <w:sz w:val="18"/>
        </w:rPr>
      </w:pPr>
      <w:r w:rsidRPr="00F825E7">
        <w:rPr>
          <w:noProof/>
          <w:sz w:val="18"/>
        </w:rPr>
        <w:t xml:space="preserve">[2] </w:t>
      </w:r>
      <w:r w:rsidRPr="00F825E7">
        <w:rPr>
          <w:noProof/>
          <w:sz w:val="18"/>
        </w:rPr>
        <w:tab/>
        <w:t>Vaday GG, Peehl DM, Kadam PA, et al. Expression of CCL5 (RANTES) and CCR5 in prostate cancer. Prostate. 2006;66:124–134.</w:t>
      </w:r>
    </w:p>
    <w:p w:rsidR="00964A41" w:rsidRPr="00F825E7" w:rsidRDefault="00964A41" w:rsidP="008D3182">
      <w:pPr>
        <w:pStyle w:val="Footnotes"/>
        <w:jc w:val="both"/>
        <w:rPr>
          <w:noProof/>
          <w:sz w:val="18"/>
        </w:rPr>
      </w:pPr>
      <w:r w:rsidRPr="00F825E7">
        <w:rPr>
          <w:noProof/>
          <w:sz w:val="18"/>
        </w:rPr>
        <w:t xml:space="preserve">[3] </w:t>
      </w:r>
      <w:r w:rsidRPr="00F825E7">
        <w:rPr>
          <w:noProof/>
          <w:sz w:val="18"/>
        </w:rPr>
        <w:tab/>
        <w:t>Eichholz K, Mennechet FJD, Kremer EJ. Human Coagulation Factor X-Adenovirus Type 5 Complexes Poorly Stimulate an Innate Immune Response in Human Mononuclear Phagocytes. J Virol. 2015;89:2884–2891.</w:t>
      </w:r>
    </w:p>
    <w:p w:rsidR="00964A41" w:rsidRPr="00F825E7" w:rsidRDefault="00964A41" w:rsidP="008D3182">
      <w:pPr>
        <w:pStyle w:val="Footnotes"/>
        <w:jc w:val="both"/>
        <w:rPr>
          <w:noProof/>
          <w:sz w:val="18"/>
        </w:rPr>
      </w:pPr>
      <w:r w:rsidRPr="00F825E7">
        <w:rPr>
          <w:noProof/>
          <w:sz w:val="18"/>
        </w:rPr>
        <w:t xml:space="preserve">[4] </w:t>
      </w:r>
      <w:r w:rsidRPr="00F825E7">
        <w:rPr>
          <w:noProof/>
          <w:sz w:val="18"/>
        </w:rPr>
        <w:tab/>
        <w:t>Gao YJ, Liu DL, Li S, et al. Down-regulation of CXCL11 inhibits colorectal cancer cell growth and epithelial-mesenchymal transition. Onco Targets Ther. 2018;11:7333–7343.</w:t>
      </w:r>
    </w:p>
    <w:p w:rsidR="00964A41" w:rsidRPr="00F825E7" w:rsidRDefault="00964A41" w:rsidP="008D3182">
      <w:pPr>
        <w:pStyle w:val="Footnotes"/>
        <w:jc w:val="both"/>
        <w:rPr>
          <w:noProof/>
          <w:sz w:val="18"/>
        </w:rPr>
      </w:pPr>
      <w:r w:rsidRPr="00F825E7">
        <w:rPr>
          <w:noProof/>
          <w:sz w:val="18"/>
        </w:rPr>
        <w:t xml:space="preserve">[5] </w:t>
      </w:r>
      <w:r w:rsidRPr="00F825E7">
        <w:rPr>
          <w:noProof/>
          <w:sz w:val="18"/>
        </w:rPr>
        <w:tab/>
        <w:t xml:space="preserve">Siednienko J, Nowak J, Moynagh PN, et al. Nitric oxide affects IL-6 expression in human peripheral blood mononuclear cells involving cGMP-dependent modulation of NF-κB activity. Cytokine. 2011;54:282–288. </w:t>
      </w:r>
    </w:p>
    <w:p w:rsidR="00964A41" w:rsidRPr="00F825E7" w:rsidRDefault="00964A41" w:rsidP="008D3182">
      <w:pPr>
        <w:pStyle w:val="Footnotes"/>
        <w:jc w:val="both"/>
        <w:rPr>
          <w:noProof/>
          <w:sz w:val="18"/>
        </w:rPr>
      </w:pPr>
      <w:r w:rsidRPr="00F825E7">
        <w:rPr>
          <w:noProof/>
          <w:sz w:val="18"/>
        </w:rPr>
        <w:t xml:space="preserve">[6] </w:t>
      </w:r>
      <w:r w:rsidRPr="00F825E7">
        <w:rPr>
          <w:noProof/>
          <w:sz w:val="18"/>
        </w:rPr>
        <w:tab/>
        <w:t>Faure E, Poissy J, Goffard A, et al. Distinct immune response in two MERS-CoV-infected patients: Can we go from bench to bedside? PLoS One. 2014;9.</w:t>
      </w:r>
    </w:p>
    <w:p w:rsidR="00964A41" w:rsidRPr="00F825E7" w:rsidRDefault="00964A41" w:rsidP="008D3182">
      <w:pPr>
        <w:pStyle w:val="Footnotes"/>
        <w:jc w:val="both"/>
        <w:rPr>
          <w:noProof/>
          <w:sz w:val="18"/>
          <w:lang w:val="fr-FR"/>
        </w:rPr>
      </w:pPr>
      <w:r w:rsidRPr="00F825E7">
        <w:rPr>
          <w:noProof/>
          <w:sz w:val="18"/>
        </w:rPr>
        <w:t xml:space="preserve">[7] </w:t>
      </w:r>
      <w:r w:rsidRPr="00F825E7">
        <w:rPr>
          <w:noProof/>
          <w:sz w:val="18"/>
        </w:rPr>
        <w:tab/>
        <w:t xml:space="preserve">Wang H, Yuan M, Wang S, et al. STAT3 Regulates the Type I IFN-mediated antiviral response by interfering with the nuclear entry of STAT1. </w:t>
      </w:r>
      <w:r w:rsidRPr="00F825E7">
        <w:rPr>
          <w:noProof/>
          <w:sz w:val="18"/>
          <w:lang w:val="fr-FR"/>
        </w:rPr>
        <w:t>Int J Mol Sci. 2019;20.</w:t>
      </w:r>
    </w:p>
    <w:p w:rsidR="00964A41" w:rsidRPr="00F825E7" w:rsidRDefault="00964A41" w:rsidP="008D3182">
      <w:pPr>
        <w:pStyle w:val="Footnotes"/>
        <w:jc w:val="both"/>
        <w:rPr>
          <w:noProof/>
          <w:sz w:val="18"/>
        </w:rPr>
      </w:pPr>
      <w:r w:rsidRPr="00F825E7">
        <w:rPr>
          <w:noProof/>
          <w:sz w:val="18"/>
          <w:lang w:val="fr-FR"/>
        </w:rPr>
        <w:t xml:space="preserve">[8] </w:t>
      </w:r>
      <w:r w:rsidRPr="00F825E7">
        <w:rPr>
          <w:noProof/>
          <w:sz w:val="18"/>
          <w:lang w:val="fr-FR"/>
        </w:rPr>
        <w:tab/>
        <w:t xml:space="preserve">Chen Y, Pawlikowska L, Yao JS, et al. </w:t>
      </w:r>
      <w:r w:rsidRPr="00F825E7">
        <w:rPr>
          <w:noProof/>
          <w:sz w:val="18"/>
        </w:rPr>
        <w:t xml:space="preserve">Interleukin-6 involvement in brain arteriovenous malformations. Ann Neurol. 2006;59:72–80. </w:t>
      </w:r>
    </w:p>
    <w:p w:rsidR="00964A41" w:rsidRPr="00F825E7" w:rsidRDefault="00964A41" w:rsidP="008D3182">
      <w:pPr>
        <w:pStyle w:val="Footnotes"/>
        <w:jc w:val="both"/>
        <w:rPr>
          <w:noProof/>
          <w:sz w:val="18"/>
          <w:lang w:val="fr-FR"/>
        </w:rPr>
      </w:pPr>
      <w:r w:rsidRPr="00F825E7">
        <w:rPr>
          <w:noProof/>
          <w:sz w:val="18"/>
        </w:rPr>
        <w:t xml:space="preserve">[9] </w:t>
      </w:r>
      <w:r w:rsidRPr="00F825E7">
        <w:rPr>
          <w:noProof/>
          <w:sz w:val="18"/>
        </w:rPr>
        <w:tab/>
        <w:t xml:space="preserve">Li Z, Chao TC, Chang KY, et al. The long noncoding RNA THRIL regulates TNFα expression through its interaction with hnRNPL. </w:t>
      </w:r>
      <w:r w:rsidRPr="00F825E7">
        <w:rPr>
          <w:noProof/>
          <w:sz w:val="18"/>
          <w:lang w:val="fr-FR"/>
        </w:rPr>
        <w:t>Proc Natl Acad Sci U S A. 2014;111:1002–1007.</w:t>
      </w:r>
    </w:p>
    <w:p w:rsidR="00964A41" w:rsidRPr="00F825E7" w:rsidRDefault="00964A41" w:rsidP="008D3182">
      <w:pPr>
        <w:pStyle w:val="Footnotes"/>
        <w:jc w:val="both"/>
        <w:rPr>
          <w:noProof/>
          <w:sz w:val="18"/>
        </w:rPr>
      </w:pPr>
      <w:r w:rsidRPr="00F825E7">
        <w:rPr>
          <w:noProof/>
          <w:sz w:val="18"/>
          <w:lang w:val="fr-FR"/>
        </w:rPr>
        <w:t xml:space="preserve">[10] </w:t>
      </w:r>
      <w:r w:rsidRPr="00F825E7">
        <w:rPr>
          <w:noProof/>
          <w:sz w:val="18"/>
          <w:lang w:val="fr-FR"/>
        </w:rPr>
        <w:tab/>
        <w:t xml:space="preserve">Amirchaghmaghi E, Rezaei A, Moini A, et al. </w:t>
      </w:r>
      <w:r w:rsidRPr="00F825E7">
        <w:rPr>
          <w:noProof/>
          <w:sz w:val="18"/>
        </w:rPr>
        <w:t>Gene expression analysis of VEGF and its receptors and assessment of its serum level in unexplained recurrent spontaneous abortion. Cell J. 2015;16:538–545.</w:t>
      </w:r>
    </w:p>
    <w:p w:rsidR="00964A41" w:rsidRPr="00BC526D" w:rsidRDefault="00964A41" w:rsidP="00F825E7">
      <w:pPr>
        <w:pStyle w:val="Footnotes"/>
        <w:ind w:left="0" w:firstLine="0"/>
        <w:jc w:val="both"/>
        <w:rPr>
          <w:lang w:val="en-CA" w:eastAsia="fr-FR"/>
        </w:rPr>
      </w:pPr>
      <w:r w:rsidRPr="00F825E7">
        <w:rPr>
          <w:sz w:val="14"/>
          <w:lang w:val="en-CA" w:eastAsia="fr-FR"/>
        </w:rPr>
        <w:fldChar w:fldCharType="end"/>
      </w:r>
      <w:bookmarkEnd w:id="4"/>
    </w:p>
    <w:sectPr w:rsidR="00964A41" w:rsidRPr="00BC526D" w:rsidSect="00074B81">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63" w:rsidRDefault="00B91863" w:rsidP="00AF2C92">
      <w:r>
        <w:separator/>
      </w:r>
    </w:p>
  </w:endnote>
  <w:endnote w:type="continuationSeparator" w:id="0">
    <w:p w:rsidR="00B91863" w:rsidRDefault="00B9186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63" w:rsidRDefault="00B91863" w:rsidP="00AF2C92">
      <w:r>
        <w:separator/>
      </w:r>
    </w:p>
  </w:footnote>
  <w:footnote w:type="continuationSeparator" w:id="0">
    <w:p w:rsidR="00B91863" w:rsidRDefault="00B91863"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DD" w:rsidRDefault="00221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41"/>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13DB"/>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2D27"/>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182"/>
    <w:rsid w:val="008D357D"/>
    <w:rsid w:val="008D435A"/>
    <w:rsid w:val="008D4A6B"/>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1B75"/>
    <w:rsid w:val="00933DC7"/>
    <w:rsid w:val="009418F4"/>
    <w:rsid w:val="00942BBC"/>
    <w:rsid w:val="00944180"/>
    <w:rsid w:val="00944AA0"/>
    <w:rsid w:val="00947DA2"/>
    <w:rsid w:val="00951177"/>
    <w:rsid w:val="00964A41"/>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863"/>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5893"/>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25E7"/>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1890633C-576A-4AD7-9528-7CC510E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A41"/>
    <w:pPr>
      <w:spacing w:line="480" w:lineRule="auto"/>
    </w:pPr>
    <w:rPr>
      <w:sz w:val="24"/>
      <w:szCs w:val="24"/>
    </w:rPr>
  </w:style>
  <w:style w:type="paragraph" w:styleId="Titre1">
    <w:name w:val="heading 1"/>
    <w:basedOn w:val="Normal"/>
    <w:next w:val="Paragraph"/>
    <w:link w:val="Titre1Car"/>
    <w:uiPriority w:val="9"/>
    <w:qFormat/>
    <w:rsid w:val="00AE1ED4"/>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Paragraph"/>
    <w:link w:val="Titre2Car"/>
    <w:qFormat/>
    <w:rsid w:val="008D07FB"/>
    <w:pPr>
      <w:keepNext/>
      <w:spacing w:before="360" w:after="60" w:line="360" w:lineRule="auto"/>
      <w:ind w:right="567"/>
      <w:contextualSpacing/>
      <w:outlineLvl w:val="1"/>
    </w:pPr>
    <w:rPr>
      <w:rFonts w:cs="Arial"/>
      <w:b/>
      <w:bCs/>
      <w:i/>
      <w:iCs/>
      <w:szCs w:val="28"/>
    </w:rPr>
  </w:style>
  <w:style w:type="paragraph" w:styleId="Titre3">
    <w:name w:val="heading 3"/>
    <w:basedOn w:val="Normal"/>
    <w:next w:val="Paragraph"/>
    <w:link w:val="Titre3Car"/>
    <w:qFormat/>
    <w:rsid w:val="00DF7EE2"/>
    <w:pPr>
      <w:keepNext/>
      <w:spacing w:before="360" w:after="60" w:line="360" w:lineRule="auto"/>
      <w:ind w:right="567"/>
      <w:contextualSpacing/>
      <w:outlineLvl w:val="2"/>
    </w:pPr>
    <w:rPr>
      <w:rFonts w:cs="Arial"/>
      <w:bCs/>
      <w:i/>
      <w:szCs w:val="26"/>
    </w:rPr>
  </w:style>
  <w:style w:type="paragraph" w:styleId="Titre4">
    <w:name w:val="heading 4"/>
    <w:basedOn w:val="Paragraph"/>
    <w:next w:val="Newparagraph"/>
    <w:link w:val="Titre4Car"/>
    <w:rsid w:val="00F43B9D"/>
    <w:pPr>
      <w:spacing w:before="360"/>
      <w:outlineLvl w:val="3"/>
    </w:pPr>
    <w:rPr>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Retrait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itre2Car">
    <w:name w:val="Titre 2 Car"/>
    <w:basedOn w:val="Policepardfaut"/>
    <w:link w:val="Titre2"/>
    <w:rsid w:val="008D07FB"/>
    <w:rPr>
      <w:rFonts w:cs="Arial"/>
      <w:b/>
      <w:bCs/>
      <w:i/>
      <w:iCs/>
      <w:sz w:val="24"/>
      <w:szCs w:val="28"/>
    </w:rPr>
  </w:style>
  <w:style w:type="character" w:customStyle="1" w:styleId="Titre1Car">
    <w:name w:val="Titre 1 Car"/>
    <w:basedOn w:val="Policepardfaut"/>
    <w:link w:val="Titre1"/>
    <w:uiPriority w:val="9"/>
    <w:rsid w:val="00AE1ED4"/>
    <w:rPr>
      <w:rFonts w:cs="Arial"/>
      <w:b/>
      <w:bCs/>
      <w:kern w:val="32"/>
      <w:sz w:val="24"/>
      <w:szCs w:val="32"/>
    </w:rPr>
  </w:style>
  <w:style w:type="character" w:customStyle="1" w:styleId="Titre3Car">
    <w:name w:val="Titre 3 Car"/>
    <w:basedOn w:val="Policepardfaut"/>
    <w:link w:val="Titre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Notedebasdepage">
    <w:name w:val="footnote text"/>
    <w:basedOn w:val="Normal"/>
    <w:link w:val="NotedebasdepageCar"/>
    <w:autoRedefine/>
    <w:rsid w:val="006C19B2"/>
    <w:pPr>
      <w:ind w:left="284" w:hanging="284"/>
    </w:pPr>
    <w:rPr>
      <w:sz w:val="22"/>
      <w:szCs w:val="20"/>
    </w:rPr>
  </w:style>
  <w:style w:type="character" w:customStyle="1" w:styleId="NotedebasdepageCar">
    <w:name w:val="Note de bas de page Car"/>
    <w:basedOn w:val="Policepardfaut"/>
    <w:link w:val="Notedebasdepage"/>
    <w:rsid w:val="006C19B2"/>
    <w:rPr>
      <w:sz w:val="22"/>
    </w:rPr>
  </w:style>
  <w:style w:type="character" w:styleId="Appelnotedebasdep">
    <w:name w:val="footnote reference"/>
    <w:basedOn w:val="Policepardfaut"/>
    <w:rsid w:val="00AF2C92"/>
    <w:rPr>
      <w:vertAlign w:val="superscript"/>
    </w:rPr>
  </w:style>
  <w:style w:type="paragraph" w:styleId="Notedefin">
    <w:name w:val="endnote text"/>
    <w:basedOn w:val="Normal"/>
    <w:link w:val="NotedefinCar"/>
    <w:autoRedefine/>
    <w:rsid w:val="006C19B2"/>
    <w:pPr>
      <w:ind w:left="284" w:hanging="284"/>
    </w:pPr>
    <w:rPr>
      <w:sz w:val="22"/>
      <w:szCs w:val="20"/>
    </w:rPr>
  </w:style>
  <w:style w:type="character" w:customStyle="1" w:styleId="NotedefinCar">
    <w:name w:val="Note de fin Car"/>
    <w:basedOn w:val="Policepardfaut"/>
    <w:link w:val="Notedefin"/>
    <w:rsid w:val="006C19B2"/>
    <w:rPr>
      <w:sz w:val="22"/>
    </w:rPr>
  </w:style>
  <w:style w:type="character" w:styleId="Appeldenotedefin">
    <w:name w:val="endnote reference"/>
    <w:basedOn w:val="Policepardfaut"/>
    <w:rsid w:val="00EC571B"/>
    <w:rPr>
      <w:vertAlign w:val="superscript"/>
    </w:rPr>
  </w:style>
  <w:style w:type="character" w:customStyle="1" w:styleId="Titre4Car">
    <w:name w:val="Titre 4 Car"/>
    <w:basedOn w:val="Policepardfaut"/>
    <w:link w:val="Titre4"/>
    <w:rsid w:val="00F43B9D"/>
    <w:rPr>
      <w:bCs/>
      <w:sz w:val="24"/>
      <w:szCs w:val="28"/>
    </w:rPr>
  </w:style>
  <w:style w:type="paragraph" w:styleId="En-tte">
    <w:name w:val="header"/>
    <w:basedOn w:val="Normal"/>
    <w:link w:val="En-tteCar"/>
    <w:rsid w:val="003F193A"/>
    <w:pPr>
      <w:tabs>
        <w:tab w:val="center" w:pos="4320"/>
        <w:tab w:val="right" w:pos="8640"/>
      </w:tabs>
      <w:spacing w:after="120" w:line="240" w:lineRule="auto"/>
      <w:contextualSpacing/>
    </w:pPr>
  </w:style>
  <w:style w:type="character" w:customStyle="1" w:styleId="En-tteCar">
    <w:name w:val="En-tête Car"/>
    <w:basedOn w:val="Policepardfaut"/>
    <w:link w:val="En-tte"/>
    <w:rsid w:val="003F193A"/>
    <w:rPr>
      <w:rFonts w:eastAsia="Times New Roman"/>
      <w:sz w:val="24"/>
      <w:szCs w:val="24"/>
      <w:lang w:eastAsia="en-GB"/>
    </w:rPr>
  </w:style>
  <w:style w:type="paragraph" w:styleId="Pieddepage">
    <w:name w:val="footer"/>
    <w:basedOn w:val="Normal"/>
    <w:link w:val="PieddepageCar"/>
    <w:rsid w:val="00AE6A21"/>
    <w:pPr>
      <w:tabs>
        <w:tab w:val="center" w:pos="4320"/>
        <w:tab w:val="right" w:pos="8640"/>
      </w:tabs>
      <w:spacing w:before="240" w:line="240" w:lineRule="auto"/>
      <w:contextualSpacing/>
    </w:pPr>
  </w:style>
  <w:style w:type="character" w:customStyle="1" w:styleId="PieddepageCar">
    <w:name w:val="Pied de page Car"/>
    <w:basedOn w:val="Policepardfaut"/>
    <w:link w:val="Pieddepage"/>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customStyle="1" w:styleId="Grilledutableau1">
    <w:name w:val="Grille du tableau1"/>
    <w:basedOn w:val="TableauNormal"/>
    <w:next w:val="Grilledutableau"/>
    <w:uiPriority w:val="39"/>
    <w:rsid w:val="00964A41"/>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964A4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tudes\Doctorat\NeuroRift%20(Th&#232;se)\Manips\Astrocytes%20et%20vFVR\R&#233;daction%20Article\Reviewing%20EMI\Fichiers%20finaux\Retour%20Editeur%20Reviewing\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0A91-946E-4C7C-8E65-E9E587D6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11</TotalTime>
  <Pages>4</Pages>
  <Words>6590</Words>
  <Characters>36245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42750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QUELLEC</dc:creator>
  <cp:lastModifiedBy>Jordan QUELLEC</cp:lastModifiedBy>
  <cp:revision>7</cp:revision>
  <cp:lastPrinted>2011-07-22T14:54:00Z</cp:lastPrinted>
  <dcterms:created xsi:type="dcterms:W3CDTF">2023-04-14T12:40:00Z</dcterms:created>
  <dcterms:modified xsi:type="dcterms:W3CDTF">2023-04-14T13:15:00Z</dcterms:modified>
</cp:coreProperties>
</file>