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84C8" w14:textId="77777777" w:rsidR="00885543" w:rsidRDefault="001644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Information</w:t>
      </w:r>
    </w:p>
    <w:p w14:paraId="6D8FD315" w14:textId="77777777" w:rsidR="00885543" w:rsidRDefault="0088554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1B228" w14:textId="77777777" w:rsidR="00885543" w:rsidRDefault="00164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Figure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Proportion missing genotypes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each individual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two filtering schemes.</w:t>
      </w:r>
    </w:p>
    <w:p w14:paraId="733C872A" w14:textId="77777777" w:rsidR="00885543" w:rsidRDefault="00164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Original dataset after filtering out genotypes with quality &lt;30. (b) After filtering out loci with &gt;40% missingness in the Canada 1940 population. </w:t>
      </w:r>
    </w:p>
    <w:p w14:paraId="741A3FE7" w14:textId="77777777" w:rsidR="00885543" w:rsidRDefault="00164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24C3C9F" wp14:editId="31BE78ED">
            <wp:extent cx="5943600" cy="30734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12859E" w14:textId="77777777" w:rsidR="00885543" w:rsidRDefault="00164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9CCC40" w14:textId="77777777" w:rsidR="00885543" w:rsidRDefault="008855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48285" w14:textId="77777777" w:rsidR="00885543" w:rsidRDefault="0016443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6202F43" w14:textId="77777777" w:rsidR="00885543" w:rsidRDefault="00164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Figure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Convergent correlations for each linkage group in the original dataset (without additional filtering) from Pinsky et al. 2021. ConvCor1 (Canada 1940-2013, Norway 1907-201) is shown in blue, ConvCor2(Canada 1940-2013, Norway 1907-2014) in green, ConvCor3(Norway 1907-2011, Norway 1907-2014) in purple, and ConvCor4(Canada 1940-2013, Norway 2011-2014) in orange.  Points represent the overall value for each linkage group, and lines represent bootstrap 95% confidence interval. </w:t>
      </w:r>
    </w:p>
    <w:p w14:paraId="5BC1FC6C" w14:textId="77777777" w:rsidR="00885543" w:rsidRDefault="00164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331FBC7" wp14:editId="5F94FFC5">
            <wp:extent cx="5943600" cy="317500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FDA855" w14:textId="77777777" w:rsidR="00885543" w:rsidRDefault="008855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2F8A57" w14:textId="77777777" w:rsidR="00885543" w:rsidRDefault="0016443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3DAEDB0" w14:textId="26F7DFE9" w:rsidR="00885543" w:rsidRDefault="00164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Figure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Convergent correlations for groups of loci inside and outside known genomic inversions, as well as for SNPs in coding regions and all SNPs overall, in the </w:t>
      </w:r>
      <w:r w:rsidR="00C45F92"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filtered dataset.  ConvCor1 (Canada 1940-2013, Norway 1907-201) is shown in blue and ConvCor2(Canada 1940-2013, Norway 1907-2014) in green.  Points represent the overall value for each linkage group, and lines represent bootstrap 95% confidence interval. </w:t>
      </w:r>
    </w:p>
    <w:p w14:paraId="30DD8115" w14:textId="0A695F62" w:rsidR="00885543" w:rsidRDefault="006A75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7CF059" wp14:editId="65B045C5">
            <wp:extent cx="5943600" cy="326644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DE1E" w14:textId="77777777" w:rsidR="00885543" w:rsidRDefault="0016443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52EF66B" w14:textId="77777777" w:rsidR="00885543" w:rsidRDefault="008855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058B0" w14:textId="6A6732D7" w:rsidR="00885543" w:rsidRDefault="00164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Figure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Box-and-whisker plots showing distributions of simulated spatial and temporal 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values for different migration scenarios. Dotted lines show values observed for the cod dataset from Pinsky et al. (2021).</w:t>
      </w:r>
      <w:r w:rsidR="00854C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A02B59" wp14:editId="0AB4FE09">
            <wp:extent cx="5943600" cy="30321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FA878" w14:textId="3778BA06" w:rsidR="00245B03" w:rsidRDefault="00245B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00EEDB3" w14:textId="4A59B50E" w:rsidR="001051E8" w:rsidRDefault="00BF2303" w:rsidP="00BF230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Figure 5. </w:t>
      </w:r>
      <w:r w:rsidRPr="007B3F1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B3F1E" w:rsidRPr="007B3F1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7B3F1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3307">
        <w:rPr>
          <w:rFonts w:ascii="Times New Roman" w:eastAsia="Times New Roman" w:hAnsi="Times New Roman" w:cs="Times New Roman"/>
          <w:bCs/>
          <w:sz w:val="24"/>
          <w:szCs w:val="24"/>
        </w:rPr>
        <w:t xml:space="preserve">Age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E3307">
        <w:rPr>
          <w:rFonts w:ascii="Times New Roman" w:eastAsia="Times New Roman" w:hAnsi="Times New Roman" w:cs="Times New Roman"/>
          <w:bCs/>
          <w:sz w:val="24"/>
          <w:szCs w:val="24"/>
        </w:rPr>
        <w:t xml:space="preserve"> simulated mutations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still segregating at the end of the simulation (the present time) and their frequency at the end</w:t>
      </w:r>
      <w:r w:rsidRPr="008E3307">
        <w:rPr>
          <w:rFonts w:ascii="Times New Roman" w:eastAsia="Times New Roman" w:hAnsi="Times New Roman" w:cs="Times New Roman"/>
          <w:bCs/>
          <w:sz w:val="24"/>
          <w:szCs w:val="24"/>
        </w:rPr>
        <w:t xml:space="preserve">. Neutral mutations are shown in gray, QTL mutations are shown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blue</w:t>
      </w:r>
      <w:r w:rsidRPr="008E3307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deleterious mutations are shown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orange</w:t>
      </w:r>
      <w:r w:rsidRPr="008E33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3307">
        <w:rPr>
          <w:rFonts w:ascii="Times New Roman" w:eastAsia="Times New Roman" w:hAnsi="Times New Roman" w:cs="Times New Roman"/>
          <w:bCs/>
          <w:sz w:val="24"/>
          <w:szCs w:val="24"/>
        </w:rPr>
        <w:t>The date of the split between the two simulated populations is shown as a dotted line.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B3F1E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Density plots of the distributions of fitness effects for deleterious mutations occurring either before or after the split between the two simulated populations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still segregating at the end of the simulation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 w:rsidR="007B3F1E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Density plots of the distributions of the additive phenotypic effects for QTL mutations occurring either before or after the split between the two simulated populations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still segregating at the </w:t>
      </w:r>
      <w:r w:rsidR="001051E8">
        <w:rPr>
          <w:rFonts w:ascii="Times New Roman" w:eastAsia="Times New Roman" w:hAnsi="Times New Roman" w:cs="Times New Roman"/>
          <w:bCs/>
          <w:sz w:val="24"/>
          <w:szCs w:val="24"/>
        </w:rPr>
        <w:t>end of the simulation</w:t>
      </w:r>
      <w:r w:rsidR="001051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101CB" w14:textId="5F07AC78" w:rsidR="00CD54B9" w:rsidRDefault="001051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493B48" wp14:editId="5B62B889">
            <wp:extent cx="3901561" cy="63276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173" cy="63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4B9" w:rsidSect="00F85BEB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43"/>
    <w:rsid w:val="00035181"/>
    <w:rsid w:val="00060E35"/>
    <w:rsid w:val="000A6C06"/>
    <w:rsid w:val="001051E8"/>
    <w:rsid w:val="00105DBE"/>
    <w:rsid w:val="00112F3B"/>
    <w:rsid w:val="001602DD"/>
    <w:rsid w:val="0016443F"/>
    <w:rsid w:val="00167934"/>
    <w:rsid w:val="00193203"/>
    <w:rsid w:val="001B49B1"/>
    <w:rsid w:val="001C3049"/>
    <w:rsid w:val="001E11F8"/>
    <w:rsid w:val="00245B03"/>
    <w:rsid w:val="0029263C"/>
    <w:rsid w:val="002C1F5F"/>
    <w:rsid w:val="00311576"/>
    <w:rsid w:val="00314F0B"/>
    <w:rsid w:val="00387D2C"/>
    <w:rsid w:val="003931F2"/>
    <w:rsid w:val="003A5DBB"/>
    <w:rsid w:val="003A7B91"/>
    <w:rsid w:val="003D7064"/>
    <w:rsid w:val="003F1C75"/>
    <w:rsid w:val="003F6927"/>
    <w:rsid w:val="0040450D"/>
    <w:rsid w:val="004310D8"/>
    <w:rsid w:val="004737F1"/>
    <w:rsid w:val="004861BE"/>
    <w:rsid w:val="00497438"/>
    <w:rsid w:val="004B6BE1"/>
    <w:rsid w:val="004E3062"/>
    <w:rsid w:val="004F3452"/>
    <w:rsid w:val="004F7DF4"/>
    <w:rsid w:val="00544FA2"/>
    <w:rsid w:val="005561D3"/>
    <w:rsid w:val="005A3BE2"/>
    <w:rsid w:val="005B4690"/>
    <w:rsid w:val="005D4439"/>
    <w:rsid w:val="00641FD0"/>
    <w:rsid w:val="00690837"/>
    <w:rsid w:val="006971E2"/>
    <w:rsid w:val="006A75CE"/>
    <w:rsid w:val="006C4B45"/>
    <w:rsid w:val="006C78E0"/>
    <w:rsid w:val="006F2B9D"/>
    <w:rsid w:val="006F69D0"/>
    <w:rsid w:val="00717DCB"/>
    <w:rsid w:val="00790B66"/>
    <w:rsid w:val="007B3F1E"/>
    <w:rsid w:val="00815C5E"/>
    <w:rsid w:val="00847158"/>
    <w:rsid w:val="00854CD8"/>
    <w:rsid w:val="008820C3"/>
    <w:rsid w:val="00885543"/>
    <w:rsid w:val="008A08B5"/>
    <w:rsid w:val="0092259E"/>
    <w:rsid w:val="009349E0"/>
    <w:rsid w:val="00957E56"/>
    <w:rsid w:val="009610D9"/>
    <w:rsid w:val="0097254A"/>
    <w:rsid w:val="00990138"/>
    <w:rsid w:val="00992430"/>
    <w:rsid w:val="009D1617"/>
    <w:rsid w:val="009D5E5C"/>
    <w:rsid w:val="009E4B17"/>
    <w:rsid w:val="009F3DAA"/>
    <w:rsid w:val="00A33F85"/>
    <w:rsid w:val="00A9419A"/>
    <w:rsid w:val="00AE59D0"/>
    <w:rsid w:val="00B1240C"/>
    <w:rsid w:val="00B16460"/>
    <w:rsid w:val="00BC11AD"/>
    <w:rsid w:val="00BC60BE"/>
    <w:rsid w:val="00BD5A60"/>
    <w:rsid w:val="00BF2303"/>
    <w:rsid w:val="00C45C40"/>
    <w:rsid w:val="00C45F92"/>
    <w:rsid w:val="00CD54B9"/>
    <w:rsid w:val="00CD796A"/>
    <w:rsid w:val="00CF07F4"/>
    <w:rsid w:val="00D15C8D"/>
    <w:rsid w:val="00D24CFB"/>
    <w:rsid w:val="00D56A0E"/>
    <w:rsid w:val="00D66D83"/>
    <w:rsid w:val="00DB527B"/>
    <w:rsid w:val="00DB5E14"/>
    <w:rsid w:val="00E13BBC"/>
    <w:rsid w:val="00E86ACD"/>
    <w:rsid w:val="00EB0CA9"/>
    <w:rsid w:val="00EE4748"/>
    <w:rsid w:val="00F366AB"/>
    <w:rsid w:val="00F81D9F"/>
    <w:rsid w:val="00F85BEB"/>
    <w:rsid w:val="00F870F8"/>
    <w:rsid w:val="00F91E87"/>
    <w:rsid w:val="00FE3A64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DC5F8"/>
  <w15:docId w15:val="{8D8C7E1D-DE6D-6444-B382-7C6FE7DF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D24CFB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3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BE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9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6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8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Brendan Reid</cp:lastModifiedBy>
  <cp:revision>3</cp:revision>
  <dcterms:created xsi:type="dcterms:W3CDTF">2023-01-06T15:05:00Z</dcterms:created>
  <dcterms:modified xsi:type="dcterms:W3CDTF">2023-01-06T15:06:00Z</dcterms:modified>
</cp:coreProperties>
</file>