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Y="1591"/>
        <w:tblOverlap w:val="never"/>
        <w:tblW w:w="4558" w:type="pct"/>
        <w:tblLayout w:type="fixed"/>
        <w:tblLook w:val="04A0" w:firstRow="1" w:lastRow="0" w:firstColumn="1" w:lastColumn="0" w:noHBand="0" w:noVBand="1"/>
      </w:tblPr>
      <w:tblGrid>
        <w:gridCol w:w="3226"/>
        <w:gridCol w:w="1667"/>
        <w:gridCol w:w="1667"/>
        <w:gridCol w:w="3227"/>
        <w:gridCol w:w="1670"/>
        <w:gridCol w:w="1670"/>
      </w:tblGrid>
      <w:tr w:rsidR="00574C7C" w14:paraId="12398D6C" w14:textId="77777777" w:rsidTr="00574C7C">
        <w:trPr>
          <w:trHeight w:val="310"/>
        </w:trPr>
        <w:tc>
          <w:tcPr>
            <w:tcW w:w="1229" w:type="pct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C0C8D8F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31150803"/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89F8F2D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observations</w:t>
            </w: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C447E4C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Outliers</w:t>
            </w:r>
          </w:p>
        </w:tc>
        <w:tc>
          <w:tcPr>
            <w:tcW w:w="1229" w:type="pct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4AAE185A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13E9205F" w14:textId="77777777" w:rsid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observations</w:t>
            </w:r>
          </w:p>
        </w:tc>
        <w:tc>
          <w:tcPr>
            <w:tcW w:w="636" w:type="pct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14:paraId="718B90A9" w14:textId="77777777" w:rsid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Outliers</w:t>
            </w:r>
          </w:p>
        </w:tc>
      </w:tr>
      <w:tr w:rsidR="00574C7C" w14:paraId="6C3E40B6" w14:textId="77777777" w:rsidTr="00574C7C">
        <w:trPr>
          <w:trHeight w:val="310"/>
        </w:trPr>
        <w:tc>
          <w:tcPr>
            <w:tcW w:w="122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1C9C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sz w:val="24"/>
                <w:szCs w:val="24"/>
              </w:rPr>
              <w:t>DMI, kg/d</w:t>
            </w:r>
          </w:p>
        </w:tc>
        <w:tc>
          <w:tcPr>
            <w:tcW w:w="63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D653D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1A375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1" w:type="pct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2328B897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Total-tract apparent digestibility</w:t>
            </w:r>
          </w:p>
        </w:tc>
      </w:tr>
      <w:tr w:rsidR="00574C7C" w:rsidRPr="002570C6" w14:paraId="03AC4C48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56760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sz w:val="24"/>
                <w:szCs w:val="24"/>
              </w:rPr>
              <w:t>Starch intake, kg/d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B9F06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07828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E5B3E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DM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657F22A7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5961454C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C7C" w:rsidRPr="002570C6" w14:paraId="77019A12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0734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sz w:val="24"/>
                <w:szCs w:val="24"/>
              </w:rPr>
              <w:t>Milk yield, kg/d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C0D57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885F8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839E3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OM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1F11752F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7BC95CFF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C7C" w:rsidRPr="002570C6" w14:paraId="69389D54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9310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sz w:val="24"/>
                <w:szCs w:val="24"/>
              </w:rPr>
              <w:t>Milk yield/DMI, kg/kg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67D4B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16DBB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B5D59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CP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7C6904EE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63EF2A5A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4C7C" w:rsidRPr="002570C6" w14:paraId="6C1232B8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8892A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 FCM,</w:t>
            </w: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kg/d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2EE71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24B42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DCD2A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NDF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667481D9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1EA64783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C7C" w:rsidRPr="002570C6" w14:paraId="5B77828F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0BDA6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 FCM/DMI, kg/kg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84613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5064C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F3859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Starch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450184A6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664AB7BC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C7C" w:rsidRPr="002570C6" w14:paraId="7A4167D0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88AEF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sz w:val="24"/>
                <w:szCs w:val="24"/>
              </w:rPr>
              <w:t>ECM,</w:t>
            </w:r>
            <w:r w:rsidRPr="002570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5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kg/d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6A448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90D23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9CD48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Ether extract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56352DA1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51245799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C7C" w:rsidRPr="002B175A" w14:paraId="2C28266F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89198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sz w:val="24"/>
                <w:szCs w:val="24"/>
              </w:rPr>
              <w:t>ECM/DMI, kg/kg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657F3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8D60C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1B988339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intake, g/d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44EED4BC" w14:textId="77777777" w:rsidR="00574C7C" w:rsidRPr="002B175A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1963FE86" w14:textId="77777777" w:rsidR="00574C7C" w:rsidRPr="002B175A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4C7C" w14:paraId="516E89C6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3C4E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 fat, 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136DA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24414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474A88E9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 parameters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11731DBA" w14:textId="77777777" w:rsid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08481C33" w14:textId="77777777" w:rsid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C7C" w:rsidRPr="002570C6" w14:paraId="5FF45391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4214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 fat, kg/d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BC83E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DB73C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B41EE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Creatinine, m</w:t>
            </w:r>
            <w:r w:rsidRPr="002570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2A0D05BA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50A1883C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4C7C" w:rsidRPr="002570C6" w14:paraId="03666067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BF7D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sz w:val="24"/>
                <w:szCs w:val="24"/>
              </w:rPr>
              <w:t>Milk true protein, 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CE1C5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E27B9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69FED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Volume, L/d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6F421805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55A05840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4C7C" w:rsidRPr="002570C6" w14:paraId="5939D250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F808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sz w:val="24"/>
                <w:szCs w:val="24"/>
              </w:rPr>
              <w:t>Milk true protein, kg/d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40F9F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7E988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6C4AC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Urea N, g/d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2EA3DFCA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5FCD1209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4C7C" w:rsidRPr="002570C6" w14:paraId="015C7DF2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283F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sz w:val="24"/>
                <w:szCs w:val="24"/>
              </w:rPr>
              <w:t>Milk lactose, 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2C2EB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C7689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C0BFB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Total N, g/d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0CC48E74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6B99ABB0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C7C" w:rsidRPr="002570C6" w14:paraId="17FD6034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5BE5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 lactose, kg/d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A35C2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D496A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63D99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Urea N, % of total N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04260B79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4292E238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C7C" w:rsidRPr="002570C6" w14:paraId="5A8BE4AF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066E8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 SCC, ×1,000 cells/mL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8BF15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73236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E3A8D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Urea N, % of N intake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415913A8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1153E52F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C7C" w:rsidRPr="002570C6" w14:paraId="4DF6651F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0F8A6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 N, % of N intake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FC16F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CA3F5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9F4F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Total N, % of N intake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11BE611C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4FA0269E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C7C" w14:paraId="0D4CE06F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3B6B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MUN, mg/dL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E3398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DF8C8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5E0DD639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balance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53E020C9" w14:textId="77777777" w:rsid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58569988" w14:textId="77777777" w:rsid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C7C" w14:paraId="1F8104DB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AB69F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sz w:val="24"/>
                <w:szCs w:val="24"/>
              </w:rPr>
              <w:t>PUN, mg/dL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CE9B9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F30A0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962D7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intake, g/d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36817732" w14:textId="77777777" w:rsid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1FC68FA2" w14:textId="77777777" w:rsid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4C7C" w14:paraId="67FAAB26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1895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BCS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FC97F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1DDE9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B0625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 N, g/d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26876C65" w14:textId="77777777" w:rsid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345625F3" w14:textId="77777777" w:rsid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4C7C" w14:paraId="2092840A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4C2C6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BCS change, point/21 d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0E3F8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68A38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15A30" w14:textId="77777777" w:rsid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 N, g/d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58BDC717" w14:textId="77777777" w:rsid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14:paraId="038BADAD" w14:textId="77777777" w:rsid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4C7C" w14:paraId="1BA93617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4455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BW, kg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AA3C68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DC3F38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720E39" w14:textId="77777777" w:rsidR="00574C7C" w:rsidRPr="004361EE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Fecal N, g/d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</w:tcPr>
          <w:p w14:paraId="10989A78" w14:textId="77777777" w:rsid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6" w:type="pct"/>
            <w:tcBorders>
              <w:top w:val="nil"/>
              <w:left w:val="nil"/>
              <w:right w:val="nil"/>
            </w:tcBorders>
          </w:tcPr>
          <w:p w14:paraId="496AA783" w14:textId="77777777" w:rsid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4C7C" w14:paraId="6E788A5C" w14:textId="77777777" w:rsidTr="00574C7C">
        <w:trPr>
          <w:trHeight w:val="310"/>
        </w:trPr>
        <w:tc>
          <w:tcPr>
            <w:tcW w:w="12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CE09B" w14:textId="77777777" w:rsidR="00574C7C" w:rsidRPr="002570C6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 change, kg/d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8916264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C786621" w14:textId="77777777" w:rsidR="00574C7C" w:rsidRPr="002570C6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F2C4A0" w14:textId="77777777" w:rsidR="00574C7C" w:rsidRPr="004361EE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Retained N, g/d</w:t>
            </w:r>
          </w:p>
        </w:tc>
        <w:tc>
          <w:tcPr>
            <w:tcW w:w="63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6DF049" w14:textId="77777777" w:rsid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A80945" w14:textId="77777777" w:rsid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793E4632" w14:textId="67F17913" w:rsidR="00B4303D" w:rsidRPr="00B3734D" w:rsidRDefault="00B3734D" w:rsidP="00B37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734D">
        <w:rPr>
          <w:rFonts w:ascii="Times New Roman" w:hAnsi="Times New Roman" w:cs="Times New Roman"/>
          <w:b/>
          <w:bCs/>
          <w:sz w:val="24"/>
          <w:szCs w:val="24"/>
        </w:rPr>
        <w:t>Supplemental Table S1.</w:t>
      </w:r>
      <w:r>
        <w:rPr>
          <w:rFonts w:ascii="Times New Roman" w:hAnsi="Times New Roman" w:cs="Times New Roman"/>
          <w:sz w:val="24"/>
          <w:szCs w:val="24"/>
        </w:rPr>
        <w:t xml:space="preserve"> Numbers of observations used in the statistical analyses and outliers removed from the data sets per variable of interest in a study whereby lactating dairy cows were fed low MP diets with different starch concentrations supplemented or not with rumen-protected Met, Lys, and His</w:t>
      </w:r>
    </w:p>
    <w:bookmarkEnd w:id="0"/>
    <w:p w14:paraId="7AF18876" w14:textId="48CA78ED" w:rsidR="00B3734D" w:rsidRDefault="00B3734D"/>
    <w:p w14:paraId="1A8DFE2F" w14:textId="545D12A3" w:rsidR="00B3734D" w:rsidRDefault="00B3734D"/>
    <w:p w14:paraId="11A0CE96" w14:textId="6121FC06" w:rsidR="00B3734D" w:rsidRDefault="00B3734D"/>
    <w:p w14:paraId="6FCE6079" w14:textId="5B57EA2E" w:rsidR="00B3734D" w:rsidRDefault="00B3734D"/>
    <w:p w14:paraId="56BFDA06" w14:textId="191C06ED" w:rsidR="00B3734D" w:rsidRDefault="00B3734D"/>
    <w:p w14:paraId="63427768" w14:textId="07EBAB4C" w:rsidR="00B3734D" w:rsidRDefault="00B3734D"/>
    <w:p w14:paraId="77174644" w14:textId="52EF9FBB" w:rsidR="00B3734D" w:rsidRDefault="00B3734D"/>
    <w:p w14:paraId="4DCF9AAE" w14:textId="306DE592" w:rsidR="00B3734D" w:rsidRDefault="00B3734D"/>
    <w:p w14:paraId="030CDC26" w14:textId="1F664392" w:rsidR="00B3734D" w:rsidRDefault="00B3734D"/>
    <w:p w14:paraId="313B0080" w14:textId="3F8EEB6B" w:rsidR="00B3734D" w:rsidRDefault="00B3734D"/>
    <w:p w14:paraId="68EA3532" w14:textId="7C07AA62" w:rsidR="00B3734D" w:rsidRDefault="00B3734D"/>
    <w:p w14:paraId="4D206F08" w14:textId="70506271" w:rsidR="00B3734D" w:rsidRDefault="00B3734D"/>
    <w:p w14:paraId="56DD6F67" w14:textId="0807A10E" w:rsidR="00B3734D" w:rsidRDefault="00B3734D"/>
    <w:p w14:paraId="27BA5960" w14:textId="33036FB3" w:rsidR="00B3734D" w:rsidRDefault="00B3734D"/>
    <w:p w14:paraId="25E0E5DE" w14:textId="3FDF4632" w:rsidR="00B3734D" w:rsidRDefault="00B3734D"/>
    <w:p w14:paraId="7394D01E" w14:textId="2F00F494" w:rsidR="00B3734D" w:rsidRDefault="00B3734D"/>
    <w:p w14:paraId="52B397F9" w14:textId="4EDA0CDD" w:rsidR="00B3734D" w:rsidRDefault="00B3734D"/>
    <w:p w14:paraId="6F525A90" w14:textId="77777777" w:rsidR="00B3734D" w:rsidRDefault="00B3734D">
      <w:pPr>
        <w:sectPr w:rsidR="00B3734D" w:rsidSect="00574C7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EF4F976" w14:textId="17100E59" w:rsidR="00B3734D" w:rsidRDefault="00B3734D" w:rsidP="00574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4D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Table S1.</w:t>
      </w:r>
      <w:r>
        <w:rPr>
          <w:rFonts w:ascii="Times New Roman" w:hAnsi="Times New Roman" w:cs="Times New Roman"/>
          <w:sz w:val="24"/>
          <w:szCs w:val="24"/>
        </w:rPr>
        <w:t xml:space="preserve"> Numbers of observations used in the statistical analyses and outliers removed from the data sets per variable of interest in a study whereby lactating dairy cows were fed low MP diets with different starch concentrations supplemented or not with rumen-protected Met, Lys, and His</w:t>
      </w:r>
      <w:r w:rsidR="00574C7C">
        <w:rPr>
          <w:rFonts w:ascii="Times New Roman" w:hAnsi="Times New Roman" w:cs="Times New Roman"/>
          <w:sz w:val="24"/>
          <w:szCs w:val="24"/>
        </w:rPr>
        <w:t xml:space="preserve"> (continued)</w:t>
      </w:r>
    </w:p>
    <w:tbl>
      <w:tblPr>
        <w:tblpPr w:leftFromText="187" w:rightFromText="187" w:vertAnchor="text" w:horzAnchor="margin" w:tblpY="14"/>
        <w:tblOverlap w:val="never"/>
        <w:tblW w:w="4560" w:type="pct"/>
        <w:tblLayout w:type="fixed"/>
        <w:tblLook w:val="04A0" w:firstRow="1" w:lastRow="0" w:firstColumn="1" w:lastColumn="0" w:noHBand="0" w:noVBand="1"/>
      </w:tblPr>
      <w:tblGrid>
        <w:gridCol w:w="3233"/>
        <w:gridCol w:w="1668"/>
        <w:gridCol w:w="1668"/>
        <w:gridCol w:w="3228"/>
        <w:gridCol w:w="1668"/>
        <w:gridCol w:w="1668"/>
      </w:tblGrid>
      <w:tr w:rsidR="00574C7C" w:rsidRPr="00574C7C" w14:paraId="10FD44B9" w14:textId="77777777" w:rsidTr="00574C7C">
        <w:trPr>
          <w:trHeight w:val="310"/>
        </w:trPr>
        <w:tc>
          <w:tcPr>
            <w:tcW w:w="12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CC42A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E50A2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observations</w:t>
            </w: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8145E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Outliers</w:t>
            </w:r>
          </w:p>
        </w:tc>
        <w:tc>
          <w:tcPr>
            <w:tcW w:w="12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4238DC" w14:textId="60DFDAD0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8C1A2D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observations</w:t>
            </w: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D50A6A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Outliers</w:t>
            </w:r>
          </w:p>
        </w:tc>
      </w:tr>
      <w:tr w:rsidR="00574C7C" w:rsidRPr="00574C7C" w14:paraId="15655E02" w14:textId="77777777" w:rsidTr="00574C7C">
        <w:trPr>
          <w:trHeight w:val="310"/>
        </w:trPr>
        <w:tc>
          <w:tcPr>
            <w:tcW w:w="123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23A3B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EAA, µ</w:t>
            </w:r>
            <w:r w:rsidRPr="0057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0DF26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D75FF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E46C29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Gaseous emissions</w:t>
            </w: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164766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BDDA1D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C7C" w:rsidRPr="00574C7C" w14:paraId="09097EB1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4338A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Arg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A138B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C903E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65EB5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CO</w:t>
            </w: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, kg/d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313C2AD5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6C440890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C7C" w:rsidRPr="00574C7C" w14:paraId="6BEAB700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E01E0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His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AC357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4E010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E4782A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CH</w:t>
            </w: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, g/d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0BE2BF7F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14D9359E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C7C" w:rsidRPr="00574C7C" w14:paraId="1B681119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B7B94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Ile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0AAEA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9BE28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30D4A2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CH</w:t>
            </w: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, g/kg of DMI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3B5A04FF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077E82AE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C7C" w:rsidRPr="00574C7C" w14:paraId="649BA840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4B54B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Leu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B9D1D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75B72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1C0332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CH</w:t>
            </w: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, g/kg of ECM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37B38CC0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7E2B77B0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C7C" w:rsidRPr="00574C7C" w14:paraId="3B74B936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28F45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Lys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F12C0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F0A93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D54D11" w14:textId="06DA3AC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Fractions,</w:t>
            </w: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Mcal</w:t>
            </w:r>
            <w:proofErr w:type="spellEnd"/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/d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68FA70B2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6AC24F9A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C7C" w:rsidRPr="00574C7C" w14:paraId="6A2E3A3B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22689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Met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D080B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A89A1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AEB43D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GE intake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12455E55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0A409203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C7C" w:rsidRPr="00574C7C" w14:paraId="16AFC57A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CCBAB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E179D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CE096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0D2C1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 intake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64E1FE1E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4CDEB417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4C7C" w:rsidRPr="00574C7C" w14:paraId="54C09CE8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79B1B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64715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1B63D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9122E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ME intake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171B6E9E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126F5946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4C7C" w:rsidRPr="00574C7C" w14:paraId="56DA20D4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05F3F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Trp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2F477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94762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43F63" w14:textId="7D0D9644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Components,</w:t>
            </w: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Mcal</w:t>
            </w:r>
            <w:proofErr w:type="spellEnd"/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/d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7440890F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6AD70B51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C7C" w:rsidRPr="00574C7C" w14:paraId="55A41D7C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A4F58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Val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28CC8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F95C5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17A7C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Fecal energy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1E34D1AC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6B5C793E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4C7C" w:rsidRPr="00574C7C" w14:paraId="2E419C1E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BEF7F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Total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F9F9F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B715B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85454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Urinary energy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1E57CAB2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2907E0A3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C7C" w:rsidRPr="00574C7C" w14:paraId="4C35FEAC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EE8A4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NEAA, µ</w:t>
            </w:r>
            <w:r w:rsidRPr="0057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FA8D5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CB144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97F41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CH</w:t>
            </w: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energy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3603BCB3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486B01EF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4C7C" w:rsidRPr="00574C7C" w14:paraId="26633595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7E5F3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Ala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D7078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09997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10235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Milk energy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089E889E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44EBD550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C7C" w:rsidRPr="00574C7C" w14:paraId="79EE1BBC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B4E99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329A3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114D4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8CEDA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Efficiencies, %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25E43FC3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406EE904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4C7C" w:rsidRPr="00574C7C" w14:paraId="79486305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B00F8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Asp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105BB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5B664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4303E7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ME/DE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28F98C23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0881DEAE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C7C" w:rsidRPr="00574C7C" w14:paraId="1231F1B7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B9E4A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Cit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4773D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F50C0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69BDAD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Milk energy/ME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6C9E6D49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14D388C0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4C7C" w:rsidRPr="00574C7C" w14:paraId="2506E7FD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2A34B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F355B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EDE57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73249A3A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5E3D8F1E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7AA84909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C7C" w:rsidRPr="00574C7C" w14:paraId="52980DE0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EA95B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Gln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3D6BD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1B97E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527616C0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1753A6E2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7F35EB7D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C7C" w:rsidRPr="00574C7C" w14:paraId="26CCBA83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5920C5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Glu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4AE99A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F09016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right w:val="nil"/>
            </w:tcBorders>
          </w:tcPr>
          <w:p w14:paraId="37D47F59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6E264DA0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4E7CDA3A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C7C" w:rsidRPr="00574C7C" w14:paraId="1A91F5FB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C0C75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16A851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43EDAA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right w:val="nil"/>
            </w:tcBorders>
          </w:tcPr>
          <w:p w14:paraId="43015C1D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263797B5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3DC3C60F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C7C" w:rsidRPr="00574C7C" w14:paraId="45D415E9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96716D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Orn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8A5B3B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DAD15B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right w:val="nil"/>
            </w:tcBorders>
          </w:tcPr>
          <w:p w14:paraId="159E719E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7A79810D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2258DAF1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C7C" w:rsidRPr="00574C7C" w14:paraId="0DD2BCFA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59549F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Pro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1054D2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92B5E8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right w:val="nil"/>
            </w:tcBorders>
          </w:tcPr>
          <w:p w14:paraId="02597946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3D8E2CCD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12597B10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C7C" w:rsidRPr="00574C7C" w14:paraId="40CD51F5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A88415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Ser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DFFB7D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BFA66D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right w:val="nil"/>
            </w:tcBorders>
          </w:tcPr>
          <w:p w14:paraId="6D609064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2C9042A4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3559603A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C7C" w:rsidRPr="00574C7C" w14:paraId="30E3EA20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CE0962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Taurine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4AC53A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7D06A1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right w:val="nil"/>
            </w:tcBorders>
          </w:tcPr>
          <w:p w14:paraId="3874300C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5C6402DE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03CED592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C7C" w:rsidRPr="00574C7C" w14:paraId="785ECAF6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99AE49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Try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BFE622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EC885B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9" w:type="pct"/>
            <w:tcBorders>
              <w:top w:val="nil"/>
              <w:left w:val="nil"/>
              <w:right w:val="nil"/>
            </w:tcBorders>
          </w:tcPr>
          <w:p w14:paraId="2537FB61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6FB37680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52D60A87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C7C" w:rsidRPr="00574C7C" w14:paraId="2AA0E30B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9D2B1D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Total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8BD92B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171418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9" w:type="pct"/>
            <w:tcBorders>
              <w:top w:val="nil"/>
              <w:left w:val="nil"/>
              <w:right w:val="nil"/>
            </w:tcBorders>
          </w:tcPr>
          <w:p w14:paraId="4B6AD5E1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5C9BE7A3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64123C51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C7C" w:rsidRPr="00574C7C" w14:paraId="60EDE0E6" w14:textId="77777777" w:rsidTr="00574C7C">
        <w:trPr>
          <w:trHeight w:val="310"/>
        </w:trPr>
        <w:tc>
          <w:tcPr>
            <w:tcW w:w="12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932DAE2" w14:textId="77777777" w:rsidR="00574C7C" w:rsidRPr="00574C7C" w:rsidRDefault="00574C7C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Carnosine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F0411A7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260FC1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374205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EC8AAA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907539" w14:textId="77777777" w:rsidR="00574C7C" w:rsidRPr="00574C7C" w:rsidRDefault="00574C7C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E031817" w14:textId="77777777" w:rsidR="00574C7C" w:rsidRPr="00B3734D" w:rsidRDefault="00574C7C" w:rsidP="00B37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2C5939" w14:textId="0D4AB4D4" w:rsidR="00B3734D" w:rsidRDefault="00B3734D"/>
    <w:p w14:paraId="0607E1E4" w14:textId="77719621" w:rsidR="00574C7C" w:rsidRDefault="00574C7C"/>
    <w:p w14:paraId="5B9979EE" w14:textId="29E788BD" w:rsidR="00574C7C" w:rsidRDefault="00574C7C"/>
    <w:p w14:paraId="32757601" w14:textId="5F3CD8CE" w:rsidR="00574C7C" w:rsidRDefault="00574C7C"/>
    <w:p w14:paraId="3C564BE0" w14:textId="55A99F93" w:rsidR="00574C7C" w:rsidRDefault="00574C7C"/>
    <w:p w14:paraId="675BA404" w14:textId="41B01095" w:rsidR="00574C7C" w:rsidRDefault="00574C7C"/>
    <w:p w14:paraId="1A7909E2" w14:textId="307CF034" w:rsidR="00574C7C" w:rsidRDefault="00574C7C"/>
    <w:p w14:paraId="4417D135" w14:textId="60C1C1AF" w:rsidR="00574C7C" w:rsidRDefault="00574C7C"/>
    <w:p w14:paraId="043031D7" w14:textId="47F4C1B9" w:rsidR="00574C7C" w:rsidRDefault="00574C7C"/>
    <w:p w14:paraId="13B8AE07" w14:textId="2EF8F186" w:rsidR="00574C7C" w:rsidRDefault="00574C7C"/>
    <w:p w14:paraId="1F567740" w14:textId="5329965C" w:rsidR="00574C7C" w:rsidRDefault="00574C7C"/>
    <w:p w14:paraId="7D7A2587" w14:textId="51FEB1A4" w:rsidR="00574C7C" w:rsidRDefault="00574C7C"/>
    <w:p w14:paraId="32F1B553" w14:textId="7DC5F555" w:rsidR="00574C7C" w:rsidRDefault="00574C7C"/>
    <w:p w14:paraId="2E61C952" w14:textId="787529F9" w:rsidR="00574C7C" w:rsidRDefault="00574C7C"/>
    <w:p w14:paraId="41D837D5" w14:textId="1EE2C251" w:rsidR="00574C7C" w:rsidRDefault="00574C7C"/>
    <w:p w14:paraId="7C457264" w14:textId="0F4265C9" w:rsidR="00574C7C" w:rsidRDefault="00574C7C"/>
    <w:p w14:paraId="01478273" w14:textId="2F64329F" w:rsidR="00574C7C" w:rsidRDefault="00574C7C"/>
    <w:p w14:paraId="31F6C41F" w14:textId="62CEADBE" w:rsidR="00574C7C" w:rsidRDefault="00574C7C"/>
    <w:p w14:paraId="2DEC375E" w14:textId="5A14CB24" w:rsidR="00574C7C" w:rsidRDefault="00574C7C"/>
    <w:p w14:paraId="6AC2148B" w14:textId="329B0AFD" w:rsidR="00574C7C" w:rsidRDefault="00574C7C"/>
    <w:p w14:paraId="627C39FD" w14:textId="77777777" w:rsidR="00574C7C" w:rsidRDefault="00574C7C">
      <w:pPr>
        <w:sectPr w:rsidR="00574C7C" w:rsidSect="00574C7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2ACF639" w14:textId="002CAB9F" w:rsidR="00574C7C" w:rsidRPr="00C32928" w:rsidRDefault="00574C7C" w:rsidP="00384774">
      <w:pPr>
        <w:keepNext/>
        <w:keepLines/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C32928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lastRenderedPageBreak/>
        <w:t>Supplemental Table S</w:t>
      </w: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2</w:t>
      </w:r>
      <w:r w:rsidRPr="00C32928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.</w:t>
      </w:r>
      <w:r w:rsidRPr="00C3292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NRC (2001) evaluation of the basal diets</w:t>
      </w:r>
      <w:r w:rsidRPr="00574C7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perscript"/>
        </w:rPr>
        <w:t>1</w:t>
      </w:r>
      <w:r w:rsidRPr="00C3292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and supply of digestible His, Met, and Lys from the basal diets and rumen-protected (RP)-His, RP-Met, and RP-Lys</w:t>
      </w:r>
      <w:r w:rsidRPr="00574C7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C3292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</w:p>
    <w:tbl>
      <w:tblPr>
        <w:tblW w:w="5044" w:type="dxa"/>
        <w:tblBorders>
          <w:top w:val="single" w:sz="4" w:space="0" w:color="auto"/>
          <w:bottom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1008"/>
        <w:gridCol w:w="1008"/>
      </w:tblGrid>
      <w:tr w:rsidR="00440CA0" w:rsidRPr="002570C6" w14:paraId="7F777A19" w14:textId="77777777" w:rsidTr="00440CA0">
        <w:trPr>
          <w:trHeight w:val="317"/>
        </w:trPr>
        <w:tc>
          <w:tcPr>
            <w:tcW w:w="3028" w:type="dxa"/>
            <w:tcBorders>
              <w:top w:val="single" w:sz="12" w:space="0" w:color="auto"/>
              <w:bottom w:val="nil"/>
            </w:tcBorders>
            <w:shd w:val="clear" w:color="auto" w:fill="FFFFFF"/>
            <w:noWrap/>
            <w:vAlign w:val="bottom"/>
            <w:hideMark/>
          </w:tcPr>
          <w:p w14:paraId="006EBEE1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9D6CDF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14:paraId="39666428" w14:textId="77777777" w:rsidR="00440CA0" w:rsidRPr="002570C6" w:rsidRDefault="00440CA0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Pre-experiment</w:t>
            </w: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440CA0" w:rsidRPr="002570C6" w14:paraId="3018F91B" w14:textId="77777777" w:rsidTr="00440CA0">
        <w:trPr>
          <w:trHeight w:val="317"/>
        </w:trPr>
        <w:tc>
          <w:tcPr>
            <w:tcW w:w="3028" w:type="dxa"/>
            <w:tcBorders>
              <w:top w:val="nil"/>
              <w:bottom w:val="single" w:sz="12" w:space="0" w:color="auto"/>
            </w:tcBorders>
            <w:shd w:val="clear" w:color="auto" w:fill="FFFFFF"/>
            <w:noWrap/>
            <w:vAlign w:val="center"/>
          </w:tcPr>
          <w:p w14:paraId="2594005A" w14:textId="77777777" w:rsidR="00440CA0" w:rsidRPr="002570C6" w:rsidRDefault="00440CA0" w:rsidP="0057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Item, g/d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14:paraId="39DE4C7F" w14:textId="4CC0AA6F" w:rsidR="00440CA0" w:rsidRPr="002570C6" w:rsidRDefault="00440CA0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 w14:paraId="202968C6" w14:textId="77777777" w:rsidR="00440CA0" w:rsidRPr="002570C6" w:rsidRDefault="00440CA0" w:rsidP="0057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RSPA</w:t>
            </w:r>
          </w:p>
        </w:tc>
      </w:tr>
      <w:tr w:rsidR="00440CA0" w:rsidRPr="002570C6" w14:paraId="65280E48" w14:textId="77777777" w:rsidTr="00440CA0">
        <w:trPr>
          <w:trHeight w:val="317"/>
        </w:trPr>
        <w:tc>
          <w:tcPr>
            <w:tcW w:w="3028" w:type="dxa"/>
            <w:tcBorders>
              <w:top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49195840" w14:textId="77777777" w:rsidR="00440CA0" w:rsidRPr="002570C6" w:rsidRDefault="00440CA0" w:rsidP="008E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Digestible His requirement</w:t>
            </w: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6C5B681D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09B60AB6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440CA0" w:rsidRPr="002570C6" w14:paraId="448F58AC" w14:textId="77777777" w:rsidTr="00440CA0">
        <w:trPr>
          <w:trHeight w:val="317"/>
        </w:trPr>
        <w:tc>
          <w:tcPr>
            <w:tcW w:w="3028" w:type="dxa"/>
            <w:shd w:val="clear" w:color="auto" w:fill="FFFFFF"/>
            <w:noWrap/>
            <w:vAlign w:val="bottom"/>
            <w:hideMark/>
          </w:tcPr>
          <w:p w14:paraId="4CB8D592" w14:textId="77777777" w:rsidR="00440CA0" w:rsidRPr="002570C6" w:rsidRDefault="00440CA0" w:rsidP="008E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Digestible His supply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69E60DB7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 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39A910DA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440CA0" w:rsidRPr="002570C6" w14:paraId="22EB7D24" w14:textId="77777777" w:rsidTr="00440CA0">
        <w:trPr>
          <w:trHeight w:val="317"/>
        </w:trPr>
        <w:tc>
          <w:tcPr>
            <w:tcW w:w="3028" w:type="dxa"/>
            <w:shd w:val="clear" w:color="auto" w:fill="FFFFFF"/>
            <w:noWrap/>
            <w:vAlign w:val="bottom"/>
            <w:hideMark/>
          </w:tcPr>
          <w:p w14:paraId="4A4997A6" w14:textId="77777777" w:rsidR="00440CA0" w:rsidRPr="002570C6" w:rsidRDefault="00440CA0" w:rsidP="008E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Digestible </w:t>
            </w:r>
            <w:r w:rsidRPr="00440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 balance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044B9AFE" w14:textId="0952EA5B" w:rsidR="00440CA0" w:rsidRPr="002570C6" w:rsidRDefault="00440CA0" w:rsidP="0044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−2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6385B406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−4</w:t>
            </w:r>
          </w:p>
        </w:tc>
      </w:tr>
      <w:tr w:rsidR="00440CA0" w:rsidRPr="002570C6" w14:paraId="2895CD13" w14:textId="77777777" w:rsidTr="00440CA0">
        <w:trPr>
          <w:trHeight w:val="317"/>
        </w:trPr>
        <w:tc>
          <w:tcPr>
            <w:tcW w:w="3028" w:type="dxa"/>
            <w:shd w:val="clear" w:color="auto" w:fill="FFFFFF"/>
            <w:noWrap/>
            <w:vAlign w:val="bottom"/>
            <w:hideMark/>
          </w:tcPr>
          <w:p w14:paraId="3F2C93B0" w14:textId="77777777" w:rsidR="00440CA0" w:rsidRPr="002570C6" w:rsidRDefault="00440CA0" w:rsidP="008E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Digestible His from RP-His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2C2A96F6" w14:textId="795B4812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78EE34E7" w14:textId="27E32AF2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40CA0" w:rsidRPr="002570C6" w14:paraId="43F3B7E0" w14:textId="77777777" w:rsidTr="00440CA0">
        <w:trPr>
          <w:trHeight w:hRule="exact" w:val="72"/>
        </w:trPr>
        <w:tc>
          <w:tcPr>
            <w:tcW w:w="3028" w:type="dxa"/>
            <w:shd w:val="clear" w:color="auto" w:fill="FFFFFF"/>
            <w:noWrap/>
            <w:vAlign w:val="bottom"/>
            <w:hideMark/>
          </w:tcPr>
          <w:p w14:paraId="15E92C92" w14:textId="77777777" w:rsidR="00440CA0" w:rsidRPr="002570C6" w:rsidRDefault="00440CA0" w:rsidP="008E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2D5F8846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44FBB7DA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CA0" w:rsidRPr="002570C6" w14:paraId="5B0D49AD" w14:textId="77777777" w:rsidTr="00440CA0">
        <w:trPr>
          <w:trHeight w:val="317"/>
        </w:trPr>
        <w:tc>
          <w:tcPr>
            <w:tcW w:w="3028" w:type="dxa"/>
            <w:shd w:val="clear" w:color="auto" w:fill="FFFFFF"/>
            <w:noWrap/>
            <w:vAlign w:val="bottom"/>
            <w:hideMark/>
          </w:tcPr>
          <w:p w14:paraId="77E1DBDF" w14:textId="77777777" w:rsidR="00440CA0" w:rsidRPr="002570C6" w:rsidRDefault="00440CA0" w:rsidP="008E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Digestible Met requirement</w:t>
            </w: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2EBCEF80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213CD426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440CA0" w:rsidRPr="002570C6" w14:paraId="503D3763" w14:textId="77777777" w:rsidTr="00440CA0">
        <w:trPr>
          <w:trHeight w:val="317"/>
        </w:trPr>
        <w:tc>
          <w:tcPr>
            <w:tcW w:w="3028" w:type="dxa"/>
            <w:shd w:val="clear" w:color="auto" w:fill="FFFFFF"/>
            <w:noWrap/>
            <w:vAlign w:val="bottom"/>
            <w:hideMark/>
          </w:tcPr>
          <w:p w14:paraId="27D068D6" w14:textId="77777777" w:rsidR="00440CA0" w:rsidRPr="002570C6" w:rsidRDefault="00440CA0" w:rsidP="008E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Digestible Met supply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01529E4E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598FD187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40CA0" w:rsidRPr="002570C6" w14:paraId="4910529A" w14:textId="77777777" w:rsidTr="00440CA0">
        <w:trPr>
          <w:trHeight w:val="317"/>
        </w:trPr>
        <w:tc>
          <w:tcPr>
            <w:tcW w:w="3028" w:type="dxa"/>
            <w:shd w:val="clear" w:color="auto" w:fill="FFFFFF"/>
            <w:noWrap/>
            <w:vAlign w:val="bottom"/>
            <w:hideMark/>
          </w:tcPr>
          <w:p w14:paraId="5782BDD6" w14:textId="77777777" w:rsidR="00440CA0" w:rsidRPr="002570C6" w:rsidRDefault="00440CA0" w:rsidP="008E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Digestible Met balance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4DB991A9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−9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6315CED8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−11</w:t>
            </w:r>
          </w:p>
        </w:tc>
      </w:tr>
      <w:tr w:rsidR="00440CA0" w:rsidRPr="002570C6" w14:paraId="61C4EC04" w14:textId="77777777" w:rsidTr="00440CA0">
        <w:trPr>
          <w:trHeight w:val="317"/>
        </w:trPr>
        <w:tc>
          <w:tcPr>
            <w:tcW w:w="3028" w:type="dxa"/>
            <w:shd w:val="clear" w:color="auto" w:fill="FFFFFF"/>
            <w:noWrap/>
            <w:vAlign w:val="bottom"/>
            <w:hideMark/>
          </w:tcPr>
          <w:p w14:paraId="123DBFF4" w14:textId="77777777" w:rsidR="00440CA0" w:rsidRPr="002570C6" w:rsidRDefault="00440CA0" w:rsidP="008E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Digestible Met from RP-Met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65F9BD98" w14:textId="1AAC27CD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38EB54C6" w14:textId="164E4301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40CA0" w:rsidRPr="002570C6" w14:paraId="7D5979A3" w14:textId="77777777" w:rsidTr="00440CA0">
        <w:trPr>
          <w:trHeight w:hRule="exact" w:val="72"/>
        </w:trPr>
        <w:tc>
          <w:tcPr>
            <w:tcW w:w="3028" w:type="dxa"/>
            <w:shd w:val="clear" w:color="auto" w:fill="FFFFFF"/>
            <w:noWrap/>
            <w:vAlign w:val="bottom"/>
            <w:hideMark/>
          </w:tcPr>
          <w:p w14:paraId="5A9F32E3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28701BB6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6FE3E883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CA0" w:rsidRPr="002570C6" w14:paraId="537B5569" w14:textId="77777777" w:rsidTr="00440CA0">
        <w:trPr>
          <w:trHeight w:val="317"/>
        </w:trPr>
        <w:tc>
          <w:tcPr>
            <w:tcW w:w="3028" w:type="dxa"/>
            <w:shd w:val="clear" w:color="auto" w:fill="FFFFFF"/>
            <w:noWrap/>
            <w:vAlign w:val="bottom"/>
            <w:hideMark/>
          </w:tcPr>
          <w:p w14:paraId="6C9C5CF2" w14:textId="77777777" w:rsidR="00440CA0" w:rsidRPr="002570C6" w:rsidRDefault="00440CA0" w:rsidP="008E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Digestible Lys requirement</w:t>
            </w: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45A69E22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240D5FAF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440CA0" w:rsidRPr="002570C6" w14:paraId="30DF14BD" w14:textId="77777777" w:rsidTr="00440CA0">
        <w:trPr>
          <w:trHeight w:val="317"/>
        </w:trPr>
        <w:tc>
          <w:tcPr>
            <w:tcW w:w="3028" w:type="dxa"/>
            <w:shd w:val="clear" w:color="auto" w:fill="FFFFFF"/>
            <w:noWrap/>
            <w:vAlign w:val="bottom"/>
            <w:hideMark/>
          </w:tcPr>
          <w:p w14:paraId="3D8890D6" w14:textId="77777777" w:rsidR="00440CA0" w:rsidRPr="002570C6" w:rsidRDefault="00440CA0" w:rsidP="008E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Digestible Lys supply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3B29269A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08" w:type="dxa"/>
            <w:shd w:val="clear" w:color="auto" w:fill="FFFFFF"/>
            <w:noWrap/>
            <w:vAlign w:val="bottom"/>
            <w:hideMark/>
          </w:tcPr>
          <w:p w14:paraId="34BAB903" w14:textId="77777777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440CA0" w:rsidRPr="002570C6" w14:paraId="65FD7185" w14:textId="77777777" w:rsidTr="00440CA0">
        <w:trPr>
          <w:trHeight w:val="317"/>
        </w:trPr>
        <w:tc>
          <w:tcPr>
            <w:tcW w:w="3028" w:type="dxa"/>
            <w:tcBorders>
              <w:bottom w:val="nil"/>
            </w:tcBorders>
            <w:shd w:val="clear" w:color="auto" w:fill="FFFFFF"/>
            <w:noWrap/>
            <w:vAlign w:val="bottom"/>
            <w:hideMark/>
          </w:tcPr>
          <w:p w14:paraId="792B5705" w14:textId="77777777" w:rsidR="00440CA0" w:rsidRPr="002570C6" w:rsidRDefault="00440CA0" w:rsidP="008E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Digestible Lys balance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FFFFFF"/>
            <w:noWrap/>
            <w:vAlign w:val="bottom"/>
            <w:hideMark/>
          </w:tcPr>
          <w:p w14:paraId="0EB65C25" w14:textId="1272100D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−1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FFFFFF"/>
            <w:noWrap/>
            <w:vAlign w:val="bottom"/>
            <w:hideMark/>
          </w:tcPr>
          <w:p w14:paraId="04F9BEB4" w14:textId="58EBD5A8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0CA0" w:rsidRPr="002570C6" w14:paraId="5574E2C0" w14:textId="77777777" w:rsidTr="00440CA0">
        <w:trPr>
          <w:trHeight w:val="317"/>
        </w:trPr>
        <w:tc>
          <w:tcPr>
            <w:tcW w:w="3028" w:type="dxa"/>
            <w:tcBorders>
              <w:top w:val="nil"/>
              <w:bottom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46F8DFCC" w14:textId="77777777" w:rsidR="00440CA0" w:rsidRPr="002570C6" w:rsidRDefault="00440CA0" w:rsidP="008E4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Digestible Lys from RP-Lys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54AE5ED6" w14:textId="0876B4EB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nil"/>
              <w:bottom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40792DC1" w14:textId="52EB1B6F" w:rsidR="00440CA0" w:rsidRPr="002570C6" w:rsidRDefault="00440CA0" w:rsidP="008E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02BC7C1" w14:textId="77777777" w:rsidR="00574C7C" w:rsidRPr="002570C6" w:rsidRDefault="00574C7C" w:rsidP="00574C7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70C6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2570C6">
        <w:rPr>
          <w:rFonts w:ascii="Times New Roman" w:eastAsiaTheme="minorHAnsi" w:hAnsi="Times New Roman" w:cs="Times New Roman"/>
          <w:sz w:val="24"/>
          <w:szCs w:val="24"/>
          <w:lang w:eastAsia="en-US"/>
        </w:rPr>
        <w:t>HS = high starch diet, RSPA = reduced starch + palmitic acid-enriched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70C6">
        <w:rPr>
          <w:rFonts w:ascii="Times New Roman" w:eastAsiaTheme="minorHAnsi" w:hAnsi="Times New Roman" w:cs="Times New Roman"/>
          <w:sz w:val="24"/>
          <w:szCs w:val="24"/>
          <w:lang w:eastAsia="en-US"/>
        </w:rPr>
        <w:t>supplement.</w:t>
      </w:r>
    </w:p>
    <w:p w14:paraId="2A9AEF16" w14:textId="77777777" w:rsidR="00574C7C" w:rsidRPr="002570C6" w:rsidRDefault="00574C7C" w:rsidP="00574C7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57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257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 g/d of RP-Met (</w:t>
      </w:r>
      <w:proofErr w:type="spellStart"/>
      <w:r w:rsidRPr="00257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Smartamine</w:t>
      </w:r>
      <w:proofErr w:type="spellEnd"/>
      <w:r w:rsidRPr="00257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® M; </w:t>
      </w:r>
      <w:proofErr w:type="spellStart"/>
      <w:r w:rsidRPr="00257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Adisseo</w:t>
      </w:r>
      <w:proofErr w:type="spellEnd"/>
      <w:r w:rsidRPr="00257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USA Inc.), 9 g/d of RP-Lys (</w:t>
      </w:r>
      <w:proofErr w:type="spellStart"/>
      <w:r w:rsidRPr="00257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AjiPro</w:t>
      </w:r>
      <w:proofErr w:type="spellEnd"/>
      <w:r w:rsidRPr="00257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®-L; Ajinomoto Health &amp; Nutrition North America Inc.), and 15 g/d of RP-His (prototype supplement; Ajinomoto Co. Inc.);</w:t>
      </w:r>
      <w:r w:rsidRPr="002570C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RP-Met, RP-Lys, and RP-His supplements contained 75% DL-Met with 80% bioavailability </w:t>
      </w:r>
      <w:r w:rsidRPr="002570C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begin"/>
      </w:r>
      <w:r w:rsidRPr="002570C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instrText xml:space="preserve"> ADDIN EN.CITE &lt;EndNote&gt;&lt;Cite&gt;&lt;Author&gt;Chirgwin&lt;/Author&gt;&lt;Year&gt;2015&lt;/Year&gt;&lt;RecNum&gt;571&lt;/RecNum&gt;&lt;DisplayText&gt;(Chirgwin et al., 2015)&lt;/DisplayText&gt;&lt;record&gt;&lt;rec-number&gt;571&lt;/rec-number&gt;&lt;foreign-keys&gt;&lt;key app="EN" db-id="e59x0wf5ddf22kezw9r5rpdyvw5dzf290xxa" timestamp="1584558192"&gt;571&lt;/key&gt;&lt;/foreign-keys&gt;&lt;ref-type name="Journal Article"&gt;17&lt;/ref-type&gt;&lt;contributors&gt;&lt;authors&gt;&lt;author&gt;Chirgwin, D L &lt;/author&gt;&lt;author&gt;Whitehouse, Nancy L&lt;/author&gt;&lt;author&gt;Brito, A F&lt;/author&gt;&lt;author&gt;Schwab, C G&lt;/author&gt;&lt;author&gt;Sloan, B K&lt;/author&gt;&lt;/authors&gt;&lt;/contributors&gt;&lt;titles&gt;&lt;title&gt;Evolving the plasma free AA dose-response technique to determine bioavailability of Met in RP-Met supplements&lt;/title&gt;&lt;secondary-title&gt;Journal of dairy science&lt;/secondary-title&gt;&lt;/titles&gt;&lt;periodical&gt;&lt;full-title&gt;Journal of Dairy Science&lt;/full-title&gt;&lt;abbr-1&gt;J. Dairy Sci.&lt;/abbr-1&gt;&lt;/periodical&gt;&lt;pages&gt;144. (Abstr.) &lt;/pages&gt;&lt;volume&gt;98(Suppl. 2)&lt;/volume&gt;&lt;dates&gt;&lt;year&gt;2015&lt;/year&gt;&lt;/dates&gt;&lt;urls&gt;&lt;/urls&gt;&lt;/record&gt;&lt;/Cite&gt;&lt;/EndNote&gt;</w:instrText>
      </w:r>
      <w:r w:rsidRPr="002570C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separate"/>
      </w:r>
      <w:r w:rsidRPr="002570C6">
        <w:rPr>
          <w:rStyle w:val="apple-converted-space"/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(Chirgwin et al., 2015)</w:t>
      </w:r>
      <w:r w:rsidRPr="002570C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end"/>
      </w:r>
      <w:r w:rsidRPr="002570C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40% Lys with 54% bioavailability </w:t>
      </w:r>
      <w:r w:rsidRPr="002570C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begin"/>
      </w:r>
      <w:r w:rsidRPr="002570C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instrText xml:space="preserve"> ADDIN EN.CITE &lt;EndNote&gt;&lt;Cite&gt;&lt;Author&gt;Giallongo&lt;/Author&gt;&lt;Year&gt;2016&lt;/Year&gt;&lt;RecNum&gt;84&lt;/RecNum&gt;&lt;DisplayText&gt;(Giallongo et al., 2016)&lt;/DisplayText&gt;&lt;record&gt;&lt;rec-number&gt;84&lt;/rec-number&gt;&lt;foreign-keys&gt;&lt;key app="EN" db-id="e59x0wf5ddf22kezw9r5rpdyvw5dzf290xxa" timestamp="1521075507"&gt;84&lt;/key&gt;&lt;/foreign-keys&gt;&lt;ref-type name="Journal Article"&gt;17&lt;/ref-type&gt;&lt;contributors&gt;&lt;authors&gt;&lt;author&gt;Giallongo, F&lt;/author&gt;&lt;author&gt;Harper, M T&lt;/author&gt;&lt;author&gt;Oh, J&lt;/author&gt;&lt;author&gt;Lopes, J C&lt;/author&gt;&lt;author&gt;Lapierre, H&lt;/author&gt;&lt;author&gt;Patton, R A&lt;/author&gt;&lt;author&gt;Parys, C&lt;/author&gt;&lt;author&gt;Shinzato, I&lt;/author&gt;&lt;author&gt;Hristov, A N&lt;/author&gt;&lt;/authors&gt;&lt;/contributors&gt;&lt;titles&gt;&lt;title&gt;Effects of rumen-protected methionine, lysine, and histidine on lactation performance of dairy cows&lt;/title&gt;&lt;secondary-title&gt;Journal of dairy science&lt;/secondary-title&gt;&lt;/titles&gt;&lt;periodical&gt;&lt;full-title&gt;Journal of Dairy Science&lt;/full-title&gt;&lt;abbr-1&gt;J. Dairy Sci.&lt;/abbr-1&gt;&lt;/periodical&gt;&lt;pages&gt;4437-4452&lt;/pages&gt;&lt;volume&gt;99&lt;/volume&gt;&lt;number&gt;6&lt;/number&gt;&lt;dates&gt;&lt;year&gt;2016&lt;/year&gt;&lt;/dates&gt;&lt;isbn&gt;0022-0302&lt;/isbn&gt;&lt;urls&gt;&lt;/urls&gt;&lt;electronic-resource-num&gt;https://doi.org/10.3168/jds.2015-10822&lt;/electronic-resource-num&gt;&lt;/record&gt;&lt;/Cite&gt;&lt;/EndNote&gt;</w:instrText>
      </w:r>
      <w:r w:rsidRPr="002570C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separate"/>
      </w:r>
      <w:r w:rsidRPr="002570C6">
        <w:rPr>
          <w:rStyle w:val="apple-converted-space"/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(Giallongo et al., 2016)</w:t>
      </w:r>
      <w:r w:rsidRPr="002570C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end"/>
      </w:r>
      <w:r w:rsidRPr="002570C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 40% His with 49% bioavailability (according to the manufacturer).</w:t>
      </w:r>
    </w:p>
    <w:p w14:paraId="14D2ECC6" w14:textId="2C773B3C" w:rsidR="00574C7C" w:rsidRPr="002570C6" w:rsidRDefault="00574C7C" w:rsidP="00574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3</w:t>
      </w:r>
      <w:r w:rsidRPr="00257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All values were estimated using the NRC (2001) model for a dairy cow averaging 120 </w:t>
      </w:r>
      <w:proofErr w:type="gramStart"/>
      <w:r w:rsidRPr="00257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DIM</w:t>
      </w:r>
      <w:proofErr w:type="gramEnd"/>
      <w:r w:rsidRPr="00257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weighing 700 kg of BW, consuming</w:t>
      </w:r>
      <w:r w:rsidRPr="002570C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26 kg/d of DM, and producing 42 kg/d of milk with 3.5% fat, 3.1% true protein, and 4.98% lactose; </w:t>
      </w:r>
      <w:r w:rsidRPr="0032032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320324">
        <w:rPr>
          <w:rFonts w:ascii="Times New Roman" w:hAnsi="Times New Roman" w:cs="Times New Roman"/>
          <w:sz w:val="24"/>
          <w:szCs w:val="24"/>
        </w:rPr>
        <w:t>nutrient and AA composition of feeds obtained from previous studies done in our laborato</w:t>
      </w:r>
      <w:r w:rsidRPr="002570C6">
        <w:rPr>
          <w:rFonts w:ascii="Times New Roman" w:hAnsi="Times New Roman" w:cs="Times New Roman"/>
          <w:sz w:val="24"/>
          <w:szCs w:val="24"/>
        </w:rPr>
        <w:t>ry were</w:t>
      </w:r>
      <w:r w:rsidR="00440CA0">
        <w:rPr>
          <w:rFonts w:ascii="Times New Roman" w:hAnsi="Times New Roman" w:cs="Times New Roman"/>
          <w:sz w:val="24"/>
          <w:szCs w:val="24"/>
        </w:rPr>
        <w:t xml:space="preserve"> used</w:t>
      </w:r>
      <w:r w:rsidRPr="002570C6">
        <w:rPr>
          <w:rFonts w:ascii="Times New Roman" w:hAnsi="Times New Roman" w:cs="Times New Roman"/>
          <w:sz w:val="24"/>
          <w:szCs w:val="24"/>
        </w:rPr>
        <w:t xml:space="preserve"> in the NRC (2001) software except for the AA profile of grass hay for which the NRC (2001) default values were adopted.</w:t>
      </w:r>
    </w:p>
    <w:p w14:paraId="7AD21841" w14:textId="77777777" w:rsidR="00574C7C" w:rsidRPr="002570C6" w:rsidRDefault="00574C7C" w:rsidP="00574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0C6">
        <w:rPr>
          <w:rFonts w:ascii="Times New Roman" w:hAnsi="Times New Roman" w:cs="Times New Roman"/>
          <w:sz w:val="24"/>
          <w:vertAlign w:val="superscript"/>
        </w:rPr>
        <w:t>4</w:t>
      </w:r>
      <w:r w:rsidRPr="002570C6">
        <w:rPr>
          <w:rFonts w:ascii="Times New Roman" w:hAnsi="Times New Roman" w:cs="Times New Roman"/>
          <w:sz w:val="24"/>
        </w:rPr>
        <w:t xml:space="preserve">Requirements of digestible His, Met, and Lys </w:t>
      </w:r>
      <w:r w:rsidRPr="0040792C">
        <w:rPr>
          <w:rFonts w:ascii="Times New Roman" w:hAnsi="Times New Roman" w:cs="Times New Roman"/>
          <w:sz w:val="24"/>
        </w:rPr>
        <w:t>were calculated as 2.2, 2.2, and 6.6% of MP requirements, respectively (Schwab et al., 2005).</w:t>
      </w:r>
    </w:p>
    <w:p w14:paraId="18D6FB53" w14:textId="77777777" w:rsidR="00440CA0" w:rsidRDefault="00440CA0">
      <w:pPr>
        <w:sectPr w:rsidR="00440CA0" w:rsidSect="00574C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9BE717" w14:textId="0B7368BF" w:rsidR="00384774" w:rsidRPr="00384774" w:rsidRDefault="00384774" w:rsidP="00384774">
      <w:pPr>
        <w:keepNext/>
        <w:keepLines/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38477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lastRenderedPageBreak/>
        <w:t>Supplemental Table S</w:t>
      </w: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3</w:t>
      </w:r>
      <w:r w:rsidRPr="0038477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Nitrogen balance in lactating dairy cows fed low MP diets with different starch concentrations supplemented or not with rumen-protected Met, Lys, and His (RP-MLH</w:t>
      </w:r>
      <w:r w:rsidRPr="0038477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perscript"/>
        </w:rPr>
        <w:t>1</w:t>
      </w:r>
      <w:r w:rsidRPr="0038477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)</w:t>
      </w:r>
    </w:p>
    <w:tbl>
      <w:tblPr>
        <w:tblW w:w="4209" w:type="pct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1305"/>
        <w:gridCol w:w="1304"/>
        <w:gridCol w:w="1304"/>
        <w:gridCol w:w="1316"/>
        <w:gridCol w:w="793"/>
        <w:gridCol w:w="1236"/>
        <w:gridCol w:w="1236"/>
        <w:gridCol w:w="1387"/>
      </w:tblGrid>
      <w:tr w:rsidR="00384774" w:rsidRPr="00384774" w14:paraId="0E8DF4B0" w14:textId="77777777" w:rsidTr="008E4B61">
        <w:trPr>
          <w:trHeight w:val="317"/>
        </w:trPr>
        <w:tc>
          <w:tcPr>
            <w:tcW w:w="924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2EFD15ED" w14:textId="77777777" w:rsidR="00384774" w:rsidRPr="00384774" w:rsidRDefault="00384774" w:rsidP="008E4B6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57" w:type="pct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E3F0442" w14:textId="6CBF10D0" w:rsidR="00384774" w:rsidRPr="00384774" w:rsidRDefault="00384774" w:rsidP="008E4B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847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Diet</w:t>
            </w:r>
            <w:r w:rsidRPr="003847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7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129325AE" w14:textId="77777777" w:rsidR="00384774" w:rsidRPr="00384774" w:rsidRDefault="00384774" w:rsidP="008E4B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3219458D" w14:textId="77777777" w:rsidR="00384774" w:rsidRPr="00384774" w:rsidRDefault="00384774" w:rsidP="008E4B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847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38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  <w:r w:rsidRPr="0038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84774" w:rsidRPr="00384774" w14:paraId="4854A068" w14:textId="77777777" w:rsidTr="008E4B61">
        <w:trPr>
          <w:trHeight w:val="317"/>
        </w:trPr>
        <w:tc>
          <w:tcPr>
            <w:tcW w:w="924" w:type="pct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6F0BBD5" w14:textId="77777777" w:rsidR="00384774" w:rsidRPr="00384774" w:rsidRDefault="00384774" w:rsidP="008E4B6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Item</w:t>
            </w:r>
          </w:p>
        </w:tc>
        <w:tc>
          <w:tcPr>
            <w:tcW w:w="538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62C78E" w14:textId="77777777" w:rsidR="00384774" w:rsidRPr="00384774" w:rsidRDefault="00384774" w:rsidP="008E4B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</w:t>
            </w:r>
          </w:p>
        </w:tc>
        <w:tc>
          <w:tcPr>
            <w:tcW w:w="538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48E38B9" w14:textId="77777777" w:rsidR="00384774" w:rsidRPr="00384774" w:rsidRDefault="00384774" w:rsidP="008E4B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HS+AA</w:t>
            </w:r>
          </w:p>
        </w:tc>
        <w:tc>
          <w:tcPr>
            <w:tcW w:w="538" w:type="pct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1F22FC82" w14:textId="77777777" w:rsidR="00384774" w:rsidRPr="00384774" w:rsidRDefault="00384774" w:rsidP="008E4B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8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RSPA</w:t>
            </w:r>
          </w:p>
        </w:tc>
        <w:tc>
          <w:tcPr>
            <w:tcW w:w="543" w:type="pct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1C3DBEE7" w14:textId="77777777" w:rsidR="00384774" w:rsidRPr="00384774" w:rsidRDefault="00384774" w:rsidP="008E4B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8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RSPA+AA</w:t>
            </w:r>
          </w:p>
        </w:tc>
        <w:tc>
          <w:tcPr>
            <w:tcW w:w="327" w:type="pct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7D155D3" w14:textId="77777777" w:rsidR="00384774" w:rsidRPr="00384774" w:rsidRDefault="00384774" w:rsidP="008E4B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7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SEM</w:t>
            </w:r>
          </w:p>
        </w:tc>
        <w:tc>
          <w:tcPr>
            <w:tcW w:w="51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4D63215" w14:textId="77777777" w:rsidR="00384774" w:rsidRPr="00384774" w:rsidRDefault="00384774" w:rsidP="008E4B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51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4C0C79" w14:textId="77777777" w:rsidR="00384774" w:rsidRPr="00384774" w:rsidRDefault="00384774" w:rsidP="008E4B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MLH</w:t>
            </w:r>
          </w:p>
        </w:tc>
        <w:tc>
          <w:tcPr>
            <w:tcW w:w="57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8874452" w14:textId="77777777" w:rsidR="00384774" w:rsidRPr="00384774" w:rsidRDefault="00384774" w:rsidP="008E4B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 × MLH</w:t>
            </w:r>
          </w:p>
        </w:tc>
      </w:tr>
      <w:tr w:rsidR="00384774" w:rsidRPr="00384774" w14:paraId="53E81116" w14:textId="77777777" w:rsidTr="008E4B61">
        <w:trPr>
          <w:trHeight w:val="317"/>
        </w:trPr>
        <w:tc>
          <w:tcPr>
            <w:tcW w:w="924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719A8C78" w14:textId="77777777" w:rsidR="00384774" w:rsidRPr="00384774" w:rsidRDefault="00384774" w:rsidP="003847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intake, g/d</w:t>
            </w:r>
          </w:p>
        </w:tc>
        <w:tc>
          <w:tcPr>
            <w:tcW w:w="538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510BDDDD" w14:textId="74D82C35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538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4F4B544E" w14:textId="359FCB4E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" w:type="pct"/>
            <w:tcBorders>
              <w:left w:val="nil"/>
              <w:right w:val="nil"/>
            </w:tcBorders>
            <w:vAlign w:val="center"/>
          </w:tcPr>
          <w:p w14:paraId="17EE1931" w14:textId="20AC6B10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43" w:type="pct"/>
            <w:tcBorders>
              <w:left w:val="nil"/>
              <w:right w:val="nil"/>
            </w:tcBorders>
            <w:vAlign w:val="center"/>
          </w:tcPr>
          <w:p w14:paraId="24493303" w14:textId="78C7F117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2736B523" w14:textId="1F6FDF77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78CFB848" w14:textId="2495142E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53DDA7AD" w14:textId="0F2B4842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572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79768C0F" w14:textId="6392A348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384774" w:rsidRPr="00384774" w14:paraId="15ADBA6C" w14:textId="77777777" w:rsidTr="008E4B61">
        <w:trPr>
          <w:trHeight w:val="317"/>
        </w:trPr>
        <w:tc>
          <w:tcPr>
            <w:tcW w:w="924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08E459BA" w14:textId="77777777" w:rsidR="00384774" w:rsidRPr="00384774" w:rsidRDefault="00384774" w:rsidP="003847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 N, g/d</w:t>
            </w:r>
          </w:p>
        </w:tc>
        <w:tc>
          <w:tcPr>
            <w:tcW w:w="538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3B52FB27" w14:textId="06DDE77D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38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7979E50D" w14:textId="2F62DA45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38" w:type="pct"/>
            <w:tcBorders>
              <w:left w:val="nil"/>
              <w:right w:val="nil"/>
            </w:tcBorders>
            <w:vAlign w:val="center"/>
          </w:tcPr>
          <w:p w14:paraId="5455146A" w14:textId="36BEAD50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43" w:type="pct"/>
            <w:tcBorders>
              <w:left w:val="nil"/>
              <w:right w:val="nil"/>
            </w:tcBorders>
            <w:vAlign w:val="center"/>
          </w:tcPr>
          <w:p w14:paraId="5EFD078A" w14:textId="73D02BF9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2C171B97" w14:textId="23D4E24E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0D8A3D43" w14:textId="7DD039B0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0B5CD8CF" w14:textId="57B6947B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572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03F629C9" w14:textId="30535C46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384774" w:rsidRPr="00384774" w14:paraId="4360F370" w14:textId="77777777" w:rsidTr="008E4B61">
        <w:trPr>
          <w:trHeight w:val="317"/>
        </w:trPr>
        <w:tc>
          <w:tcPr>
            <w:tcW w:w="924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44D56FC4" w14:textId="77777777" w:rsidR="00384774" w:rsidRPr="00384774" w:rsidRDefault="00384774" w:rsidP="003847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 N, g/d</w:t>
            </w:r>
          </w:p>
        </w:tc>
        <w:tc>
          <w:tcPr>
            <w:tcW w:w="538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4B2D8453" w14:textId="0981E3C0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38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2C3A40FD" w14:textId="5B833DA9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38" w:type="pct"/>
            <w:tcBorders>
              <w:left w:val="nil"/>
              <w:right w:val="nil"/>
            </w:tcBorders>
            <w:vAlign w:val="center"/>
          </w:tcPr>
          <w:p w14:paraId="51DC05C5" w14:textId="66764DC8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543" w:type="pct"/>
            <w:tcBorders>
              <w:left w:val="nil"/>
              <w:right w:val="nil"/>
            </w:tcBorders>
            <w:vAlign w:val="center"/>
          </w:tcPr>
          <w:p w14:paraId="00D64AEF" w14:textId="156F8C74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380569AC" w14:textId="0FF2E2A2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42B3C3D3" w14:textId="6A0C225B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056C60E1" w14:textId="7D99D064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572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29CD4871" w14:textId="74D7B3E1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384774" w:rsidRPr="00384774" w14:paraId="0DF0DADB" w14:textId="77777777" w:rsidTr="00384774">
        <w:trPr>
          <w:trHeight w:val="317"/>
        </w:trPr>
        <w:tc>
          <w:tcPr>
            <w:tcW w:w="924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7967E81A" w14:textId="77777777" w:rsidR="00384774" w:rsidRPr="00384774" w:rsidRDefault="00384774" w:rsidP="003847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Fecal N, g/d</w:t>
            </w:r>
          </w:p>
        </w:tc>
        <w:tc>
          <w:tcPr>
            <w:tcW w:w="538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2240142D" w14:textId="71FBAAB5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38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0F52B707" w14:textId="0EE960C9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38" w:type="pct"/>
            <w:tcBorders>
              <w:left w:val="nil"/>
              <w:right w:val="nil"/>
            </w:tcBorders>
            <w:vAlign w:val="center"/>
          </w:tcPr>
          <w:p w14:paraId="73442F41" w14:textId="76E51912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43" w:type="pct"/>
            <w:tcBorders>
              <w:left w:val="nil"/>
              <w:right w:val="nil"/>
            </w:tcBorders>
            <w:vAlign w:val="center"/>
          </w:tcPr>
          <w:p w14:paraId="19D5B4CC" w14:textId="6908F0E8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27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3685A40B" w14:textId="33DA29D1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7.27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3FF2FABC" w14:textId="61C31371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6789D5BC" w14:textId="54D33025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572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2DD98C87" w14:textId="030A3A0B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384774" w:rsidRPr="00384774" w14:paraId="236412A7" w14:textId="77777777" w:rsidTr="00384774">
        <w:trPr>
          <w:trHeight w:val="317"/>
        </w:trPr>
        <w:tc>
          <w:tcPr>
            <w:tcW w:w="9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6C08C5CB" w14:textId="77777777" w:rsidR="00384774" w:rsidRPr="00384774" w:rsidRDefault="00384774" w:rsidP="0038477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Retained N,</w:t>
            </w:r>
            <w:r w:rsidRPr="0038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84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g/d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2798EC77" w14:textId="78F4E6A2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30B4647A" w14:textId="753B0ECA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40.6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7F6E98" w14:textId="6640C46B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4.89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AC281A2" w14:textId="5A649AD4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10.8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32F3D11C" w14:textId="42CD21F5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4EA9EDEC" w14:textId="5B538521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0.001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68194CE6" w14:textId="3152771B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20" w:type="dxa"/>
              <w:bottom w:w="0" w:type="dxa"/>
              <w:right w:w="120" w:type="dxa"/>
            </w:tcMar>
            <w:vAlign w:val="center"/>
          </w:tcPr>
          <w:p w14:paraId="2DA80F6A" w14:textId="55A80012" w:rsidR="00384774" w:rsidRPr="00384774" w:rsidRDefault="00384774" w:rsidP="003847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</w:tbl>
    <w:p w14:paraId="3BE964B4" w14:textId="77777777" w:rsidR="00384774" w:rsidRPr="00384774" w:rsidRDefault="00384774" w:rsidP="0038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77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84774">
        <w:rPr>
          <w:rFonts w:ascii="Times New Roman" w:hAnsi="Times New Roman" w:cs="Times New Roman"/>
          <w:sz w:val="24"/>
          <w:szCs w:val="24"/>
        </w:rPr>
        <w:t>RP-MLH = 12 g/d of RP-Met (</w:t>
      </w:r>
      <w:proofErr w:type="spellStart"/>
      <w:r w:rsidRPr="00384774">
        <w:rPr>
          <w:rFonts w:ascii="Times New Roman" w:hAnsi="Times New Roman" w:cs="Times New Roman"/>
          <w:sz w:val="24"/>
          <w:szCs w:val="24"/>
        </w:rPr>
        <w:t>Smartamine</w:t>
      </w:r>
      <w:proofErr w:type="spellEnd"/>
      <w:r w:rsidRPr="00384774">
        <w:rPr>
          <w:rFonts w:ascii="Times New Roman" w:hAnsi="Times New Roman" w:cs="Times New Roman"/>
          <w:sz w:val="24"/>
          <w:szCs w:val="24"/>
        </w:rPr>
        <w:t xml:space="preserve">® M; </w:t>
      </w:r>
      <w:proofErr w:type="spellStart"/>
      <w:r w:rsidRPr="00384774">
        <w:rPr>
          <w:rFonts w:ascii="Times New Roman" w:hAnsi="Times New Roman" w:cs="Times New Roman"/>
          <w:sz w:val="24"/>
          <w:szCs w:val="24"/>
        </w:rPr>
        <w:t>Adisseo</w:t>
      </w:r>
      <w:proofErr w:type="spellEnd"/>
      <w:r w:rsidRPr="00384774">
        <w:rPr>
          <w:rFonts w:ascii="Times New Roman" w:hAnsi="Times New Roman" w:cs="Times New Roman"/>
          <w:sz w:val="24"/>
          <w:szCs w:val="24"/>
        </w:rPr>
        <w:t xml:space="preserve"> USA Inc.), 9 g/d of RP-Lys (</w:t>
      </w:r>
      <w:proofErr w:type="spellStart"/>
      <w:r w:rsidRPr="00384774">
        <w:rPr>
          <w:rFonts w:ascii="Times New Roman" w:hAnsi="Times New Roman" w:cs="Times New Roman"/>
          <w:sz w:val="24"/>
          <w:szCs w:val="24"/>
        </w:rPr>
        <w:t>AjiPro</w:t>
      </w:r>
      <w:proofErr w:type="spellEnd"/>
      <w:r w:rsidRPr="00384774">
        <w:rPr>
          <w:rFonts w:ascii="Times New Roman" w:hAnsi="Times New Roman" w:cs="Times New Roman"/>
          <w:sz w:val="24"/>
          <w:szCs w:val="24"/>
        </w:rPr>
        <w:t>®-L; Ajinomoto Health &amp; Nutrition North America Inc.), and 15 g/d of RP-His (prototype supplement;</w:t>
      </w:r>
      <w:r w:rsidRPr="00384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4774">
        <w:rPr>
          <w:rFonts w:ascii="Times New Roman" w:hAnsi="Times New Roman" w:cs="Times New Roman"/>
          <w:sz w:val="24"/>
          <w:szCs w:val="24"/>
        </w:rPr>
        <w:t>Ajinomoto Co. Inc.).</w:t>
      </w:r>
    </w:p>
    <w:p w14:paraId="03C92789" w14:textId="77777777" w:rsidR="00384774" w:rsidRPr="00384774" w:rsidRDefault="00384774" w:rsidP="0038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77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4774">
        <w:rPr>
          <w:rFonts w:ascii="Times New Roman" w:hAnsi="Times New Roman" w:cs="Times New Roman"/>
          <w:sz w:val="24"/>
          <w:szCs w:val="24"/>
        </w:rPr>
        <w:t xml:space="preserve">HS = high starch; HS+AA = HS + RP-MLH; RSPA = reduced starch + palmitic acid-enriched supplement; and RSPA+AA = reduced starch + palmitic acid-enriched supplement + RP-MLH; </w:t>
      </w:r>
      <w:proofErr w:type="spellStart"/>
      <w:r w:rsidRPr="00384774">
        <w:rPr>
          <w:rFonts w:ascii="Times New Roman" w:hAnsi="Times New Roman" w:cs="Times New Roman"/>
          <w:sz w:val="24"/>
          <w:szCs w:val="24"/>
        </w:rPr>
        <w:t>BergaFat</w:t>
      </w:r>
      <w:proofErr w:type="spellEnd"/>
      <w:r w:rsidRPr="00384774">
        <w:rPr>
          <w:rFonts w:ascii="Times New Roman" w:hAnsi="Times New Roman" w:cs="Times New Roman"/>
          <w:sz w:val="24"/>
          <w:szCs w:val="24"/>
        </w:rPr>
        <w:t xml:space="preserve"> F100 (</w:t>
      </w:r>
      <w:proofErr w:type="spellStart"/>
      <w:r w:rsidRPr="00384774">
        <w:rPr>
          <w:rFonts w:ascii="Times New Roman" w:hAnsi="Times New Roman" w:cs="Times New Roman"/>
          <w:sz w:val="24"/>
          <w:szCs w:val="24"/>
        </w:rPr>
        <w:t>Berg+Schmidt</w:t>
      </w:r>
      <w:proofErr w:type="spellEnd"/>
      <w:r w:rsidRPr="00384774">
        <w:rPr>
          <w:rFonts w:ascii="Times New Roman" w:hAnsi="Times New Roman" w:cs="Times New Roman"/>
          <w:sz w:val="24"/>
          <w:szCs w:val="24"/>
        </w:rPr>
        <w:t xml:space="preserve"> America LLC), which is a </w:t>
      </w:r>
      <w:proofErr w:type="spellStart"/>
      <w:r w:rsidRPr="00384774">
        <w:rPr>
          <w:rFonts w:ascii="Times New Roman" w:hAnsi="Times New Roman" w:cs="Times New Roman"/>
          <w:sz w:val="24"/>
          <w:szCs w:val="24"/>
        </w:rPr>
        <w:t>ruminally</w:t>
      </w:r>
      <w:proofErr w:type="spellEnd"/>
      <w:r w:rsidRPr="00384774">
        <w:rPr>
          <w:rFonts w:ascii="Times New Roman" w:hAnsi="Times New Roman" w:cs="Times New Roman"/>
          <w:sz w:val="24"/>
          <w:szCs w:val="24"/>
        </w:rPr>
        <w:t xml:space="preserve"> stable lipid supplement containing 80% palmitic acid was fed at 1.5% of the diet DM.  </w:t>
      </w:r>
    </w:p>
    <w:p w14:paraId="56FE5396" w14:textId="77777777" w:rsidR="00384774" w:rsidRPr="00384774" w:rsidRDefault="00384774" w:rsidP="0038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7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84774">
        <w:rPr>
          <w:rFonts w:ascii="Times New Roman" w:hAnsi="Times New Roman" w:cs="Times New Roman"/>
          <w:sz w:val="24"/>
          <w:szCs w:val="24"/>
        </w:rPr>
        <w:t xml:space="preserve">SC = main effect of dietary starch concentration, MLH = main effect of RP-MLH supplementation, and SC × MLH = interaction between dietary starch concentration and RP-MLH supplementation. </w:t>
      </w:r>
    </w:p>
    <w:p w14:paraId="75D990C2" w14:textId="77777777" w:rsidR="00384774" w:rsidRPr="008D4ED0" w:rsidRDefault="00384774" w:rsidP="0038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77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84774">
        <w:rPr>
          <w:rFonts w:ascii="Times New Roman" w:hAnsi="Times New Roman" w:cs="Times New Roman"/>
          <w:sz w:val="24"/>
          <w:szCs w:val="24"/>
        </w:rPr>
        <w:t>Retained N = N intake – (milk N + urinary N + fecal N).</w:t>
      </w:r>
    </w:p>
    <w:p w14:paraId="0101545F" w14:textId="487DB008" w:rsidR="00574C7C" w:rsidRDefault="00574C7C"/>
    <w:sectPr w:rsidR="00574C7C" w:rsidSect="003847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C71F" w14:textId="77777777" w:rsidR="00117604" w:rsidRDefault="00117604" w:rsidP="00B3734D">
      <w:pPr>
        <w:spacing w:after="0" w:line="240" w:lineRule="auto"/>
      </w:pPr>
      <w:r>
        <w:separator/>
      </w:r>
    </w:p>
  </w:endnote>
  <w:endnote w:type="continuationSeparator" w:id="0">
    <w:p w14:paraId="06EB3B43" w14:textId="77777777" w:rsidR="00117604" w:rsidRDefault="00117604" w:rsidP="00B3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35A5" w14:textId="77777777" w:rsidR="00117604" w:rsidRDefault="00117604" w:rsidP="00B3734D">
      <w:pPr>
        <w:spacing w:after="0" w:line="240" w:lineRule="auto"/>
      </w:pPr>
      <w:r>
        <w:separator/>
      </w:r>
    </w:p>
  </w:footnote>
  <w:footnote w:type="continuationSeparator" w:id="0">
    <w:p w14:paraId="12A16070" w14:textId="77777777" w:rsidR="00117604" w:rsidRDefault="00117604" w:rsidP="00B37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93"/>
    <w:rsid w:val="00117604"/>
    <w:rsid w:val="00176293"/>
    <w:rsid w:val="00384774"/>
    <w:rsid w:val="00440CA0"/>
    <w:rsid w:val="00574C7C"/>
    <w:rsid w:val="00B3734D"/>
    <w:rsid w:val="00B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A3811"/>
  <w15:chartTrackingRefBased/>
  <w15:docId w15:val="{C4218990-72BD-48A0-BFC7-F86F1B03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3734D"/>
  </w:style>
  <w:style w:type="paragraph" w:styleId="a5">
    <w:name w:val="footer"/>
    <w:basedOn w:val="a"/>
    <w:link w:val="a6"/>
    <w:uiPriority w:val="99"/>
    <w:unhideWhenUsed/>
    <w:rsid w:val="00B3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3734D"/>
  </w:style>
  <w:style w:type="character" w:customStyle="1" w:styleId="apple-converted-space">
    <w:name w:val="apple-converted-space"/>
    <w:basedOn w:val="a0"/>
    <w:rsid w:val="0057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Zang</dc:creator>
  <cp:keywords/>
  <dc:description/>
  <cp:lastModifiedBy>Yu Zang</cp:lastModifiedBy>
  <cp:revision>2</cp:revision>
  <dcterms:created xsi:type="dcterms:W3CDTF">2023-03-31T02:16:00Z</dcterms:created>
  <dcterms:modified xsi:type="dcterms:W3CDTF">2023-03-31T02:51:00Z</dcterms:modified>
</cp:coreProperties>
</file>