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header3.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media/image3.jpeg" ContentType="image/jpeg"/>
  <Override PartName="/word/media/image1.png" ContentType="image/png"/>
  <Override PartName="/word/media/image2.png" ContentType="image/png"/>
  <Override PartName="/word/header2.xml" ContentType="application/vnd.openxmlformats-officedocument.wordprocessingml.head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upplementaryMaterial"/>
        <w:spacing w:before="240" w:after="120"/>
        <w:rPr>
          <w:b w:val="false"/>
          <w:b w:val="false"/>
        </w:rPr>
      </w:pPr>
      <w:bookmarkStart w:id="0" w:name="_GoBack"/>
      <w:bookmarkEnd w:id="0"/>
      <w:r>
        <w:rPr/>
        <w:t>Supplementary Material</w:t>
      </w:r>
    </w:p>
    <w:p>
      <w:pPr>
        <w:pStyle w:val="Ttulo1"/>
        <w:numPr>
          <w:ilvl w:val="0"/>
          <w:numId w:val="2"/>
        </w:numPr>
        <w:rPr/>
      </w:pPr>
      <w:r>
        <w:rPr/>
        <w:t>Supplementary Tables</w:t>
      </w:r>
    </w:p>
    <w:p>
      <w:pPr>
        <w:pStyle w:val="Normal"/>
        <w:rPr>
          <w:rFonts w:cs="Times New Roman"/>
          <w:szCs w:val="24"/>
          <w:u w:val="single"/>
        </w:rPr>
      </w:pPr>
      <w:r>
        <w:rPr>
          <w:rFonts w:cs="Times New Roman"/>
          <w:szCs w:val="24"/>
          <w:u w:val="single"/>
        </w:rPr>
      </w:r>
    </w:p>
    <w:p>
      <w:pPr>
        <w:pStyle w:val="Normal"/>
        <w:spacing w:lineRule="auto" w:line="240" w:before="0" w:after="120"/>
        <w:jc w:val="both"/>
        <w:rPr/>
      </w:pPr>
      <w:r>
        <w:rPr>
          <w:rFonts w:cs="Calibri" w:cstheme="minorHAnsi"/>
          <w:b/>
          <w:sz w:val="24"/>
          <w:szCs w:val="24"/>
          <w:lang w:val="en-US"/>
        </w:rPr>
        <w:t>Supplementary Table 1</w:t>
      </w:r>
    </w:p>
    <w:p>
      <w:pPr>
        <w:pStyle w:val="Normal"/>
        <w:spacing w:lineRule="auto" w:line="240" w:before="0" w:after="120"/>
        <w:jc w:val="both"/>
        <w:rPr/>
      </w:pPr>
      <w:r>
        <w:rPr>
          <w:rFonts w:cs="Calibri" w:cstheme="minorHAnsi"/>
          <w:bCs/>
          <w:sz w:val="24"/>
          <w:szCs w:val="24"/>
          <w:lang w:val="en-GB"/>
        </w:rPr>
        <w:t xml:space="preserve">Environmental data registered at the time of animal collection in West Antarctic Peninsula (WAP) and Southern South America (SSA): depth, bottom salinity and temperature, total organic carbon (TOC) and total sulphur (TS) of sediment, and TOC: TS ratio. </w:t>
      </w:r>
    </w:p>
    <w:tbl>
      <w:tblPr>
        <w:tblW w:w="8505" w:type="dxa"/>
        <w:jc w:val="left"/>
        <w:tblInd w:w="0" w:type="dxa"/>
        <w:tblBorders>
          <w:top w:val="single" w:sz="4" w:space="0" w:color="000000"/>
          <w:bottom w:val="single" w:sz="4" w:space="0" w:color="000000"/>
          <w:insideH w:val="single" w:sz="4" w:space="0" w:color="000000"/>
        </w:tblBorders>
        <w:tblCellMar>
          <w:top w:w="0" w:type="dxa"/>
          <w:left w:w="108" w:type="dxa"/>
          <w:bottom w:w="0" w:type="dxa"/>
          <w:right w:w="108" w:type="dxa"/>
        </w:tblCellMar>
        <w:tblLook w:noVBand="1" w:val="04a0" w:noHBand="0" w:lastColumn="0" w:firstColumn="1" w:lastRow="0" w:firstRow="1"/>
      </w:tblPr>
      <w:tblGrid>
        <w:gridCol w:w="793"/>
        <w:gridCol w:w="1249"/>
        <w:gridCol w:w="1018"/>
        <w:gridCol w:w="1933"/>
        <w:gridCol w:w="1250"/>
        <w:gridCol w:w="1132"/>
        <w:gridCol w:w="1129"/>
      </w:tblGrid>
      <w:tr>
        <w:trPr>
          <w:trHeight w:val="445" w:hRule="atLeast"/>
        </w:trPr>
        <w:tc>
          <w:tcPr>
            <w:tcW w:w="793"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0" w:after="120"/>
              <w:rPr>
                <w:rFonts w:ascii="Times New Roman" w:hAnsi="Times New Roman"/>
                <w:sz w:val="24"/>
                <w:szCs w:val="24"/>
                <w:lang w:val="en-GB"/>
              </w:rPr>
            </w:pPr>
            <w:r>
              <w:rPr>
                <w:sz w:val="24"/>
                <w:szCs w:val="24"/>
                <w:lang w:val="en-GB"/>
              </w:rPr>
            </w:r>
          </w:p>
        </w:tc>
        <w:tc>
          <w:tcPr>
            <w:tcW w:w="124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0" w:after="120"/>
              <w:rPr>
                <w:rFonts w:ascii="Times New Roman" w:hAnsi="Times New Roman" w:cs="Calibri"/>
                <w:color w:val="000000"/>
                <w:sz w:val="24"/>
                <w:szCs w:val="24"/>
                <w:lang w:val="en-GB"/>
              </w:rPr>
            </w:pPr>
            <w:r>
              <w:rPr>
                <w:rFonts w:cs="Calibri"/>
                <w:color w:val="000000"/>
                <w:sz w:val="24"/>
                <w:szCs w:val="24"/>
                <w:lang w:val="en-GB"/>
              </w:rPr>
              <w:t xml:space="preserve">Depth (m) </w:t>
            </w:r>
          </w:p>
        </w:tc>
        <w:tc>
          <w:tcPr>
            <w:tcW w:w="1018"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0" w:after="120"/>
              <w:rPr>
                <w:rFonts w:ascii="Times New Roman" w:hAnsi="Times New Roman" w:cs="Calibri"/>
                <w:color w:val="000000"/>
                <w:sz w:val="24"/>
                <w:szCs w:val="24"/>
                <w:lang w:val="en-GB"/>
              </w:rPr>
            </w:pPr>
            <w:r>
              <w:rPr>
                <w:rFonts w:cs="Calibri"/>
                <w:color w:val="000000"/>
                <w:sz w:val="24"/>
                <w:szCs w:val="24"/>
                <w:lang w:val="en-GB"/>
              </w:rPr>
              <w:t xml:space="preserve">Salinity </w:t>
            </w:r>
          </w:p>
        </w:tc>
        <w:tc>
          <w:tcPr>
            <w:tcW w:w="1933"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0" w:after="120"/>
              <w:rPr/>
            </w:pPr>
            <w:r>
              <w:rPr>
                <w:rFonts w:cs="Calibri"/>
                <w:color w:val="000000"/>
                <w:sz w:val="24"/>
                <w:szCs w:val="24"/>
                <w:lang w:val="en-GB"/>
              </w:rPr>
              <w:t>Temperature (</w:t>
            </w:r>
            <w:r>
              <w:rPr>
                <w:rStyle w:val="WWDefaultParagraphFont"/>
                <w:rFonts w:eastAsia="AdvTTe6aaaab8" w:cs="Calibri" w:cstheme="minorHAnsi"/>
                <w:color w:val="000000"/>
                <w:sz w:val="24"/>
                <w:szCs w:val="24"/>
                <w:lang w:val="en-GB"/>
              </w:rPr>
              <w:t>°C)</w:t>
            </w:r>
          </w:p>
        </w:tc>
        <w:tc>
          <w:tcPr>
            <w:tcW w:w="1250"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0" w:after="120"/>
              <w:rPr>
                <w:rFonts w:ascii="Times New Roman" w:hAnsi="Times New Roman" w:cs="Calibri"/>
                <w:color w:val="000000"/>
                <w:sz w:val="24"/>
                <w:szCs w:val="24"/>
                <w:lang w:val="en-GB"/>
              </w:rPr>
            </w:pPr>
            <w:r>
              <w:rPr>
                <w:rFonts w:cs="Calibri"/>
                <w:color w:val="000000"/>
                <w:sz w:val="24"/>
                <w:szCs w:val="24"/>
                <w:lang w:val="en-GB"/>
              </w:rPr>
              <w:t>TOC (%)</w:t>
            </w:r>
          </w:p>
        </w:tc>
        <w:tc>
          <w:tcPr>
            <w:tcW w:w="113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0" w:after="120"/>
              <w:rPr>
                <w:rFonts w:ascii="Times New Roman" w:hAnsi="Times New Roman" w:cs="Calibri"/>
                <w:color w:val="000000"/>
                <w:sz w:val="24"/>
                <w:szCs w:val="24"/>
                <w:lang w:val="en-GB"/>
              </w:rPr>
            </w:pPr>
            <w:r>
              <w:rPr>
                <w:rFonts w:cs="Calibri"/>
                <w:color w:val="000000"/>
                <w:sz w:val="24"/>
                <w:szCs w:val="24"/>
                <w:lang w:val="en-GB"/>
              </w:rPr>
              <w:t>TS (%)</w:t>
            </w:r>
          </w:p>
        </w:tc>
        <w:tc>
          <w:tcPr>
            <w:tcW w:w="112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0" w:after="120"/>
              <w:rPr>
                <w:rFonts w:ascii="Times New Roman" w:hAnsi="Times New Roman" w:cs="Calibri"/>
                <w:color w:val="000000"/>
                <w:sz w:val="24"/>
                <w:szCs w:val="24"/>
                <w:lang w:val="en-GB"/>
              </w:rPr>
            </w:pPr>
            <w:r>
              <w:rPr>
                <w:rFonts w:cs="Calibri"/>
                <w:color w:val="000000"/>
                <w:sz w:val="24"/>
                <w:szCs w:val="24"/>
                <w:lang w:val="en-GB"/>
              </w:rPr>
              <w:t>TOC: TS</w:t>
            </w:r>
          </w:p>
        </w:tc>
      </w:tr>
      <w:tr>
        <w:trPr>
          <w:trHeight w:val="445" w:hRule="atLeast"/>
        </w:trPr>
        <w:tc>
          <w:tcPr>
            <w:tcW w:w="793"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0" w:after="120"/>
              <w:rPr>
                <w:rFonts w:ascii="Times New Roman" w:hAnsi="Times New Roman" w:cs="Calibri"/>
                <w:color w:val="000000"/>
                <w:sz w:val="24"/>
                <w:szCs w:val="24"/>
                <w:lang w:val="en-GB"/>
              </w:rPr>
            </w:pPr>
            <w:r>
              <w:rPr>
                <w:rFonts w:cs="Calibri"/>
                <w:color w:val="000000"/>
                <w:sz w:val="24"/>
                <w:szCs w:val="24"/>
                <w:lang w:val="en-GB"/>
              </w:rPr>
              <w:t>WAP</w:t>
            </w:r>
          </w:p>
        </w:tc>
        <w:tc>
          <w:tcPr>
            <w:tcW w:w="124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0" w:after="120"/>
              <w:rPr>
                <w:rFonts w:ascii="Times New Roman" w:hAnsi="Times New Roman" w:cs="Calibri"/>
                <w:color w:val="000000"/>
                <w:sz w:val="24"/>
                <w:szCs w:val="24"/>
                <w:lang w:val="en-GB"/>
              </w:rPr>
            </w:pPr>
            <w:r>
              <w:rPr>
                <w:rFonts w:cs="Calibri"/>
                <w:color w:val="000000"/>
                <w:sz w:val="24"/>
                <w:szCs w:val="24"/>
                <w:lang w:val="en-GB"/>
              </w:rPr>
              <w:t>5.88</w:t>
            </w:r>
          </w:p>
        </w:tc>
        <w:tc>
          <w:tcPr>
            <w:tcW w:w="1018"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0" w:after="120"/>
              <w:rPr>
                <w:rFonts w:ascii="Times New Roman" w:hAnsi="Times New Roman" w:cs="Calibri"/>
                <w:color w:val="000000"/>
                <w:sz w:val="24"/>
                <w:szCs w:val="24"/>
                <w:lang w:val="en-GB"/>
              </w:rPr>
            </w:pPr>
            <w:r>
              <w:rPr>
                <w:rFonts w:cs="Calibri"/>
                <w:color w:val="000000"/>
                <w:sz w:val="24"/>
                <w:szCs w:val="24"/>
                <w:lang w:val="en-GB"/>
              </w:rPr>
              <w:t>33.80</w:t>
            </w:r>
          </w:p>
        </w:tc>
        <w:tc>
          <w:tcPr>
            <w:tcW w:w="1933"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0" w:after="120"/>
              <w:rPr>
                <w:rFonts w:ascii="Times New Roman" w:hAnsi="Times New Roman" w:cs="Calibri"/>
                <w:color w:val="000000"/>
                <w:sz w:val="24"/>
                <w:szCs w:val="24"/>
                <w:lang w:val="en-GB"/>
              </w:rPr>
            </w:pPr>
            <w:r>
              <w:rPr>
                <w:rFonts w:cs="Calibri"/>
                <w:color w:val="000000"/>
                <w:sz w:val="24"/>
                <w:szCs w:val="24"/>
                <w:lang w:val="en-GB"/>
              </w:rPr>
              <w:t>1.67</w:t>
            </w:r>
          </w:p>
        </w:tc>
        <w:tc>
          <w:tcPr>
            <w:tcW w:w="1250"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0" w:after="120"/>
              <w:rPr>
                <w:rFonts w:ascii="Times New Roman" w:hAnsi="Times New Roman" w:cs="Calibri"/>
                <w:color w:val="000000"/>
                <w:sz w:val="24"/>
                <w:szCs w:val="24"/>
                <w:lang w:val="en-GB"/>
              </w:rPr>
            </w:pPr>
            <w:r>
              <w:rPr>
                <w:rFonts w:cs="Calibri"/>
                <w:color w:val="000000"/>
                <w:sz w:val="24"/>
                <w:szCs w:val="24"/>
                <w:lang w:val="en-GB"/>
              </w:rPr>
              <w:t>0.79</w:t>
            </w:r>
          </w:p>
        </w:tc>
        <w:tc>
          <w:tcPr>
            <w:tcW w:w="113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0" w:after="120"/>
              <w:rPr>
                <w:rFonts w:ascii="Times New Roman" w:hAnsi="Times New Roman" w:cs="Calibri"/>
                <w:color w:val="000000"/>
                <w:sz w:val="24"/>
                <w:szCs w:val="24"/>
                <w:lang w:val="en-GB"/>
              </w:rPr>
            </w:pPr>
            <w:r>
              <w:rPr>
                <w:rFonts w:cs="Calibri"/>
                <w:color w:val="000000"/>
                <w:sz w:val="24"/>
                <w:szCs w:val="24"/>
                <w:lang w:val="en-GB"/>
              </w:rPr>
              <w:t>0.25</w:t>
            </w:r>
          </w:p>
        </w:tc>
        <w:tc>
          <w:tcPr>
            <w:tcW w:w="112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0" w:after="120"/>
              <w:rPr>
                <w:rFonts w:ascii="Times New Roman" w:hAnsi="Times New Roman" w:cs="Calibri"/>
                <w:color w:val="000000"/>
                <w:sz w:val="24"/>
                <w:szCs w:val="24"/>
                <w:lang w:val="en-GB"/>
              </w:rPr>
            </w:pPr>
            <w:r>
              <w:rPr>
                <w:rFonts w:cs="Calibri"/>
                <w:color w:val="000000"/>
                <w:sz w:val="24"/>
                <w:szCs w:val="24"/>
                <w:lang w:val="en-GB"/>
              </w:rPr>
              <w:t>3.16</w:t>
            </w:r>
          </w:p>
        </w:tc>
      </w:tr>
      <w:tr>
        <w:trPr>
          <w:trHeight w:val="445" w:hRule="atLeast"/>
        </w:trPr>
        <w:tc>
          <w:tcPr>
            <w:tcW w:w="793"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0" w:after="120"/>
              <w:rPr>
                <w:rFonts w:ascii="Times New Roman" w:hAnsi="Times New Roman" w:cs="Calibri"/>
                <w:color w:val="000000"/>
                <w:sz w:val="24"/>
                <w:szCs w:val="24"/>
                <w:lang w:val="en-GB"/>
              </w:rPr>
            </w:pPr>
            <w:r>
              <w:rPr>
                <w:rFonts w:cs="Calibri"/>
                <w:color w:val="000000"/>
                <w:sz w:val="24"/>
                <w:szCs w:val="24"/>
                <w:lang w:val="en-GB"/>
              </w:rPr>
              <w:t xml:space="preserve">SSA </w:t>
            </w:r>
          </w:p>
        </w:tc>
        <w:tc>
          <w:tcPr>
            <w:tcW w:w="124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0" w:after="120"/>
              <w:rPr>
                <w:rFonts w:ascii="Times New Roman" w:hAnsi="Times New Roman" w:cs="Calibri"/>
                <w:color w:val="000000"/>
                <w:sz w:val="24"/>
                <w:szCs w:val="24"/>
                <w:lang w:val="en-GB"/>
              </w:rPr>
            </w:pPr>
            <w:r>
              <w:rPr>
                <w:rFonts w:cs="Calibri"/>
                <w:color w:val="000000"/>
                <w:sz w:val="24"/>
                <w:szCs w:val="24"/>
                <w:lang w:val="en-GB"/>
              </w:rPr>
              <w:t>1.50</w:t>
            </w:r>
          </w:p>
        </w:tc>
        <w:tc>
          <w:tcPr>
            <w:tcW w:w="1018"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0" w:after="120"/>
              <w:rPr>
                <w:rFonts w:ascii="Times New Roman" w:hAnsi="Times New Roman" w:cs="Calibri"/>
                <w:color w:val="000000"/>
                <w:sz w:val="24"/>
                <w:szCs w:val="24"/>
                <w:lang w:val="en-GB"/>
              </w:rPr>
            </w:pPr>
            <w:r>
              <w:rPr>
                <w:rFonts w:cs="Calibri"/>
                <w:color w:val="000000"/>
                <w:sz w:val="24"/>
                <w:szCs w:val="24"/>
                <w:lang w:val="en-GB"/>
              </w:rPr>
              <w:t>32.00</w:t>
            </w:r>
          </w:p>
        </w:tc>
        <w:tc>
          <w:tcPr>
            <w:tcW w:w="1933"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0" w:after="120"/>
              <w:rPr>
                <w:rFonts w:ascii="Times New Roman" w:hAnsi="Times New Roman" w:cs="Calibri"/>
                <w:color w:val="000000"/>
                <w:sz w:val="24"/>
                <w:szCs w:val="24"/>
                <w:lang w:val="en-GB"/>
              </w:rPr>
            </w:pPr>
            <w:r>
              <w:rPr>
                <w:rFonts w:cs="Calibri"/>
                <w:color w:val="000000"/>
                <w:sz w:val="24"/>
                <w:szCs w:val="24"/>
                <w:lang w:val="en-GB"/>
              </w:rPr>
              <w:t>7.00</w:t>
            </w:r>
          </w:p>
        </w:tc>
        <w:tc>
          <w:tcPr>
            <w:tcW w:w="1250"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0" w:after="120"/>
              <w:rPr>
                <w:rFonts w:ascii="Times New Roman" w:hAnsi="Times New Roman" w:cs="Calibri"/>
                <w:color w:val="000000"/>
                <w:sz w:val="24"/>
                <w:szCs w:val="24"/>
                <w:lang w:val="en-GB"/>
              </w:rPr>
            </w:pPr>
            <w:r>
              <w:rPr>
                <w:rFonts w:cs="Calibri"/>
                <w:color w:val="000000"/>
                <w:sz w:val="24"/>
                <w:szCs w:val="24"/>
                <w:lang w:val="en-GB"/>
              </w:rPr>
              <w:t>0.95</w:t>
            </w:r>
          </w:p>
        </w:tc>
        <w:tc>
          <w:tcPr>
            <w:tcW w:w="113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0" w:after="120"/>
              <w:rPr>
                <w:rFonts w:ascii="Times New Roman" w:hAnsi="Times New Roman" w:cs="Calibri"/>
                <w:color w:val="000000"/>
                <w:sz w:val="24"/>
                <w:szCs w:val="24"/>
                <w:lang w:val="en-GB"/>
              </w:rPr>
            </w:pPr>
            <w:r>
              <w:rPr>
                <w:rFonts w:cs="Calibri"/>
                <w:color w:val="000000"/>
                <w:sz w:val="24"/>
                <w:szCs w:val="24"/>
                <w:lang w:val="en-GB"/>
              </w:rPr>
              <w:t>0.27</w:t>
            </w:r>
          </w:p>
        </w:tc>
        <w:tc>
          <w:tcPr>
            <w:tcW w:w="112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0" w:after="120"/>
              <w:rPr>
                <w:rFonts w:ascii="Times New Roman" w:hAnsi="Times New Roman" w:cs="Calibri"/>
                <w:color w:val="000000"/>
                <w:sz w:val="24"/>
                <w:szCs w:val="24"/>
                <w:lang w:val="en-GB"/>
              </w:rPr>
            </w:pPr>
            <w:r>
              <w:rPr>
                <w:rFonts w:cs="Calibri"/>
                <w:color w:val="000000"/>
                <w:sz w:val="24"/>
                <w:szCs w:val="24"/>
                <w:lang w:val="en-GB"/>
              </w:rPr>
              <w:t>3.52</w:t>
            </w:r>
          </w:p>
        </w:tc>
      </w:tr>
    </w:tbl>
    <w:p>
      <w:pPr>
        <w:pStyle w:val="NormalWeb"/>
        <w:spacing w:lineRule="auto" w:line="240" w:before="280" w:afterAutospacing="0" w:after="120"/>
        <w:rPr>
          <w:rFonts w:ascii="Times New Roman" w:hAnsi="Times New Roman" w:eastAsia="Times New Roman" w:cs="Calibri" w:cstheme="minorHAnsi"/>
          <w:b/>
          <w:b/>
          <w:sz w:val="24"/>
          <w:szCs w:val="24"/>
          <w:lang w:val="en-GB"/>
        </w:rPr>
      </w:pPr>
      <w:r>
        <w:rPr>
          <w:rFonts w:eastAsia="Times New Roman" w:cs="Calibri" w:cstheme="minorHAnsi"/>
          <w:b/>
          <w:sz w:val="24"/>
          <w:szCs w:val="24"/>
          <w:lang w:val="en-GB"/>
        </w:rPr>
      </w:r>
    </w:p>
    <w:p>
      <w:pPr>
        <w:pStyle w:val="Normal"/>
        <w:spacing w:lineRule="auto" w:line="240" w:before="0" w:afterAutospacing="0" w:after="120"/>
        <w:jc w:val="both"/>
        <w:rPr/>
      </w:pPr>
      <w:r>
        <w:rPr>
          <w:rFonts w:eastAsia="Times New Roman" w:cs="Calibri" w:cstheme="minorHAnsi"/>
          <w:b/>
          <w:sz w:val="24"/>
          <w:szCs w:val="24"/>
          <w:lang w:val="en-US"/>
        </w:rPr>
        <w:t>Supplementary Table 2</w:t>
      </w:r>
    </w:p>
    <w:p>
      <w:pPr>
        <w:pStyle w:val="NormalWeb"/>
        <w:spacing w:lineRule="auto" w:line="240" w:before="280" w:afterAutospacing="0" w:after="120"/>
        <w:rPr/>
      </w:pPr>
      <w:r>
        <w:rPr>
          <w:rFonts w:cs="Calibri" w:cstheme="minorHAnsi"/>
          <w:sz w:val="24"/>
          <w:szCs w:val="24"/>
          <w:lang w:val="en-GB"/>
        </w:rPr>
        <w:t xml:space="preserve">Complete list of GO enriched terms resulting from each pairwise comparisons in West Antarctic Peninsula (WAP) and southern South America (SSA) experiments. The first column indicates the treatment in which the corresponding GO term resulted enriched. The column ‘numDEInCat’ indicates the number of differentially expressed genes in the category. </w:t>
      </w:r>
    </w:p>
    <w:tbl>
      <w:tblPr>
        <w:tblW w:w="9681" w:type="dxa"/>
        <w:jc w:val="left"/>
        <w:tblInd w:w="0" w:type="dxa"/>
        <w:tblBorders>
          <w:bottom w:val="single" w:sz="4" w:space="0" w:color="000000"/>
          <w:insideH w:val="single" w:sz="4" w:space="0" w:color="000000"/>
        </w:tblBorders>
        <w:tblCellMar>
          <w:top w:w="0" w:type="dxa"/>
          <w:left w:w="108" w:type="dxa"/>
          <w:bottom w:w="0" w:type="dxa"/>
          <w:right w:w="108" w:type="dxa"/>
        </w:tblCellMar>
        <w:tblLook w:noVBand="1" w:val="04a0" w:noHBand="0" w:lastColumn="0" w:firstColumn="1" w:lastRow="0" w:firstRow="1"/>
      </w:tblPr>
      <w:tblGrid>
        <w:gridCol w:w="1984"/>
        <w:gridCol w:w="1309"/>
        <w:gridCol w:w="1295"/>
        <w:gridCol w:w="5092"/>
      </w:tblGrid>
      <w:tr>
        <w:trPr>
          <w:trHeight w:val="325" w:hRule="atLeast"/>
        </w:trPr>
        <w:tc>
          <w:tcPr>
            <w:tcW w:w="1984" w:type="dxa"/>
            <w:tcBorders>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b/>
                <w:b/>
                <w:bCs/>
                <w:color w:val="000000"/>
                <w:sz w:val="20"/>
                <w:szCs w:val="20"/>
                <w:lang w:val="en-DE"/>
              </w:rPr>
            </w:pPr>
            <w:r>
              <w:rPr>
                <w:b/>
                <w:bCs/>
                <w:color w:val="000000"/>
                <w:sz w:val="20"/>
                <w:szCs w:val="20"/>
                <w:lang w:val="en-DE"/>
              </w:rPr>
              <w:t>WAP experiment</w:t>
            </w:r>
          </w:p>
        </w:tc>
        <w:tc>
          <w:tcPr>
            <w:tcW w:w="1309" w:type="dxa"/>
            <w:tcBorders>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r>
          </w:p>
        </w:tc>
        <w:tc>
          <w:tcPr>
            <w:tcW w:w="1295" w:type="dxa"/>
            <w:tcBorders>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c>
          <w:tcPr>
            <w:tcW w:w="5092" w:type="dxa"/>
            <w:tcBorders>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r>
      <w:tr>
        <w:trPr>
          <w:trHeight w:val="325" w:hRule="exact"/>
        </w:trPr>
        <w:tc>
          <w:tcPr>
            <w:tcW w:w="1984"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r>
      <w:tr>
        <w:trPr>
          <w:trHeight w:val="325" w:hRule="atLeast"/>
        </w:trPr>
        <w:tc>
          <w:tcPr>
            <w:tcW w:w="1984"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b/>
                <w:b/>
                <w:bCs/>
                <w:color w:val="000000"/>
                <w:sz w:val="20"/>
                <w:szCs w:val="20"/>
                <w:lang w:val="en-DE"/>
              </w:rPr>
            </w:pPr>
            <w:r>
              <w:rPr>
                <w:b/>
                <w:bCs/>
                <w:color w:val="000000"/>
                <w:sz w:val="20"/>
                <w:szCs w:val="20"/>
                <w:lang w:val="en-DE"/>
              </w:rPr>
              <w:t>T</w:t>
            </w:r>
            <w:r>
              <w:rPr>
                <w:b/>
                <w:bCs/>
                <w:color w:val="000000"/>
                <w:sz w:val="20"/>
                <w:szCs w:val="20"/>
                <w:vertAlign w:val="subscript"/>
                <w:lang w:val="en-DE"/>
              </w:rPr>
              <w:t>in</w:t>
            </w:r>
            <w:r>
              <w:rPr>
                <w:b/>
                <w:bCs/>
                <w:color w:val="000000"/>
                <w:sz w:val="20"/>
                <w:szCs w:val="20"/>
                <w:lang w:val="en-DE"/>
              </w:rPr>
              <w:t>Ox</w:t>
            </w:r>
            <w:r>
              <w:rPr>
                <w:b/>
                <w:bCs/>
                <w:color w:val="000000"/>
                <w:sz w:val="20"/>
                <w:szCs w:val="20"/>
                <w:vertAlign w:val="subscript"/>
                <w:lang w:val="en-DE"/>
              </w:rPr>
              <w:t>hip</w:t>
            </w:r>
            <w:r>
              <w:rPr>
                <w:b/>
                <w:bCs/>
                <w:color w:val="000000"/>
                <w:sz w:val="20"/>
                <w:szCs w:val="20"/>
                <w:lang w:val="en-DE"/>
              </w:rPr>
              <w:t xml:space="preserve"> vs. T</w:t>
            </w:r>
            <w:r>
              <w:rPr>
                <w:b/>
                <w:bCs/>
                <w:color w:val="000000"/>
                <w:sz w:val="20"/>
                <w:szCs w:val="20"/>
                <w:vertAlign w:val="subscript"/>
                <w:lang w:val="en-DE"/>
              </w:rPr>
              <w:t>in</w:t>
            </w:r>
            <w:r>
              <w:rPr>
                <w:b/>
                <w:bCs/>
                <w:color w:val="000000"/>
                <w:sz w:val="20"/>
                <w:szCs w:val="20"/>
                <w:lang w:val="en-DE"/>
              </w:rPr>
              <w:t>Ox</w:t>
            </w:r>
            <w:r>
              <w:rPr>
                <w:b/>
                <w:bCs/>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r>
      <w:tr>
        <w:trPr>
          <w:trHeight w:val="325" w:hRule="atLeast"/>
        </w:trPr>
        <w:tc>
          <w:tcPr>
            <w:tcW w:w="1984"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rPr>
            </w:pPr>
            <w:r>
              <w:rPr>
                <w:color w:val="767171" w:themeColor="background2" w:themeShade="80"/>
                <w:sz w:val="20"/>
                <w:szCs w:val="20"/>
                <w:lang w:val="en-DE"/>
              </w:rPr>
              <w:t>Enrich</w:t>
            </w:r>
            <w:r>
              <w:rPr>
                <w:color w:val="767171" w:themeColor="background2" w:themeShade="80"/>
                <w:sz w:val="20"/>
                <w:szCs w:val="20"/>
                <w:lang w:val="de-DE"/>
              </w:rPr>
              <w:t>.</w:t>
            </w:r>
            <w:r>
              <w:rPr>
                <w:color w:val="767171" w:themeColor="background2" w:themeShade="80"/>
                <w:sz w:val="20"/>
                <w:szCs w:val="20"/>
                <w:lang w:val="en-DE"/>
              </w:rPr>
              <w:t xml:space="preserve"> in treatment:</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lang w:val="en-DE"/>
              </w:rPr>
            </w:pPr>
            <w:r>
              <w:rPr>
                <w:color w:val="767171" w:themeColor="background2" w:themeShade="80"/>
                <w:sz w:val="20"/>
                <w:szCs w:val="20"/>
                <w:lang w:val="en-DE"/>
              </w:rPr>
              <w:t>category</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lang w:val="en-DE"/>
              </w:rPr>
            </w:pPr>
            <w:r>
              <w:rPr>
                <w:color w:val="767171" w:themeColor="background2" w:themeShade="80"/>
                <w:sz w:val="20"/>
                <w:szCs w:val="20"/>
                <w:lang w:val="en-DE"/>
              </w:rPr>
              <w:t>numDEInCat</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lang w:val="en-DE"/>
              </w:rPr>
            </w:pPr>
            <w:r>
              <w:rPr>
                <w:color w:val="767171" w:themeColor="background2" w:themeShade="80"/>
                <w:sz w:val="20"/>
                <w:szCs w:val="20"/>
                <w:lang w:val="en-DE"/>
              </w:rPr>
              <w:t>term</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in</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GO:0005739</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4</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mitochondrion</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in</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GO:0006357</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3</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regulation of transcription by RNA polymerase II</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in</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GO:0042025</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3</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host cell nucleus</w:t>
            </w:r>
          </w:p>
        </w:tc>
      </w:tr>
      <w:tr>
        <w:trPr>
          <w:trHeight w:val="325" w:hRule="atLeast"/>
        </w:trPr>
        <w:tc>
          <w:tcPr>
            <w:tcW w:w="1984"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in</w:t>
            </w:r>
            <w:r>
              <w:rPr>
                <w:color w:val="000000"/>
                <w:sz w:val="20"/>
                <w:szCs w:val="20"/>
                <w:lang w:val="en-DE"/>
              </w:rPr>
              <w:t>Ox</w:t>
            </w:r>
            <w:r>
              <w:rPr>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GO:0005856</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cytoskeleton</w:t>
            </w:r>
          </w:p>
        </w:tc>
      </w:tr>
      <w:tr>
        <w:trPr>
          <w:trHeight w:val="325" w:hRule="exact"/>
        </w:trPr>
        <w:tc>
          <w:tcPr>
            <w:tcW w:w="1984"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r>
      <w:tr>
        <w:trPr>
          <w:trHeight w:val="325" w:hRule="atLeast"/>
        </w:trPr>
        <w:tc>
          <w:tcPr>
            <w:tcW w:w="1984"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b/>
                <w:b/>
                <w:bCs/>
                <w:color w:val="000000"/>
                <w:sz w:val="20"/>
                <w:szCs w:val="20"/>
                <w:lang w:val="en-DE"/>
              </w:rPr>
            </w:pPr>
            <w:r>
              <w:rPr>
                <w:b/>
                <w:bCs/>
                <w:color w:val="000000"/>
                <w:sz w:val="20"/>
                <w:szCs w:val="20"/>
                <w:lang w:val="en-DE"/>
              </w:rPr>
              <w:t>T</w:t>
            </w:r>
            <w:r>
              <w:rPr>
                <w:b/>
                <w:bCs/>
                <w:color w:val="000000"/>
                <w:sz w:val="20"/>
                <w:szCs w:val="20"/>
                <w:vertAlign w:val="subscript"/>
                <w:lang w:val="en-DE"/>
              </w:rPr>
              <w:t>in</w:t>
            </w:r>
            <w:r>
              <w:rPr>
                <w:b/>
                <w:bCs/>
                <w:color w:val="000000"/>
                <w:sz w:val="20"/>
                <w:szCs w:val="20"/>
                <w:lang w:val="en-DE"/>
              </w:rPr>
              <w:t>Ox</w:t>
            </w:r>
            <w:r>
              <w:rPr>
                <w:b/>
                <w:bCs/>
                <w:color w:val="000000"/>
                <w:sz w:val="20"/>
                <w:szCs w:val="20"/>
                <w:vertAlign w:val="subscript"/>
                <w:lang w:val="en-DE"/>
              </w:rPr>
              <w:t xml:space="preserve">hip </w:t>
            </w:r>
            <w:r>
              <w:rPr>
                <w:b/>
                <w:bCs/>
                <w:color w:val="000000"/>
                <w:sz w:val="20"/>
                <w:szCs w:val="20"/>
                <w:lang w:val="en-DE"/>
              </w:rPr>
              <w:t>vs. T</w:t>
            </w:r>
            <w:r>
              <w:rPr>
                <w:b/>
                <w:bCs/>
                <w:color w:val="000000"/>
                <w:sz w:val="20"/>
                <w:szCs w:val="20"/>
                <w:vertAlign w:val="subscript"/>
                <w:lang w:val="en-DE"/>
              </w:rPr>
              <w:t>w</w:t>
            </w:r>
            <w:r>
              <w:rPr>
                <w:b/>
                <w:bCs/>
                <w:color w:val="000000"/>
                <w:sz w:val="20"/>
                <w:szCs w:val="20"/>
                <w:lang w:val="en-DE"/>
              </w:rPr>
              <w:t>Ox</w:t>
            </w:r>
            <w:r>
              <w:rPr>
                <w:b/>
                <w:bCs/>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r>
      <w:tr>
        <w:trPr>
          <w:trHeight w:val="325" w:hRule="atLeast"/>
        </w:trPr>
        <w:tc>
          <w:tcPr>
            <w:tcW w:w="1984"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rPr>
            </w:pPr>
            <w:r>
              <w:rPr>
                <w:color w:val="767171" w:themeColor="background2" w:themeShade="80"/>
                <w:sz w:val="20"/>
                <w:szCs w:val="20"/>
                <w:lang w:val="en-DE"/>
              </w:rPr>
              <w:t>Enrich</w:t>
            </w:r>
            <w:r>
              <w:rPr>
                <w:color w:val="767171" w:themeColor="background2" w:themeShade="80"/>
                <w:sz w:val="20"/>
                <w:szCs w:val="20"/>
                <w:lang w:val="de-DE"/>
              </w:rPr>
              <w:t>.</w:t>
            </w:r>
            <w:r>
              <w:rPr>
                <w:color w:val="767171" w:themeColor="background2" w:themeShade="80"/>
                <w:sz w:val="20"/>
                <w:szCs w:val="20"/>
                <w:lang w:val="en-DE"/>
              </w:rPr>
              <w:t xml:space="preserve"> in treatment:</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lang w:val="en-DE"/>
              </w:rPr>
            </w:pPr>
            <w:r>
              <w:rPr>
                <w:color w:val="767171" w:themeColor="background2" w:themeShade="80"/>
                <w:sz w:val="20"/>
                <w:szCs w:val="20"/>
                <w:lang w:val="en-DE"/>
              </w:rPr>
              <w:t>category</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lang w:val="en-DE"/>
              </w:rPr>
            </w:pPr>
            <w:r>
              <w:rPr>
                <w:color w:val="767171" w:themeColor="background2" w:themeShade="80"/>
                <w:sz w:val="20"/>
                <w:szCs w:val="20"/>
                <w:lang w:val="en-DE"/>
              </w:rPr>
              <w:t>numDEInCat</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lang w:val="en-DE"/>
              </w:rPr>
            </w:pPr>
            <w:r>
              <w:rPr>
                <w:color w:val="767171" w:themeColor="background2" w:themeShade="80"/>
                <w:sz w:val="20"/>
                <w:szCs w:val="20"/>
                <w:lang w:val="en-DE"/>
              </w:rPr>
              <w:t>term</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in</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GO:0046982</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2</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protein heterodimerization activity</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in</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GO:0003197</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endocardial cushion development</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in</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GO:0007162</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negative regulation of cell adhesion</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in</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GO:0007422</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peripheral nervous system development</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in</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GO:0009968</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negative regulation of signal transduction</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in</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GO:0014037</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Schwann cell differentiation</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in</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GO:0014065</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phosphatidylinositol 3-kinase signaling</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in</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GO:0016328</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lateral plasma membrane</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in</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GO:0019838</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growth factor binding</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in</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GO:0021545</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cranial nerve development</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w</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GO:0007160</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2</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cell-matrix adhesion</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w</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GO:0005112</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Notch binding</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w</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GO:0005576</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2</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extracellular region</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w</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GO:0003180</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aortic valve morphogenesis</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w</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GO:0005581</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collagen trimer</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w</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GO:0010629</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negative regulation of gene expression</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w</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GO:0010811</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positive regulation of cell-substrate adhesion</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w</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GO:0032966</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negative regulation of collagen biosynthetic process</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w</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GO:0034668</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integrin alpha4-beta1 complex</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w</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GO:0050866</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negative regulation of cell activation</w:t>
            </w:r>
          </w:p>
        </w:tc>
      </w:tr>
      <w:tr>
        <w:trPr>
          <w:trHeight w:val="325" w:hRule="exact"/>
        </w:trPr>
        <w:tc>
          <w:tcPr>
            <w:tcW w:w="1984"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r>
      <w:tr>
        <w:trPr>
          <w:trHeight w:val="325" w:hRule="atLeast"/>
        </w:trPr>
        <w:tc>
          <w:tcPr>
            <w:tcW w:w="1984"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b/>
                <w:b/>
                <w:bCs/>
                <w:color w:val="000000"/>
                <w:sz w:val="20"/>
                <w:szCs w:val="20"/>
                <w:lang w:val="en-DE"/>
              </w:rPr>
            </w:pPr>
            <w:r>
              <w:rPr>
                <w:b/>
                <w:bCs/>
                <w:color w:val="000000"/>
                <w:sz w:val="20"/>
                <w:szCs w:val="20"/>
                <w:lang w:val="en-DE"/>
              </w:rPr>
              <w:t>T</w:t>
            </w:r>
            <w:r>
              <w:rPr>
                <w:b/>
                <w:bCs/>
                <w:color w:val="000000"/>
                <w:sz w:val="20"/>
                <w:szCs w:val="20"/>
                <w:vertAlign w:val="subscript"/>
                <w:lang w:val="en-DE"/>
              </w:rPr>
              <w:t>in</w:t>
            </w:r>
            <w:r>
              <w:rPr>
                <w:b/>
                <w:bCs/>
                <w:color w:val="000000"/>
                <w:sz w:val="20"/>
                <w:szCs w:val="20"/>
                <w:lang w:val="en-DE"/>
              </w:rPr>
              <w:t>Ox</w:t>
            </w:r>
            <w:r>
              <w:rPr>
                <w:b/>
                <w:bCs/>
                <w:color w:val="000000"/>
                <w:sz w:val="20"/>
                <w:szCs w:val="20"/>
                <w:vertAlign w:val="subscript"/>
                <w:lang w:val="en-DE"/>
              </w:rPr>
              <w:t>n</w:t>
            </w:r>
            <w:r>
              <w:rPr>
                <w:b/>
                <w:bCs/>
                <w:color w:val="000000"/>
                <w:sz w:val="20"/>
                <w:szCs w:val="20"/>
                <w:lang w:val="en-DE"/>
              </w:rPr>
              <w:t xml:space="preserve"> vs. T</w:t>
            </w:r>
            <w:r>
              <w:rPr>
                <w:b/>
                <w:bCs/>
                <w:color w:val="000000"/>
                <w:sz w:val="20"/>
                <w:szCs w:val="20"/>
                <w:vertAlign w:val="subscript"/>
                <w:lang w:val="en-DE"/>
              </w:rPr>
              <w:t>w</w:t>
            </w:r>
            <w:r>
              <w:rPr>
                <w:b/>
                <w:bCs/>
                <w:color w:val="000000"/>
                <w:sz w:val="20"/>
                <w:szCs w:val="20"/>
                <w:lang w:val="en-DE"/>
              </w:rPr>
              <w:t>Ox</w:t>
            </w:r>
            <w:r>
              <w:rPr>
                <w:b/>
                <w:bCs/>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r>
      <w:tr>
        <w:trPr>
          <w:trHeight w:val="325" w:hRule="atLeast"/>
        </w:trPr>
        <w:tc>
          <w:tcPr>
            <w:tcW w:w="1984"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rPr>
            </w:pPr>
            <w:r>
              <w:rPr>
                <w:color w:val="767171" w:themeColor="background2" w:themeShade="80"/>
                <w:sz w:val="20"/>
                <w:szCs w:val="20"/>
                <w:lang w:val="en-DE"/>
              </w:rPr>
              <w:t>Enrich</w:t>
            </w:r>
            <w:r>
              <w:rPr>
                <w:color w:val="767171" w:themeColor="background2" w:themeShade="80"/>
                <w:sz w:val="20"/>
                <w:szCs w:val="20"/>
                <w:lang w:val="de-DE"/>
              </w:rPr>
              <w:t>.</w:t>
            </w:r>
            <w:r>
              <w:rPr>
                <w:color w:val="767171" w:themeColor="background2" w:themeShade="80"/>
                <w:sz w:val="20"/>
                <w:szCs w:val="20"/>
                <w:lang w:val="en-DE"/>
              </w:rPr>
              <w:t xml:space="preserve"> in treatment:</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lang w:val="en-DE"/>
              </w:rPr>
            </w:pPr>
            <w:r>
              <w:rPr>
                <w:color w:val="767171" w:themeColor="background2" w:themeShade="80"/>
                <w:sz w:val="20"/>
                <w:szCs w:val="20"/>
                <w:lang w:val="en-DE"/>
              </w:rPr>
              <w:t>category</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lang w:val="en-DE"/>
              </w:rPr>
            </w:pPr>
            <w:r>
              <w:rPr>
                <w:color w:val="767171" w:themeColor="background2" w:themeShade="80"/>
                <w:sz w:val="20"/>
                <w:szCs w:val="20"/>
                <w:lang w:val="en-DE"/>
              </w:rPr>
              <w:t>numDEInCat</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lang w:val="en-DE"/>
              </w:rPr>
            </w:pPr>
            <w:r>
              <w:rPr>
                <w:color w:val="767171" w:themeColor="background2" w:themeShade="80"/>
                <w:sz w:val="20"/>
                <w:szCs w:val="20"/>
                <w:lang w:val="en-DE"/>
              </w:rPr>
              <w:t>term</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w</w:t>
            </w:r>
            <w:r>
              <w:rPr>
                <w:color w:val="000000"/>
                <w:sz w:val="20"/>
                <w:szCs w:val="20"/>
                <w:lang w:val="en-DE"/>
              </w:rPr>
              <w:t>Ox</w:t>
            </w:r>
            <w:r>
              <w:rPr>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GO:0002281</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macrophage activation involved in immune response</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w</w:t>
            </w:r>
            <w:r>
              <w:rPr>
                <w:color w:val="000000"/>
                <w:sz w:val="20"/>
                <w:szCs w:val="20"/>
                <w:lang w:val="en-DE"/>
              </w:rPr>
              <w:t>Ox</w:t>
            </w:r>
            <w:r>
              <w:rPr>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GO:0003823</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antigen binding</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w</w:t>
            </w:r>
            <w:r>
              <w:rPr>
                <w:color w:val="000000"/>
                <w:sz w:val="20"/>
                <w:szCs w:val="20"/>
                <w:lang w:val="en-DE"/>
              </w:rPr>
              <w:t>Ox</w:t>
            </w:r>
            <w:r>
              <w:rPr>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GO:0030277</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maintenance of gastrointestinal epithelium</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w</w:t>
            </w:r>
            <w:r>
              <w:rPr>
                <w:color w:val="000000"/>
                <w:sz w:val="20"/>
                <w:szCs w:val="20"/>
                <w:lang w:val="en-DE"/>
              </w:rPr>
              <w:t>Ox</w:t>
            </w:r>
            <w:r>
              <w:rPr>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GO:0030299</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intestinal cholesterol absorption</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w</w:t>
            </w:r>
            <w:r>
              <w:rPr>
                <w:color w:val="000000"/>
                <w:sz w:val="20"/>
                <w:szCs w:val="20"/>
                <w:lang w:val="en-DE"/>
              </w:rPr>
              <w:t>Ox</w:t>
            </w:r>
            <w:r>
              <w:rPr>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GO:0030308</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negative regulation of cell growth</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w</w:t>
            </w:r>
            <w:r>
              <w:rPr>
                <w:color w:val="000000"/>
                <w:sz w:val="20"/>
                <w:szCs w:val="20"/>
                <w:lang w:val="en-DE"/>
              </w:rPr>
              <w:t>Ox</w:t>
            </w:r>
            <w:r>
              <w:rPr>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GO:0042632</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cholesterol homeostasis</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w</w:t>
            </w:r>
            <w:r>
              <w:rPr>
                <w:color w:val="000000"/>
                <w:sz w:val="20"/>
                <w:szCs w:val="20"/>
                <w:lang w:val="en-DE"/>
              </w:rPr>
              <w:t>Ox</w:t>
            </w:r>
            <w:r>
              <w:rPr>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GO:0046790</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virion binding</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w</w:t>
            </w:r>
            <w:r>
              <w:rPr>
                <w:color w:val="000000"/>
                <w:sz w:val="20"/>
                <w:szCs w:val="20"/>
                <w:lang w:val="en-DE"/>
              </w:rPr>
              <w:t>Ox</w:t>
            </w:r>
            <w:r>
              <w:rPr>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GO:0099512</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supramolecular fiber</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w</w:t>
            </w:r>
            <w:r>
              <w:rPr>
                <w:color w:val="000000"/>
                <w:sz w:val="20"/>
                <w:szCs w:val="20"/>
                <w:lang w:val="en-DE"/>
              </w:rPr>
              <w:t>Ox</w:t>
            </w:r>
            <w:r>
              <w:rPr>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GO:0043231</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intracellular membrane-bounded organelle</w:t>
            </w:r>
          </w:p>
        </w:tc>
      </w:tr>
      <w:tr>
        <w:trPr>
          <w:trHeight w:val="325" w:hRule="exact"/>
        </w:trPr>
        <w:tc>
          <w:tcPr>
            <w:tcW w:w="1984"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r>
      <w:tr>
        <w:trPr>
          <w:trHeight w:val="325" w:hRule="atLeast"/>
        </w:trPr>
        <w:tc>
          <w:tcPr>
            <w:tcW w:w="1984"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b/>
                <w:b/>
                <w:bCs/>
                <w:color w:val="000000"/>
                <w:sz w:val="20"/>
                <w:szCs w:val="20"/>
                <w:lang w:val="en-DE"/>
              </w:rPr>
            </w:pPr>
            <w:r>
              <w:rPr>
                <w:b/>
                <w:bCs/>
                <w:color w:val="000000"/>
                <w:sz w:val="20"/>
                <w:szCs w:val="20"/>
                <w:lang w:val="en-DE"/>
              </w:rPr>
              <w:t>T</w:t>
            </w:r>
            <w:r>
              <w:rPr>
                <w:b/>
                <w:bCs/>
                <w:color w:val="000000"/>
                <w:sz w:val="20"/>
                <w:szCs w:val="20"/>
                <w:vertAlign w:val="subscript"/>
                <w:lang w:val="en-DE"/>
              </w:rPr>
              <w:t>w</w:t>
            </w:r>
            <w:r>
              <w:rPr>
                <w:b/>
                <w:bCs/>
                <w:color w:val="000000"/>
                <w:sz w:val="20"/>
                <w:szCs w:val="20"/>
                <w:lang w:val="en-DE"/>
              </w:rPr>
              <w:t>Ox</w:t>
            </w:r>
            <w:r>
              <w:rPr>
                <w:b/>
                <w:bCs/>
                <w:color w:val="000000"/>
                <w:sz w:val="20"/>
                <w:szCs w:val="20"/>
                <w:vertAlign w:val="subscript"/>
                <w:lang w:val="en-DE"/>
              </w:rPr>
              <w:t>hip</w:t>
            </w:r>
            <w:r>
              <w:rPr>
                <w:b/>
                <w:bCs/>
                <w:color w:val="000000"/>
                <w:sz w:val="20"/>
                <w:szCs w:val="20"/>
                <w:lang w:val="en-DE"/>
              </w:rPr>
              <w:t xml:space="preserve"> vs. T</w:t>
            </w:r>
            <w:r>
              <w:rPr>
                <w:b/>
                <w:bCs/>
                <w:color w:val="000000"/>
                <w:sz w:val="20"/>
                <w:szCs w:val="20"/>
                <w:vertAlign w:val="subscript"/>
                <w:lang w:val="en-DE"/>
              </w:rPr>
              <w:t>w</w:t>
            </w:r>
            <w:r>
              <w:rPr>
                <w:b/>
                <w:bCs/>
                <w:color w:val="000000"/>
                <w:sz w:val="20"/>
                <w:szCs w:val="20"/>
                <w:lang w:val="en-DE"/>
              </w:rPr>
              <w:t>Ox</w:t>
            </w:r>
            <w:r>
              <w:rPr>
                <w:b/>
                <w:bCs/>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r>
      <w:tr>
        <w:trPr>
          <w:trHeight w:val="325" w:hRule="atLeast"/>
        </w:trPr>
        <w:tc>
          <w:tcPr>
            <w:tcW w:w="1984"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rPr>
            </w:pPr>
            <w:r>
              <w:rPr>
                <w:color w:val="767171" w:themeColor="background2" w:themeShade="80"/>
                <w:sz w:val="20"/>
                <w:szCs w:val="20"/>
                <w:lang w:val="en-DE"/>
              </w:rPr>
              <w:t>Enrich</w:t>
            </w:r>
            <w:r>
              <w:rPr>
                <w:color w:val="767171" w:themeColor="background2" w:themeShade="80"/>
                <w:sz w:val="20"/>
                <w:szCs w:val="20"/>
                <w:lang w:val="de-DE"/>
              </w:rPr>
              <w:t>.</w:t>
            </w:r>
            <w:r>
              <w:rPr>
                <w:color w:val="767171" w:themeColor="background2" w:themeShade="80"/>
                <w:sz w:val="20"/>
                <w:szCs w:val="20"/>
                <w:lang w:val="en-DE"/>
              </w:rPr>
              <w:t xml:space="preserve"> in treatment:</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lang w:val="en-DE"/>
              </w:rPr>
            </w:pPr>
            <w:r>
              <w:rPr>
                <w:color w:val="767171" w:themeColor="background2" w:themeShade="80"/>
                <w:sz w:val="20"/>
                <w:szCs w:val="20"/>
                <w:lang w:val="en-DE"/>
              </w:rPr>
              <w:t>category</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lang w:val="en-DE"/>
              </w:rPr>
            </w:pPr>
            <w:r>
              <w:rPr>
                <w:color w:val="767171" w:themeColor="background2" w:themeShade="80"/>
                <w:sz w:val="20"/>
                <w:szCs w:val="20"/>
                <w:lang w:val="en-DE"/>
              </w:rPr>
              <w:t>numDEInCat</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lang w:val="en-DE"/>
              </w:rPr>
            </w:pPr>
            <w:r>
              <w:rPr>
                <w:color w:val="767171" w:themeColor="background2" w:themeShade="80"/>
                <w:sz w:val="20"/>
                <w:szCs w:val="20"/>
                <w:lang w:val="en-DE"/>
              </w:rPr>
              <w:t>term</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w</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GO:0046872</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5</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metal ion binding</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w</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GO:0004222</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2</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metalloendopeptidase activity</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w</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GO:0003677</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4</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DNA binding</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w</w:t>
            </w:r>
            <w:r>
              <w:rPr>
                <w:color w:val="000000"/>
                <w:sz w:val="20"/>
                <w:szCs w:val="20"/>
                <w:lang w:val="en-DE"/>
              </w:rPr>
              <w:t>Ox</w:t>
            </w:r>
            <w:r>
              <w:rPr>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GO:0000977</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RNA polymerase II regulatory region DNA binding</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w</w:t>
            </w:r>
            <w:r>
              <w:rPr>
                <w:color w:val="000000"/>
                <w:sz w:val="20"/>
                <w:szCs w:val="20"/>
                <w:lang w:val="en-DE"/>
              </w:rPr>
              <w:t>Ox</w:t>
            </w:r>
            <w:r>
              <w:rPr>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GO:0002376</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immune system process</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w</w:t>
            </w:r>
            <w:r>
              <w:rPr>
                <w:color w:val="000000"/>
                <w:sz w:val="20"/>
                <w:szCs w:val="20"/>
                <w:lang w:val="en-DE"/>
              </w:rPr>
              <w:t>Ox</w:t>
            </w:r>
            <w:r>
              <w:rPr>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GO:0005925</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focal adhesion</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w</w:t>
            </w:r>
            <w:r>
              <w:rPr>
                <w:color w:val="000000"/>
                <w:sz w:val="20"/>
                <w:szCs w:val="20"/>
                <w:lang w:val="en-DE"/>
              </w:rPr>
              <w:t>Ox</w:t>
            </w:r>
            <w:r>
              <w:rPr>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GO:0006355</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regulation of transcription, DNA-templated</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w</w:t>
            </w:r>
            <w:r>
              <w:rPr>
                <w:color w:val="000000"/>
                <w:sz w:val="20"/>
                <w:szCs w:val="20"/>
                <w:lang w:val="en-DE"/>
              </w:rPr>
              <w:t>Ox</w:t>
            </w:r>
            <w:r>
              <w:rPr>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GO:0007596</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blood coagulation</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w</w:t>
            </w:r>
            <w:r>
              <w:rPr>
                <w:color w:val="000000"/>
                <w:sz w:val="20"/>
                <w:szCs w:val="20"/>
                <w:lang w:val="en-DE"/>
              </w:rPr>
              <w:t>Ox</w:t>
            </w:r>
            <w:r>
              <w:rPr>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GO:0051607</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defense response to virus</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w</w:t>
            </w:r>
            <w:r>
              <w:rPr>
                <w:color w:val="000000"/>
                <w:sz w:val="20"/>
                <w:szCs w:val="20"/>
                <w:lang w:val="en-DE"/>
              </w:rPr>
              <w:t>Ox</w:t>
            </w:r>
            <w:r>
              <w:rPr>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GO:0060333</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interferon-gamma-mediated signaling pathway</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w</w:t>
            </w:r>
            <w:r>
              <w:rPr>
                <w:color w:val="000000"/>
                <w:sz w:val="20"/>
                <w:szCs w:val="20"/>
                <w:lang w:val="en-DE"/>
              </w:rPr>
              <w:t>Ox</w:t>
            </w:r>
            <w:r>
              <w:rPr>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GO:0060337</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type I interferon signaling pathway</w:t>
            </w:r>
          </w:p>
        </w:tc>
      </w:tr>
      <w:tr>
        <w:trPr>
          <w:trHeight w:val="325" w:hRule="exact"/>
        </w:trPr>
        <w:tc>
          <w:tcPr>
            <w:tcW w:w="1984"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r>
      <w:tr>
        <w:trPr>
          <w:trHeight w:val="325" w:hRule="atLeast"/>
        </w:trPr>
        <w:tc>
          <w:tcPr>
            <w:tcW w:w="1984"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b/>
                <w:b/>
                <w:bCs/>
                <w:color w:val="000000"/>
                <w:sz w:val="20"/>
                <w:szCs w:val="20"/>
                <w:lang w:val="en-DE"/>
              </w:rPr>
            </w:pPr>
            <w:r>
              <w:rPr>
                <w:b/>
                <w:bCs/>
                <w:color w:val="000000"/>
                <w:sz w:val="20"/>
                <w:szCs w:val="20"/>
                <w:lang w:val="en-DE"/>
              </w:rPr>
              <w:t>SSA experiment</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r>
      <w:tr>
        <w:trPr>
          <w:trHeight w:val="325" w:hRule="exact"/>
        </w:trPr>
        <w:tc>
          <w:tcPr>
            <w:tcW w:w="1984"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r>
      <w:tr>
        <w:trPr>
          <w:trHeight w:val="325" w:hRule="atLeast"/>
        </w:trPr>
        <w:tc>
          <w:tcPr>
            <w:tcW w:w="1984"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b/>
                <w:b/>
                <w:bCs/>
                <w:color w:val="000000"/>
                <w:sz w:val="20"/>
                <w:szCs w:val="20"/>
                <w:lang w:val="en-DE"/>
              </w:rPr>
            </w:pPr>
            <w:r>
              <w:rPr>
                <w:b/>
                <w:bCs/>
                <w:color w:val="000000"/>
                <w:sz w:val="20"/>
                <w:szCs w:val="20"/>
                <w:lang w:val="en-DE"/>
              </w:rPr>
              <w:t>T</w:t>
            </w:r>
            <w:r>
              <w:rPr>
                <w:b/>
                <w:bCs/>
                <w:color w:val="000000"/>
                <w:sz w:val="20"/>
                <w:szCs w:val="20"/>
                <w:vertAlign w:val="subscript"/>
                <w:lang w:val="en-DE"/>
              </w:rPr>
              <w:t>c</w:t>
            </w:r>
            <w:r>
              <w:rPr>
                <w:b/>
                <w:bCs/>
                <w:color w:val="000000"/>
                <w:sz w:val="20"/>
                <w:szCs w:val="20"/>
                <w:lang w:val="en-DE"/>
              </w:rPr>
              <w:t>Ox</w:t>
            </w:r>
            <w:r>
              <w:rPr>
                <w:b/>
                <w:bCs/>
                <w:color w:val="000000"/>
                <w:sz w:val="20"/>
                <w:szCs w:val="20"/>
                <w:vertAlign w:val="subscript"/>
                <w:lang w:val="en-DE"/>
              </w:rPr>
              <w:t>hip</w:t>
            </w:r>
            <w:r>
              <w:rPr>
                <w:b/>
                <w:bCs/>
                <w:color w:val="000000"/>
                <w:sz w:val="20"/>
                <w:szCs w:val="20"/>
                <w:lang w:val="en-DE"/>
              </w:rPr>
              <w:t xml:space="preserve"> vs. T</w:t>
            </w:r>
            <w:r>
              <w:rPr>
                <w:b/>
                <w:bCs/>
                <w:color w:val="000000"/>
                <w:sz w:val="20"/>
                <w:szCs w:val="20"/>
                <w:vertAlign w:val="subscript"/>
                <w:lang w:val="en-DE"/>
              </w:rPr>
              <w:t>c</w:t>
            </w:r>
            <w:r>
              <w:rPr>
                <w:b/>
                <w:bCs/>
                <w:color w:val="000000"/>
                <w:sz w:val="20"/>
                <w:szCs w:val="20"/>
                <w:lang w:val="en-DE"/>
              </w:rPr>
              <w:t>Ox</w:t>
            </w:r>
            <w:r>
              <w:rPr>
                <w:b/>
                <w:bCs/>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r>
      <w:tr>
        <w:trPr>
          <w:trHeight w:val="325" w:hRule="atLeast"/>
        </w:trPr>
        <w:tc>
          <w:tcPr>
            <w:tcW w:w="1984"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rPr>
            </w:pPr>
            <w:r>
              <w:rPr>
                <w:color w:val="767171" w:themeColor="background2" w:themeShade="80"/>
                <w:sz w:val="20"/>
                <w:szCs w:val="20"/>
                <w:lang w:val="en-DE"/>
              </w:rPr>
              <w:t>Enrich</w:t>
            </w:r>
            <w:r>
              <w:rPr>
                <w:color w:val="767171" w:themeColor="background2" w:themeShade="80"/>
                <w:sz w:val="20"/>
                <w:szCs w:val="20"/>
                <w:lang w:val="de-DE"/>
              </w:rPr>
              <w:t>.</w:t>
            </w:r>
            <w:r>
              <w:rPr>
                <w:color w:val="767171" w:themeColor="background2" w:themeShade="80"/>
                <w:sz w:val="20"/>
                <w:szCs w:val="20"/>
                <w:lang w:val="en-DE"/>
              </w:rPr>
              <w:t xml:space="preserve"> in treatment:</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lang w:val="en-DE"/>
              </w:rPr>
            </w:pPr>
            <w:r>
              <w:rPr>
                <w:color w:val="767171" w:themeColor="background2" w:themeShade="80"/>
                <w:sz w:val="20"/>
                <w:szCs w:val="20"/>
                <w:lang w:val="en-DE"/>
              </w:rPr>
              <w:t>category</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lang w:val="en-DE"/>
              </w:rPr>
            </w:pPr>
            <w:r>
              <w:rPr>
                <w:color w:val="767171" w:themeColor="background2" w:themeShade="80"/>
                <w:sz w:val="20"/>
                <w:szCs w:val="20"/>
                <w:lang w:val="en-DE"/>
              </w:rPr>
              <w:t>numDEInCat</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lang w:val="en-DE"/>
              </w:rPr>
            </w:pPr>
            <w:r>
              <w:rPr>
                <w:color w:val="767171" w:themeColor="background2" w:themeShade="80"/>
                <w:sz w:val="20"/>
                <w:szCs w:val="20"/>
                <w:lang w:val="en-DE"/>
              </w:rPr>
              <w:t>term</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c</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GO:0000122</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4</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negative regulation of transcription by RNA polymerase II</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c</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GO:0031398</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3</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positive regulation of protein ubiquitination</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c</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GO:0043027</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3</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endopeptidase inhibitor activity involved in apoptotic process</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c</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GO:0043154</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3</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negative regulation of endopeptidase involved in apoptotic process</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c</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GO:0061630</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3</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ubiquitin protein ligase activity</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c</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GO:1990001</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3</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inhibition of endopeptidase activity involved in apoptotic process</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c</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GO:0043066</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4</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negative regulation of apoptotic process</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c</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GO:0005634</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8</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nucleus</w:t>
            </w:r>
          </w:p>
        </w:tc>
      </w:tr>
      <w:tr>
        <w:trPr>
          <w:trHeight w:val="325" w:hRule="exact"/>
        </w:trPr>
        <w:tc>
          <w:tcPr>
            <w:tcW w:w="1984"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r>
      <w:tr>
        <w:trPr>
          <w:trHeight w:val="325" w:hRule="atLeast"/>
        </w:trPr>
        <w:tc>
          <w:tcPr>
            <w:tcW w:w="1984"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b/>
                <w:b/>
                <w:bCs/>
                <w:color w:val="000000"/>
                <w:sz w:val="20"/>
                <w:szCs w:val="20"/>
                <w:lang w:val="en-DE"/>
              </w:rPr>
            </w:pPr>
            <w:r>
              <w:rPr>
                <w:b/>
                <w:bCs/>
                <w:color w:val="000000"/>
                <w:sz w:val="20"/>
                <w:szCs w:val="20"/>
                <w:lang w:val="en-DE"/>
              </w:rPr>
              <w:t>T</w:t>
            </w:r>
            <w:r>
              <w:rPr>
                <w:b/>
                <w:bCs/>
                <w:color w:val="000000"/>
                <w:sz w:val="20"/>
                <w:szCs w:val="20"/>
                <w:vertAlign w:val="subscript"/>
                <w:lang w:val="en-DE"/>
              </w:rPr>
              <w:t>in</w:t>
            </w:r>
            <w:r>
              <w:rPr>
                <w:b/>
                <w:bCs/>
                <w:color w:val="000000"/>
                <w:sz w:val="20"/>
                <w:szCs w:val="20"/>
                <w:lang w:val="en-DE"/>
              </w:rPr>
              <w:t>Ox</w:t>
            </w:r>
            <w:r>
              <w:rPr>
                <w:b/>
                <w:bCs/>
                <w:color w:val="000000"/>
                <w:sz w:val="20"/>
                <w:szCs w:val="20"/>
                <w:vertAlign w:val="subscript"/>
                <w:lang w:val="en-DE"/>
              </w:rPr>
              <w:t>n</w:t>
            </w:r>
            <w:r>
              <w:rPr>
                <w:b/>
                <w:bCs/>
                <w:color w:val="000000"/>
                <w:sz w:val="20"/>
                <w:szCs w:val="20"/>
                <w:lang w:val="en-DE"/>
              </w:rPr>
              <w:t xml:space="preserve"> vs. T</w:t>
            </w:r>
            <w:r>
              <w:rPr>
                <w:b/>
                <w:bCs/>
                <w:color w:val="000000"/>
                <w:sz w:val="20"/>
                <w:szCs w:val="20"/>
                <w:vertAlign w:val="subscript"/>
                <w:lang w:val="en-DE"/>
              </w:rPr>
              <w:t>c</w:t>
            </w:r>
            <w:r>
              <w:rPr>
                <w:b/>
                <w:bCs/>
                <w:color w:val="000000"/>
                <w:sz w:val="20"/>
                <w:szCs w:val="20"/>
                <w:lang w:val="en-DE"/>
              </w:rPr>
              <w:t>Ox</w:t>
            </w:r>
            <w:r>
              <w:rPr>
                <w:b/>
                <w:bCs/>
                <w:color w:val="000000"/>
                <w:sz w:val="20"/>
                <w:szCs w:val="20"/>
                <w:vertAlign w:val="subscript"/>
                <w:lang w:val="en-DE"/>
              </w:rPr>
              <w:t>hip</w:t>
            </w:r>
            <w:r>
              <w:rPr>
                <w:b/>
                <w:bCs/>
                <w:color w:val="000000"/>
                <w:sz w:val="20"/>
                <w:szCs w:val="20"/>
                <w:lang w:val="en-DE"/>
              </w:rPr>
              <w:t xml:space="preserve">      </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r>
      <w:tr>
        <w:trPr>
          <w:trHeight w:val="325" w:hRule="atLeast"/>
        </w:trPr>
        <w:tc>
          <w:tcPr>
            <w:tcW w:w="1984"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rPr>
            </w:pPr>
            <w:r>
              <w:rPr>
                <w:color w:val="767171" w:themeColor="background2" w:themeShade="80"/>
                <w:sz w:val="20"/>
                <w:szCs w:val="20"/>
                <w:lang w:val="en-DE"/>
              </w:rPr>
              <w:t>Enrich</w:t>
            </w:r>
            <w:r>
              <w:rPr>
                <w:color w:val="767171" w:themeColor="background2" w:themeShade="80"/>
                <w:sz w:val="20"/>
                <w:szCs w:val="20"/>
                <w:lang w:val="de-DE"/>
              </w:rPr>
              <w:t>.</w:t>
            </w:r>
            <w:r>
              <w:rPr>
                <w:color w:val="767171" w:themeColor="background2" w:themeShade="80"/>
                <w:sz w:val="20"/>
                <w:szCs w:val="20"/>
                <w:lang w:val="en-DE"/>
              </w:rPr>
              <w:t xml:space="preserve"> in treatment:</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lang w:val="en-DE"/>
              </w:rPr>
            </w:pPr>
            <w:r>
              <w:rPr>
                <w:color w:val="767171" w:themeColor="background2" w:themeShade="80"/>
                <w:sz w:val="20"/>
                <w:szCs w:val="20"/>
                <w:lang w:val="en-DE"/>
              </w:rPr>
              <w:t>category</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lang w:val="en-DE"/>
              </w:rPr>
            </w:pPr>
            <w:r>
              <w:rPr>
                <w:color w:val="767171" w:themeColor="background2" w:themeShade="80"/>
                <w:sz w:val="20"/>
                <w:szCs w:val="20"/>
                <w:lang w:val="en-DE"/>
              </w:rPr>
              <w:t>numDEInCat</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lang w:val="en-DE"/>
              </w:rPr>
            </w:pPr>
            <w:r>
              <w:rPr>
                <w:color w:val="767171" w:themeColor="background2" w:themeShade="80"/>
                <w:sz w:val="20"/>
                <w:szCs w:val="20"/>
                <w:lang w:val="en-DE"/>
              </w:rPr>
              <w:t>term</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c</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GO:0045944</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4</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positive regulation of transcription by RNA polymerase II</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c</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GO:0000122</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4</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negative regulation of transcription by RNA polymerase II</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c</w:t>
            </w:r>
            <w:r>
              <w:rPr>
                <w:color w:val="000000"/>
                <w:sz w:val="20"/>
                <w:szCs w:val="20"/>
                <w:lang w:val="en-DE"/>
              </w:rPr>
              <w:t>Ox</w:t>
            </w:r>
            <w:r>
              <w:rPr>
                <w:color w:val="000000"/>
                <w:sz w:val="20"/>
                <w:szCs w:val="20"/>
                <w:vertAlign w:val="subscript"/>
                <w:lang w:val="en-DE"/>
              </w:rPr>
              <w:t>hip</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GO:0005667</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3</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transcription factor complex</w:t>
            </w:r>
          </w:p>
        </w:tc>
      </w:tr>
      <w:tr>
        <w:trPr>
          <w:trHeight w:val="325" w:hRule="atLeast"/>
        </w:trPr>
        <w:tc>
          <w:tcPr>
            <w:tcW w:w="1984"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in</w:t>
            </w:r>
            <w:r>
              <w:rPr>
                <w:color w:val="000000"/>
                <w:sz w:val="20"/>
                <w:szCs w:val="20"/>
                <w:lang w:val="en-DE"/>
              </w:rPr>
              <w:t>Ox</w:t>
            </w:r>
            <w:r>
              <w:rPr>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GO:0016021</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3</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integral component of membrane</w:t>
            </w:r>
          </w:p>
        </w:tc>
      </w:tr>
      <w:tr>
        <w:trPr>
          <w:trHeight w:val="325" w:hRule="exact"/>
        </w:trPr>
        <w:tc>
          <w:tcPr>
            <w:tcW w:w="1984"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r>
      <w:tr>
        <w:trPr>
          <w:trHeight w:val="325" w:hRule="atLeast"/>
        </w:trPr>
        <w:tc>
          <w:tcPr>
            <w:tcW w:w="1984"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b/>
                <w:b/>
                <w:bCs/>
                <w:color w:val="000000"/>
                <w:sz w:val="20"/>
                <w:szCs w:val="20"/>
                <w:lang w:val="en-DE"/>
              </w:rPr>
            </w:pPr>
            <w:r>
              <w:rPr>
                <w:b/>
                <w:bCs/>
                <w:color w:val="000000"/>
                <w:sz w:val="20"/>
                <w:szCs w:val="20"/>
                <w:lang w:val="en-DE"/>
              </w:rPr>
              <w:t>T</w:t>
            </w:r>
            <w:r>
              <w:rPr>
                <w:b/>
                <w:bCs/>
                <w:color w:val="000000"/>
                <w:sz w:val="20"/>
                <w:szCs w:val="20"/>
                <w:vertAlign w:val="subscript"/>
                <w:lang w:val="en-DE"/>
              </w:rPr>
              <w:t>in</w:t>
            </w:r>
            <w:r>
              <w:rPr>
                <w:b/>
                <w:bCs/>
                <w:color w:val="000000"/>
                <w:sz w:val="20"/>
                <w:szCs w:val="20"/>
                <w:lang w:val="en-DE"/>
              </w:rPr>
              <w:t>Ox</w:t>
            </w:r>
            <w:r>
              <w:rPr>
                <w:b/>
                <w:bCs/>
                <w:color w:val="000000"/>
                <w:sz w:val="20"/>
                <w:szCs w:val="20"/>
                <w:vertAlign w:val="subscript"/>
                <w:lang w:val="en-DE"/>
              </w:rPr>
              <w:t>h</w:t>
            </w:r>
            <w:r>
              <w:rPr>
                <w:b/>
                <w:bCs/>
                <w:color w:val="000000"/>
                <w:sz w:val="20"/>
                <w:szCs w:val="20"/>
                <w:lang w:val="en-DE"/>
              </w:rPr>
              <w:t xml:space="preserve"> vs. T</w:t>
            </w:r>
            <w:r>
              <w:rPr>
                <w:b/>
                <w:bCs/>
                <w:color w:val="000000"/>
                <w:sz w:val="20"/>
                <w:szCs w:val="20"/>
                <w:vertAlign w:val="subscript"/>
                <w:lang w:val="en-DE"/>
              </w:rPr>
              <w:t>c</w:t>
            </w:r>
            <w:r>
              <w:rPr>
                <w:b/>
                <w:bCs/>
                <w:color w:val="000000"/>
                <w:sz w:val="20"/>
                <w:szCs w:val="20"/>
                <w:lang w:val="en-DE"/>
              </w:rPr>
              <w:t>Ox</w:t>
            </w:r>
            <w:r>
              <w:rPr>
                <w:b/>
                <w:bCs/>
                <w:color w:val="000000"/>
                <w:sz w:val="20"/>
                <w:szCs w:val="20"/>
                <w:vertAlign w:val="subscript"/>
                <w:lang w:val="en-DE"/>
              </w:rPr>
              <w:t>n</w:t>
            </w:r>
            <w:r>
              <w:rPr>
                <w:b/>
                <w:bCs/>
                <w:color w:val="000000"/>
                <w:sz w:val="20"/>
                <w:szCs w:val="20"/>
                <w:lang w:val="en-DE"/>
              </w:rPr>
              <w:t xml:space="preserve">  </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r>
      <w:tr>
        <w:trPr>
          <w:trHeight w:val="325" w:hRule="atLeast"/>
        </w:trPr>
        <w:tc>
          <w:tcPr>
            <w:tcW w:w="1984"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rPr>
            </w:pPr>
            <w:r>
              <w:rPr>
                <w:color w:val="767171" w:themeColor="background2" w:themeShade="80"/>
                <w:sz w:val="20"/>
                <w:szCs w:val="20"/>
                <w:lang w:val="en-DE"/>
              </w:rPr>
              <w:t>Enrich</w:t>
            </w:r>
            <w:r>
              <w:rPr>
                <w:color w:val="767171" w:themeColor="background2" w:themeShade="80"/>
                <w:sz w:val="20"/>
                <w:szCs w:val="20"/>
                <w:lang w:val="de-DE"/>
              </w:rPr>
              <w:t>.</w:t>
            </w:r>
            <w:r>
              <w:rPr>
                <w:color w:val="767171" w:themeColor="background2" w:themeShade="80"/>
                <w:sz w:val="20"/>
                <w:szCs w:val="20"/>
                <w:lang w:val="en-DE"/>
              </w:rPr>
              <w:t xml:space="preserve"> in treatment:</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lang w:val="en-DE"/>
              </w:rPr>
            </w:pPr>
            <w:r>
              <w:rPr>
                <w:color w:val="767171" w:themeColor="background2" w:themeShade="80"/>
                <w:sz w:val="20"/>
                <w:szCs w:val="20"/>
                <w:lang w:val="en-DE"/>
              </w:rPr>
              <w:t>category</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lang w:val="en-DE"/>
              </w:rPr>
            </w:pPr>
            <w:r>
              <w:rPr>
                <w:color w:val="767171" w:themeColor="background2" w:themeShade="80"/>
                <w:sz w:val="20"/>
                <w:szCs w:val="20"/>
                <w:lang w:val="en-DE"/>
              </w:rPr>
              <w:t>numDEInCat</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lang w:val="en-DE"/>
              </w:rPr>
            </w:pPr>
            <w:r>
              <w:rPr>
                <w:color w:val="767171" w:themeColor="background2" w:themeShade="80"/>
                <w:sz w:val="20"/>
                <w:szCs w:val="20"/>
                <w:lang w:val="en-DE"/>
              </w:rPr>
              <w:t>term</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c</w:t>
            </w:r>
            <w:r>
              <w:rPr>
                <w:color w:val="000000"/>
                <w:sz w:val="20"/>
                <w:szCs w:val="20"/>
                <w:lang w:val="en-DE"/>
              </w:rPr>
              <w:t>Ox</w:t>
            </w:r>
            <w:r>
              <w:rPr>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GO:0006313</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2</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transposition, DNA-mediated</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c</w:t>
            </w:r>
            <w:r>
              <w:rPr>
                <w:color w:val="000000"/>
                <w:sz w:val="20"/>
                <w:szCs w:val="20"/>
                <w:lang w:val="en-DE"/>
              </w:rPr>
              <w:t>Ox</w:t>
            </w:r>
            <w:r>
              <w:rPr>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GO:0016324</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2</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apical plasma membrane</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in</w:t>
            </w:r>
            <w:r>
              <w:rPr>
                <w:color w:val="000000"/>
                <w:sz w:val="20"/>
                <w:szCs w:val="20"/>
                <w:lang w:val="en-DE"/>
              </w:rPr>
              <w:t>Ox</w:t>
            </w:r>
            <w:r>
              <w:rPr>
                <w:color w:val="000000"/>
                <w:sz w:val="20"/>
                <w:szCs w:val="20"/>
                <w:vertAlign w:val="subscript"/>
                <w:lang w:val="en-DE"/>
              </w:rPr>
              <w:t>h</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GO:0031398</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3</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positive regulation of protein ubiquitination</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in</w:t>
            </w:r>
            <w:r>
              <w:rPr>
                <w:color w:val="000000"/>
                <w:sz w:val="20"/>
                <w:szCs w:val="20"/>
                <w:lang w:val="en-DE"/>
              </w:rPr>
              <w:t>Ox</w:t>
            </w:r>
            <w:r>
              <w:rPr>
                <w:color w:val="000000"/>
                <w:sz w:val="20"/>
                <w:szCs w:val="20"/>
                <w:vertAlign w:val="subscript"/>
                <w:lang w:val="en-DE"/>
              </w:rPr>
              <w:t>h</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GO:0043027</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3</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endopeptidase inhibitor activity involved in apoptotic process</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in</w:t>
            </w:r>
            <w:r>
              <w:rPr>
                <w:color w:val="000000"/>
                <w:sz w:val="20"/>
                <w:szCs w:val="20"/>
                <w:lang w:val="en-DE"/>
              </w:rPr>
              <w:t>Ox</w:t>
            </w:r>
            <w:r>
              <w:rPr>
                <w:color w:val="000000"/>
                <w:sz w:val="20"/>
                <w:szCs w:val="20"/>
                <w:vertAlign w:val="subscript"/>
                <w:lang w:val="en-DE"/>
              </w:rPr>
              <w:t>h</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GO:0043154</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3</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negative regulation of endopeptidase involved in apoptotic process</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in</w:t>
            </w:r>
            <w:r>
              <w:rPr>
                <w:color w:val="000000"/>
                <w:sz w:val="20"/>
                <w:szCs w:val="20"/>
                <w:lang w:val="en-DE"/>
              </w:rPr>
              <w:t>Ox</w:t>
            </w:r>
            <w:r>
              <w:rPr>
                <w:color w:val="000000"/>
                <w:sz w:val="20"/>
                <w:szCs w:val="20"/>
                <w:vertAlign w:val="subscript"/>
                <w:lang w:val="en-DE"/>
              </w:rPr>
              <w:t>h</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GO:0061630</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3</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ubiquitin protein ligase activity</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in</w:t>
            </w:r>
            <w:r>
              <w:rPr>
                <w:color w:val="000000"/>
                <w:sz w:val="20"/>
                <w:szCs w:val="20"/>
                <w:lang w:val="en-DE"/>
              </w:rPr>
              <w:t>Ox</w:t>
            </w:r>
            <w:r>
              <w:rPr>
                <w:color w:val="000000"/>
                <w:sz w:val="20"/>
                <w:szCs w:val="20"/>
                <w:vertAlign w:val="subscript"/>
                <w:lang w:val="en-DE"/>
              </w:rPr>
              <w:t>h</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GO:1990001</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3</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inhibition of endopeptidase involved in apoptotic process</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in</w:t>
            </w:r>
            <w:r>
              <w:rPr>
                <w:color w:val="000000"/>
                <w:sz w:val="20"/>
                <w:szCs w:val="20"/>
                <w:lang w:val="en-DE"/>
              </w:rPr>
              <w:t>Ox</w:t>
            </w:r>
            <w:r>
              <w:rPr>
                <w:color w:val="000000"/>
                <w:sz w:val="20"/>
                <w:szCs w:val="20"/>
                <w:vertAlign w:val="subscript"/>
                <w:lang w:val="en-DE"/>
              </w:rPr>
              <w:t>h</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GO:0019899</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3</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enzyme binding</w:t>
            </w:r>
          </w:p>
        </w:tc>
      </w:tr>
      <w:tr>
        <w:trPr>
          <w:trHeight w:val="325" w:hRule="exact"/>
        </w:trPr>
        <w:tc>
          <w:tcPr>
            <w:tcW w:w="1984"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r>
      <w:tr>
        <w:trPr>
          <w:trHeight w:val="325" w:hRule="atLeast"/>
        </w:trPr>
        <w:tc>
          <w:tcPr>
            <w:tcW w:w="1984"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b/>
                <w:b/>
                <w:bCs/>
                <w:color w:val="000000"/>
                <w:sz w:val="20"/>
                <w:szCs w:val="20"/>
                <w:lang w:val="en-DE"/>
              </w:rPr>
            </w:pPr>
            <w:r>
              <w:rPr>
                <w:b/>
                <w:bCs/>
                <w:color w:val="000000"/>
                <w:sz w:val="20"/>
                <w:szCs w:val="20"/>
                <w:lang w:val="en-DE"/>
              </w:rPr>
              <w:t>T</w:t>
            </w:r>
            <w:r>
              <w:rPr>
                <w:b/>
                <w:bCs/>
                <w:color w:val="000000"/>
                <w:sz w:val="20"/>
                <w:szCs w:val="20"/>
                <w:vertAlign w:val="subscript"/>
                <w:lang w:val="en-DE"/>
              </w:rPr>
              <w:t>in</w:t>
            </w:r>
            <w:r>
              <w:rPr>
                <w:b/>
                <w:bCs/>
                <w:color w:val="000000"/>
                <w:sz w:val="20"/>
                <w:szCs w:val="20"/>
                <w:lang w:val="en-DE"/>
              </w:rPr>
              <w:t>Ox</w:t>
            </w:r>
            <w:r>
              <w:rPr>
                <w:b/>
                <w:bCs/>
                <w:color w:val="000000"/>
                <w:sz w:val="20"/>
                <w:szCs w:val="20"/>
                <w:vertAlign w:val="subscript"/>
                <w:lang w:val="en-DE"/>
              </w:rPr>
              <w:t xml:space="preserve">n </w:t>
            </w:r>
            <w:r>
              <w:rPr>
                <w:b/>
                <w:bCs/>
                <w:color w:val="000000"/>
                <w:sz w:val="20"/>
                <w:szCs w:val="20"/>
                <w:lang w:val="en-DE"/>
              </w:rPr>
              <w:t>vs. T</w:t>
            </w:r>
            <w:r>
              <w:rPr>
                <w:b/>
                <w:bCs/>
                <w:color w:val="000000"/>
                <w:sz w:val="20"/>
                <w:szCs w:val="20"/>
                <w:vertAlign w:val="subscript"/>
                <w:lang w:val="en-DE"/>
              </w:rPr>
              <w:t>c</w:t>
            </w:r>
            <w:r>
              <w:rPr>
                <w:b/>
                <w:bCs/>
                <w:color w:val="000000"/>
                <w:sz w:val="20"/>
                <w:szCs w:val="20"/>
                <w:lang w:val="en-DE"/>
              </w:rPr>
              <w:t>Ox</w:t>
            </w:r>
            <w:r>
              <w:rPr>
                <w:b/>
                <w:bCs/>
                <w:color w:val="000000"/>
                <w:sz w:val="20"/>
                <w:szCs w:val="20"/>
                <w:vertAlign w:val="subscript"/>
                <w:lang w:val="en-DE"/>
              </w:rPr>
              <w:t>n</w:t>
            </w:r>
            <w:r>
              <w:rPr>
                <w:b/>
                <w:bCs/>
                <w:color w:val="000000"/>
                <w:sz w:val="20"/>
                <w:szCs w:val="20"/>
                <w:lang w:val="en-DE"/>
              </w:rPr>
              <w:t xml:space="preserve">    </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r>
      <w:tr>
        <w:trPr>
          <w:trHeight w:val="325" w:hRule="atLeast"/>
        </w:trPr>
        <w:tc>
          <w:tcPr>
            <w:tcW w:w="1984"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rPr>
            </w:pPr>
            <w:r>
              <w:rPr>
                <w:color w:val="767171" w:themeColor="background2" w:themeShade="80"/>
                <w:sz w:val="20"/>
                <w:szCs w:val="20"/>
                <w:lang w:val="en-DE"/>
              </w:rPr>
              <w:t>Enrich</w:t>
            </w:r>
            <w:r>
              <w:rPr>
                <w:color w:val="767171" w:themeColor="background2" w:themeShade="80"/>
                <w:sz w:val="20"/>
                <w:szCs w:val="20"/>
                <w:lang w:val="de-DE"/>
              </w:rPr>
              <w:t>.</w:t>
            </w:r>
            <w:r>
              <w:rPr>
                <w:color w:val="767171" w:themeColor="background2" w:themeShade="80"/>
                <w:sz w:val="20"/>
                <w:szCs w:val="20"/>
                <w:lang w:val="en-DE"/>
              </w:rPr>
              <w:t xml:space="preserve"> in treatment:</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lang w:val="en-DE"/>
              </w:rPr>
            </w:pPr>
            <w:r>
              <w:rPr>
                <w:color w:val="767171" w:themeColor="background2" w:themeShade="80"/>
                <w:sz w:val="20"/>
                <w:szCs w:val="20"/>
                <w:lang w:val="en-DE"/>
              </w:rPr>
              <w:t>category</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lang w:val="en-DE"/>
              </w:rPr>
            </w:pPr>
            <w:r>
              <w:rPr>
                <w:color w:val="767171" w:themeColor="background2" w:themeShade="80"/>
                <w:sz w:val="20"/>
                <w:szCs w:val="20"/>
                <w:lang w:val="en-DE"/>
              </w:rPr>
              <w:t>numDEInCat</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lang w:val="en-DE"/>
              </w:rPr>
            </w:pPr>
            <w:r>
              <w:rPr>
                <w:color w:val="767171" w:themeColor="background2" w:themeShade="80"/>
                <w:sz w:val="20"/>
                <w:szCs w:val="20"/>
                <w:lang w:val="en-DE"/>
              </w:rPr>
              <w:t>term</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c</w:t>
            </w:r>
            <w:r>
              <w:rPr>
                <w:color w:val="000000"/>
                <w:sz w:val="20"/>
                <w:szCs w:val="20"/>
                <w:lang w:val="en-DE"/>
              </w:rPr>
              <w:t>Ox</w:t>
            </w:r>
            <w:r>
              <w:rPr>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GO:0001674</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female germ cell nucleus</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c</w:t>
            </w:r>
            <w:r>
              <w:rPr>
                <w:color w:val="000000"/>
                <w:sz w:val="20"/>
                <w:szCs w:val="20"/>
                <w:lang w:val="en-DE"/>
              </w:rPr>
              <w:t>Ox</w:t>
            </w:r>
            <w:r>
              <w:rPr>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GO:0005534</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galactose binding</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c</w:t>
            </w:r>
            <w:r>
              <w:rPr>
                <w:color w:val="000000"/>
                <w:sz w:val="20"/>
                <w:szCs w:val="20"/>
                <w:lang w:val="en-DE"/>
              </w:rPr>
              <w:t>Ox</w:t>
            </w:r>
            <w:r>
              <w:rPr>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GO:0005623</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cell</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c</w:t>
            </w:r>
            <w:r>
              <w:rPr>
                <w:color w:val="000000"/>
                <w:sz w:val="20"/>
                <w:szCs w:val="20"/>
                <w:lang w:val="en-DE"/>
              </w:rPr>
              <w:t>Ox</w:t>
            </w:r>
            <w:r>
              <w:rPr>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GO:0033296</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rhamnose binding</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c</w:t>
            </w:r>
            <w:r>
              <w:rPr>
                <w:color w:val="000000"/>
                <w:sz w:val="20"/>
                <w:szCs w:val="20"/>
                <w:lang w:val="en-DE"/>
              </w:rPr>
              <w:t>Ox</w:t>
            </w:r>
            <w:r>
              <w:rPr>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GO:0042564</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NLS-dependent protein nuclear import complex</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c</w:t>
            </w:r>
            <w:r>
              <w:rPr>
                <w:color w:val="000000"/>
                <w:sz w:val="20"/>
                <w:szCs w:val="20"/>
                <w:lang w:val="en-DE"/>
              </w:rPr>
              <w:t>Ox</w:t>
            </w:r>
            <w:r>
              <w:rPr>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GO:0060473</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cortical granule</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c</w:t>
            </w:r>
            <w:r>
              <w:rPr>
                <w:color w:val="000000"/>
                <w:sz w:val="20"/>
                <w:szCs w:val="20"/>
                <w:lang w:val="en-DE"/>
              </w:rPr>
              <w:t>Ox</w:t>
            </w:r>
            <w:r>
              <w:rPr>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GO:1903777</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melibiose binding</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c</w:t>
            </w:r>
            <w:r>
              <w:rPr>
                <w:color w:val="000000"/>
                <w:sz w:val="20"/>
                <w:szCs w:val="20"/>
                <w:lang w:val="en-DE"/>
              </w:rPr>
              <w:t>Ox</w:t>
            </w:r>
            <w:r>
              <w:rPr>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GO:0042803</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protein homodimerization activity</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c</w:t>
            </w:r>
            <w:r>
              <w:rPr>
                <w:color w:val="000000"/>
                <w:sz w:val="20"/>
                <w:szCs w:val="20"/>
                <w:lang w:val="en-DE"/>
              </w:rPr>
              <w:t>Ox</w:t>
            </w:r>
            <w:r>
              <w:rPr>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GO:0005524</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ATP binding</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in</w:t>
            </w:r>
            <w:r>
              <w:rPr>
                <w:color w:val="000000"/>
                <w:sz w:val="20"/>
                <w:szCs w:val="20"/>
                <w:lang w:val="en-DE"/>
              </w:rPr>
              <w:t>Ox</w:t>
            </w:r>
            <w:r>
              <w:rPr>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GO:0005506</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iron ion binding</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in</w:t>
            </w:r>
            <w:r>
              <w:rPr>
                <w:color w:val="000000"/>
                <w:sz w:val="20"/>
                <w:szCs w:val="20"/>
                <w:lang w:val="en-DE"/>
              </w:rPr>
              <w:t>Ox</w:t>
            </w:r>
            <w:r>
              <w:rPr>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GO:0045329</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1</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carnitine biosynthetic process</w:t>
            </w:r>
          </w:p>
        </w:tc>
      </w:tr>
      <w:tr>
        <w:trPr>
          <w:trHeight w:val="325" w:hRule="exact"/>
        </w:trPr>
        <w:tc>
          <w:tcPr>
            <w:tcW w:w="1984"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r>
      <w:tr>
        <w:trPr>
          <w:trHeight w:val="325" w:hRule="atLeast"/>
        </w:trPr>
        <w:tc>
          <w:tcPr>
            <w:tcW w:w="1984"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b/>
                <w:b/>
                <w:bCs/>
                <w:color w:val="000000"/>
                <w:sz w:val="20"/>
                <w:szCs w:val="20"/>
                <w:lang w:val="en-DE"/>
              </w:rPr>
            </w:pPr>
            <w:r>
              <w:rPr>
                <w:b/>
                <w:bCs/>
                <w:color w:val="000000"/>
                <w:sz w:val="20"/>
                <w:szCs w:val="20"/>
                <w:lang w:val="en-DE"/>
              </w:rPr>
              <w:t>T</w:t>
            </w:r>
            <w:r>
              <w:rPr>
                <w:b/>
                <w:bCs/>
                <w:color w:val="000000"/>
                <w:sz w:val="20"/>
                <w:szCs w:val="20"/>
                <w:vertAlign w:val="subscript"/>
                <w:lang w:val="en-DE"/>
              </w:rPr>
              <w:t>in</w:t>
            </w:r>
            <w:r>
              <w:rPr>
                <w:b/>
                <w:bCs/>
                <w:color w:val="000000"/>
                <w:sz w:val="20"/>
                <w:szCs w:val="20"/>
                <w:lang w:val="en-DE"/>
              </w:rPr>
              <w:t>Ox</w:t>
            </w:r>
            <w:r>
              <w:rPr>
                <w:b/>
                <w:bCs/>
                <w:color w:val="000000"/>
                <w:sz w:val="20"/>
                <w:szCs w:val="20"/>
                <w:vertAlign w:val="subscript"/>
                <w:lang w:val="en-DE"/>
              </w:rPr>
              <w:t>n</w:t>
            </w:r>
            <w:r>
              <w:rPr>
                <w:b/>
                <w:bCs/>
                <w:color w:val="000000"/>
                <w:sz w:val="20"/>
                <w:szCs w:val="20"/>
                <w:lang w:val="en-DE"/>
              </w:rPr>
              <w:t xml:space="preserve"> vs. T</w:t>
            </w:r>
            <w:r>
              <w:rPr>
                <w:b/>
                <w:bCs/>
                <w:color w:val="000000"/>
                <w:sz w:val="20"/>
                <w:szCs w:val="20"/>
                <w:vertAlign w:val="subscript"/>
                <w:lang w:val="en-DE"/>
              </w:rPr>
              <w:t>c</w:t>
            </w:r>
            <w:r>
              <w:rPr>
                <w:b/>
                <w:bCs/>
                <w:color w:val="000000"/>
                <w:sz w:val="20"/>
                <w:szCs w:val="20"/>
                <w:lang w:val="en-DE"/>
              </w:rPr>
              <w:t>Ox</w:t>
            </w:r>
            <w:r>
              <w:rPr>
                <w:b/>
                <w:bCs/>
                <w:color w:val="000000"/>
                <w:sz w:val="20"/>
                <w:szCs w:val="20"/>
                <w:vertAlign w:val="subscript"/>
                <w:lang w:val="en-DE"/>
              </w:rPr>
              <w:t xml:space="preserve">hip </w:t>
            </w:r>
            <w:r>
              <w:rPr>
                <w:b/>
                <w:bCs/>
                <w:color w:val="000000"/>
                <w:sz w:val="20"/>
                <w:szCs w:val="20"/>
                <w:lang w:val="en-DE"/>
              </w:rPr>
              <w:t xml:space="preserve">  </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sz w:val="20"/>
                <w:szCs w:val="20"/>
                <w:lang w:val="en-DE"/>
              </w:rPr>
            </w:pPr>
            <w:r>
              <w:rPr>
                <w:sz w:val="20"/>
                <w:szCs w:val="20"/>
                <w:lang w:val="en-DE"/>
              </w:rPr>
            </w:r>
          </w:p>
        </w:tc>
      </w:tr>
      <w:tr>
        <w:trPr>
          <w:trHeight w:val="325" w:hRule="atLeast"/>
        </w:trPr>
        <w:tc>
          <w:tcPr>
            <w:tcW w:w="1984"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rPr>
            </w:pPr>
            <w:r>
              <w:rPr>
                <w:color w:val="767171" w:themeColor="background2" w:themeShade="80"/>
                <w:sz w:val="20"/>
                <w:szCs w:val="20"/>
                <w:lang w:val="en-DE"/>
              </w:rPr>
              <w:t>Enrich</w:t>
            </w:r>
            <w:r>
              <w:rPr>
                <w:color w:val="767171" w:themeColor="background2" w:themeShade="80"/>
                <w:sz w:val="20"/>
                <w:szCs w:val="20"/>
                <w:lang w:val="de-DE"/>
              </w:rPr>
              <w:t>.</w:t>
            </w:r>
            <w:r>
              <w:rPr>
                <w:color w:val="767171" w:themeColor="background2" w:themeShade="80"/>
                <w:sz w:val="20"/>
                <w:szCs w:val="20"/>
                <w:lang w:val="en-DE"/>
              </w:rPr>
              <w:t xml:space="preserve"> in treatment:</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lang w:val="en-DE"/>
              </w:rPr>
            </w:pPr>
            <w:r>
              <w:rPr>
                <w:color w:val="767171" w:themeColor="background2" w:themeShade="80"/>
                <w:sz w:val="20"/>
                <w:szCs w:val="20"/>
                <w:lang w:val="en-DE"/>
              </w:rPr>
              <w:t>category</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lang w:val="en-DE"/>
              </w:rPr>
            </w:pPr>
            <w:r>
              <w:rPr>
                <w:color w:val="767171" w:themeColor="background2" w:themeShade="80"/>
                <w:sz w:val="20"/>
                <w:szCs w:val="20"/>
                <w:lang w:val="en-DE"/>
              </w:rPr>
              <w:t>numDEInCat</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767171"/>
                <w:sz w:val="20"/>
                <w:szCs w:val="20"/>
                <w:lang w:val="en-DE"/>
              </w:rPr>
            </w:pPr>
            <w:r>
              <w:rPr>
                <w:color w:val="767171" w:themeColor="background2" w:themeShade="80"/>
                <w:sz w:val="20"/>
                <w:szCs w:val="20"/>
                <w:lang w:val="en-DE"/>
              </w:rPr>
              <w:t>term</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c</w:t>
            </w:r>
            <w:r>
              <w:rPr>
                <w:color w:val="000000"/>
                <w:sz w:val="20"/>
                <w:szCs w:val="20"/>
                <w:lang w:val="en-DE"/>
              </w:rPr>
              <w:t>Ox</w:t>
            </w:r>
            <w:r>
              <w:rPr>
                <w:color w:val="000000"/>
                <w:sz w:val="20"/>
                <w:szCs w:val="20"/>
                <w:vertAlign w:val="subscript"/>
                <w:lang w:val="en-DE"/>
              </w:rPr>
              <w:t xml:space="preserve">hip </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GO:0031398</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3</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positive regulation of protein ubiquitination</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c</w:t>
            </w:r>
            <w:r>
              <w:rPr>
                <w:color w:val="000000"/>
                <w:sz w:val="20"/>
                <w:szCs w:val="20"/>
                <w:lang w:val="en-DE"/>
              </w:rPr>
              <w:t>Ox</w:t>
            </w:r>
            <w:r>
              <w:rPr>
                <w:color w:val="000000"/>
                <w:sz w:val="20"/>
                <w:szCs w:val="20"/>
                <w:vertAlign w:val="subscript"/>
                <w:lang w:val="en-DE"/>
              </w:rPr>
              <w:t xml:space="preserve">hip </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GO:0043027</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3</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endopeptidase inhibitor activity involved in apoptotic process</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c</w:t>
            </w:r>
            <w:r>
              <w:rPr>
                <w:color w:val="000000"/>
                <w:sz w:val="20"/>
                <w:szCs w:val="20"/>
                <w:lang w:val="en-DE"/>
              </w:rPr>
              <w:t>Ox</w:t>
            </w:r>
            <w:r>
              <w:rPr>
                <w:color w:val="000000"/>
                <w:sz w:val="20"/>
                <w:szCs w:val="20"/>
                <w:vertAlign w:val="subscript"/>
                <w:lang w:val="en-DE"/>
              </w:rPr>
              <w:t xml:space="preserve">hip </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GO:0043154</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3</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negative regulation of endopeptidase involved in apoptotic process</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c</w:t>
            </w:r>
            <w:r>
              <w:rPr>
                <w:color w:val="000000"/>
                <w:sz w:val="20"/>
                <w:szCs w:val="20"/>
                <w:lang w:val="en-DE"/>
              </w:rPr>
              <w:t>Ox</w:t>
            </w:r>
            <w:r>
              <w:rPr>
                <w:color w:val="000000"/>
                <w:sz w:val="20"/>
                <w:szCs w:val="20"/>
                <w:vertAlign w:val="subscript"/>
                <w:lang w:val="en-DE"/>
              </w:rPr>
              <w:t xml:space="preserve">hip </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GO:0061630</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3</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ubiquitin protein ligase activity</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c</w:t>
            </w:r>
            <w:r>
              <w:rPr>
                <w:color w:val="000000"/>
                <w:sz w:val="20"/>
                <w:szCs w:val="20"/>
                <w:lang w:val="en-DE"/>
              </w:rPr>
              <w:t>Ox</w:t>
            </w:r>
            <w:r>
              <w:rPr>
                <w:color w:val="000000"/>
                <w:sz w:val="20"/>
                <w:szCs w:val="20"/>
                <w:vertAlign w:val="subscript"/>
                <w:lang w:val="en-DE"/>
              </w:rPr>
              <w:t xml:space="preserve">hip </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GO:1990001</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3</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inhibition of endopeptidase activity involved in apoptotic process</w:t>
            </w:r>
          </w:p>
        </w:tc>
      </w:tr>
      <w:tr>
        <w:trPr>
          <w:trHeight w:val="325" w:hRule="atLeast"/>
        </w:trPr>
        <w:tc>
          <w:tcPr>
            <w:tcW w:w="1984" w:type="dxa"/>
            <w:tcBorders>
              <w:top w:val="single" w:sz="4" w:space="0" w:color="000000"/>
              <w:bottom w:val="single" w:sz="4" w:space="0" w:color="000000"/>
              <w:insideH w:val="single" w:sz="4" w:space="0" w:color="000000"/>
            </w:tcBorders>
            <w:shd w:fill="auto" w:val="clear"/>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c</w:t>
            </w:r>
            <w:r>
              <w:rPr>
                <w:color w:val="000000"/>
                <w:sz w:val="20"/>
                <w:szCs w:val="20"/>
                <w:lang w:val="en-DE"/>
              </w:rPr>
              <w:t>Ox</w:t>
            </w:r>
            <w:r>
              <w:rPr>
                <w:color w:val="000000"/>
                <w:sz w:val="20"/>
                <w:szCs w:val="20"/>
                <w:vertAlign w:val="subscript"/>
                <w:lang w:val="en-DE"/>
              </w:rPr>
              <w:t xml:space="preserve">hip </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GO:0043066</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4</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negative regulation of apoptotic process</w:t>
            </w:r>
          </w:p>
        </w:tc>
      </w:tr>
      <w:tr>
        <w:trPr>
          <w:trHeight w:val="325" w:hRule="atLeast"/>
        </w:trPr>
        <w:tc>
          <w:tcPr>
            <w:tcW w:w="1984"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T</w:t>
            </w:r>
            <w:r>
              <w:rPr>
                <w:color w:val="000000"/>
                <w:sz w:val="20"/>
                <w:szCs w:val="20"/>
                <w:vertAlign w:val="subscript"/>
                <w:lang w:val="en-DE"/>
              </w:rPr>
              <w:t>in</w:t>
            </w:r>
            <w:r>
              <w:rPr>
                <w:color w:val="000000"/>
                <w:sz w:val="20"/>
                <w:szCs w:val="20"/>
                <w:lang w:val="en-DE"/>
              </w:rPr>
              <w:t>Ox</w:t>
            </w:r>
            <w:r>
              <w:rPr>
                <w:color w:val="000000"/>
                <w:sz w:val="20"/>
                <w:szCs w:val="20"/>
                <w:vertAlign w:val="subscript"/>
                <w:lang w:val="en-DE"/>
              </w:rPr>
              <w:t>n</w:t>
            </w:r>
          </w:p>
        </w:tc>
        <w:tc>
          <w:tcPr>
            <w:tcW w:w="1309"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GO:0003924</w:t>
            </w:r>
          </w:p>
        </w:tc>
        <w:tc>
          <w:tcPr>
            <w:tcW w:w="1295"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jc w:val="right"/>
              <w:rPr>
                <w:rFonts w:ascii="Times New Roman" w:hAnsi="Times New Roman"/>
                <w:color w:val="000000"/>
                <w:sz w:val="20"/>
                <w:szCs w:val="20"/>
                <w:lang w:val="en-DE"/>
              </w:rPr>
            </w:pPr>
            <w:r>
              <w:rPr>
                <w:color w:val="000000"/>
                <w:sz w:val="20"/>
                <w:szCs w:val="20"/>
                <w:lang w:val="en-DE"/>
              </w:rPr>
              <w:t>2</w:t>
            </w:r>
          </w:p>
        </w:tc>
        <w:tc>
          <w:tcPr>
            <w:tcW w:w="5092"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olor w:val="000000"/>
                <w:sz w:val="20"/>
                <w:szCs w:val="20"/>
                <w:lang w:val="en-DE"/>
              </w:rPr>
            </w:pPr>
            <w:r>
              <w:rPr>
                <w:color w:val="000000"/>
                <w:sz w:val="20"/>
                <w:szCs w:val="20"/>
                <w:lang w:val="en-DE"/>
              </w:rPr>
              <w:t>GTPase activity</w:t>
            </w:r>
          </w:p>
        </w:tc>
      </w:tr>
    </w:tbl>
    <w:p>
      <w:pPr>
        <w:pStyle w:val="NormalWeb"/>
        <w:spacing w:lineRule="auto" w:line="240" w:before="280" w:afterAutospacing="0" w:after="120"/>
        <w:rPr>
          <w:rFonts w:ascii="Times New Roman" w:hAnsi="Times New Roman" w:eastAsia="Times New Roman" w:cs="Calibri" w:cstheme="minorHAnsi"/>
          <w:b/>
          <w:b/>
          <w:sz w:val="24"/>
          <w:szCs w:val="24"/>
          <w:lang w:val="en-GB"/>
        </w:rPr>
      </w:pPr>
      <w:r>
        <w:rPr>
          <w:rFonts w:eastAsia="Times New Roman" w:cs="Calibri" w:cstheme="minorHAnsi"/>
          <w:b/>
          <w:sz w:val="24"/>
          <w:szCs w:val="24"/>
          <w:lang w:val="en-GB"/>
        </w:rPr>
      </w:r>
    </w:p>
    <w:p>
      <w:pPr>
        <w:pStyle w:val="NormalWeb"/>
        <w:spacing w:lineRule="auto" w:line="240" w:before="280" w:afterAutospacing="0" w:after="120"/>
        <w:rPr/>
      </w:pPr>
      <w:r>
        <w:rPr>
          <w:rFonts w:eastAsia="Times New Roman" w:cs="Calibri" w:cstheme="minorHAnsi"/>
          <w:b/>
          <w:sz w:val="24"/>
          <w:szCs w:val="24"/>
          <w:lang w:val="en-US"/>
        </w:rPr>
        <w:t>Supplementary Table</w:t>
      </w:r>
      <w:r>
        <w:rPr>
          <w:rFonts w:eastAsia="Times New Roman" w:cs="Calibri" w:cstheme="minorHAnsi"/>
          <w:b/>
          <w:sz w:val="24"/>
          <w:szCs w:val="24"/>
          <w:lang w:val="en-GB"/>
        </w:rPr>
        <w:t xml:space="preserve"> 3</w:t>
      </w:r>
    </w:p>
    <w:p>
      <w:pPr>
        <w:pStyle w:val="NormalWeb"/>
        <w:spacing w:lineRule="auto" w:line="240" w:before="280" w:afterAutospacing="0" w:after="120"/>
        <w:rPr/>
      </w:pPr>
      <w:r>
        <w:rPr>
          <w:rFonts w:eastAsia="Times New Roman" w:cs="Calibri" w:cstheme="minorHAnsi"/>
          <w:bCs/>
          <w:sz w:val="24"/>
          <w:szCs w:val="24"/>
          <w:lang w:val="en-GB"/>
        </w:rPr>
        <w:t>List of differentially expressed genes (DEG) supporting the most significant enriched GO terms in hypoxia vs. Normoxia treatments at in situ and warming conditions in the experiment performed in West Antarctic Peninsula</w:t>
      </w:r>
    </w:p>
    <w:p>
      <w:pPr>
        <w:pStyle w:val="NormalWeb"/>
        <w:spacing w:lineRule="auto" w:line="240" w:before="280" w:afterAutospacing="0" w:after="120"/>
        <w:rPr/>
      </w:pPr>
      <w:r>
        <w:rPr/>
        <mc:AlternateContent>
          <mc:Choice Requires="wps">
            <w:drawing>
              <wp:anchor behindDoc="0" distT="0" distB="0" distL="114300" distR="114300" simplePos="0" locked="0" layoutInCell="1" allowOverlap="1" relativeHeight="9">
                <wp:simplePos x="0" y="0"/>
                <wp:positionH relativeFrom="margin">
                  <wp:posOffset>-68580</wp:posOffset>
                </wp:positionH>
                <wp:positionV relativeFrom="paragraph">
                  <wp:posOffset>345440</wp:posOffset>
                </wp:positionV>
                <wp:extent cx="5434330" cy="6983095"/>
                <wp:effectExtent l="0" t="0" r="0" b="0"/>
                <wp:wrapSquare wrapText="bothSides"/>
                <wp:docPr id="1" name="Marco3"/>
                <a:graphic xmlns:a="http://schemas.openxmlformats.org/drawingml/2006/main">
                  <a:graphicData uri="http://schemas.microsoft.com/office/word/2010/wordprocessingShape">
                    <wps:wsp>
                      <wps:cNvSpPr/>
                      <wps:spPr>
                        <a:xfrm>
                          <a:off x="0" y="0"/>
                          <a:ext cx="5433840" cy="6982560"/>
                        </a:xfrm>
                        <a:prstGeom prst="rect">
                          <a:avLst/>
                        </a:prstGeom>
                        <a:noFill/>
                        <a:ln>
                          <a:noFill/>
                        </a:ln>
                      </wps:spPr>
                      <wps:style>
                        <a:lnRef idx="0"/>
                        <a:fillRef idx="0"/>
                        <a:effectRef idx="0"/>
                        <a:fontRef idx="minor"/>
                      </wps:style>
                      <wps:txbx>
                        <w:txbxContent>
                          <w:tbl>
                            <w:tblPr>
                              <w:tblW w:w="8556" w:type="dxa"/>
                              <w:jc w:val="left"/>
                              <w:tblInd w:w="0" w:type="dxa"/>
                              <w:tblBorders>
                                <w:bottom w:val="single" w:sz="4" w:space="0" w:color="000000"/>
                                <w:insideH w:val="single" w:sz="4" w:space="0" w:color="000000"/>
                              </w:tblBorders>
                              <w:tblCellMar>
                                <w:top w:w="0" w:type="dxa"/>
                                <w:left w:w="108" w:type="dxa"/>
                                <w:bottom w:w="0" w:type="dxa"/>
                                <w:right w:w="108" w:type="dxa"/>
                              </w:tblCellMar>
                              <w:tblLook w:noVBand="1" w:val="04a0" w:noHBand="0" w:lastColumn="0" w:firstColumn="1" w:lastRow="0" w:firstRow="1"/>
                            </w:tblPr>
                            <w:tblGrid>
                              <w:gridCol w:w="8556"/>
                            </w:tblGrid>
                            <w:tr>
                              <w:trPr>
                                <w:trHeight w:val="329" w:hRule="atLeast"/>
                              </w:trPr>
                              <w:tc>
                                <w:tcPr>
                                  <w:tcW w:w="8556" w:type="dxa"/>
                                  <w:tcBorders>
                                    <w:bottom w:val="single" w:sz="4" w:space="0" w:color="000000"/>
                                    <w:insideH w:val="single" w:sz="4" w:space="0" w:color="000000"/>
                                  </w:tcBorders>
                                  <w:shd w:fill="auto" w:val="clear"/>
                                  <w:vAlign w:val="bottom"/>
                                </w:tcPr>
                                <w:p>
                                  <w:pPr>
                                    <w:pStyle w:val="Normal"/>
                                    <w:widowControl w:val="false"/>
                                    <w:pBdr>
                                      <w:bottom w:val="single" w:sz="4" w:space="1" w:color="000000"/>
                                    </w:pBdr>
                                    <w:spacing w:lineRule="auto" w:line="240" w:before="120" w:after="240"/>
                                    <w:rPr/>
                                  </w:pPr>
                                  <w:r>
                                    <w:rPr>
                                      <w:rFonts w:cs="Calibri" w:cstheme="minorHAnsi"/>
                                      <w:b/>
                                      <w:sz w:val="21"/>
                                      <w:szCs w:val="21"/>
                                      <w:lang w:val="en-GB"/>
                                    </w:rPr>
                                    <w:t>T</w:t>
                                  </w:r>
                                  <w:r>
                                    <w:rPr>
                                      <w:rFonts w:cs="Calibri" w:cstheme="minorHAnsi"/>
                                      <w:b/>
                                      <w:sz w:val="21"/>
                                      <w:szCs w:val="21"/>
                                      <w:vertAlign w:val="subscript"/>
                                      <w:lang w:val="en-GB"/>
                                    </w:rPr>
                                    <w:t>is</w:t>
                                  </w:r>
                                  <w:r>
                                    <w:rPr>
                                      <w:rFonts w:cs="Calibri" w:cstheme="minorHAnsi"/>
                                      <w:b/>
                                      <w:sz w:val="21"/>
                                      <w:szCs w:val="21"/>
                                      <w:lang w:val="en-GB"/>
                                    </w:rPr>
                                    <w:t>Ox</w:t>
                                  </w:r>
                                  <w:r>
                                    <w:rPr>
                                      <w:rFonts w:cs="Calibri" w:cstheme="minorHAnsi"/>
                                      <w:b/>
                                      <w:sz w:val="21"/>
                                      <w:szCs w:val="21"/>
                                      <w:vertAlign w:val="subscript"/>
                                      <w:lang w:val="en-GB"/>
                                    </w:rPr>
                                    <w:t>n</w:t>
                                  </w:r>
                                  <w:r>
                                    <w:rPr>
                                      <w:rFonts w:cs="Calibri" w:cstheme="minorHAnsi"/>
                                      <w:b/>
                                      <w:sz w:val="21"/>
                                      <w:szCs w:val="21"/>
                                      <w:lang w:val="en-GB"/>
                                    </w:rPr>
                                    <w:t xml:space="preserve"> vs. T</w:t>
                                  </w:r>
                                  <w:r>
                                    <w:rPr>
                                      <w:rFonts w:cs="Calibri" w:cstheme="minorHAnsi"/>
                                      <w:b/>
                                      <w:sz w:val="21"/>
                                      <w:szCs w:val="21"/>
                                      <w:vertAlign w:val="subscript"/>
                                      <w:lang w:val="en-GB"/>
                                    </w:rPr>
                                    <w:t>is</w:t>
                                  </w:r>
                                  <w:r>
                                    <w:rPr>
                                      <w:rFonts w:cs="Calibri" w:cstheme="minorHAnsi"/>
                                      <w:b/>
                                      <w:sz w:val="21"/>
                                      <w:szCs w:val="21"/>
                                      <w:lang w:val="en-GB"/>
                                    </w:rPr>
                                    <w:t>Ox</w:t>
                                  </w:r>
                                  <w:r>
                                    <w:rPr>
                                      <w:rFonts w:cs="Calibri" w:cstheme="minorHAnsi"/>
                                      <w:b/>
                                      <w:sz w:val="21"/>
                                      <w:szCs w:val="21"/>
                                      <w:vertAlign w:val="subscript"/>
                                      <w:lang w:val="en-GB"/>
                                    </w:rPr>
                                    <w:t>hyp</w:t>
                                  </w:r>
                                </w:p>
                                <w:p>
                                  <w:pPr>
                                    <w:pStyle w:val="Normal"/>
                                    <w:widowControl w:val="false"/>
                                    <w:spacing w:lineRule="auto" w:line="240"/>
                                    <w:rPr>
                                      <w:rFonts w:ascii="Times New Roman" w:hAnsi="Times New Roman" w:cs="Calibri"/>
                                      <w:b/>
                                      <w:b/>
                                      <w:bCs/>
                                      <w:color w:val="000000"/>
                                      <w:sz w:val="21"/>
                                      <w:szCs w:val="21"/>
                                      <w:lang w:val="en-GB"/>
                                    </w:rPr>
                                  </w:pPr>
                                  <w:r>
                                    <w:rPr>
                                      <w:rFonts w:cs="Calibri"/>
                                      <w:b/>
                                      <w:bCs/>
                                      <w:color w:val="000000"/>
                                      <w:sz w:val="21"/>
                                      <w:szCs w:val="21"/>
                                      <w:lang w:val="en-GB"/>
                                    </w:rPr>
                                  </w:r>
                                </w:p>
                                <w:p>
                                  <w:pPr>
                                    <w:pStyle w:val="Normal"/>
                                    <w:widowControl w:val="false"/>
                                    <w:spacing w:lineRule="auto" w:line="240" w:before="120" w:after="240"/>
                                    <w:rPr/>
                                  </w:pPr>
                                  <w:r>
                                    <w:rPr>
                                      <w:rFonts w:cs="Calibri"/>
                                      <w:color w:val="000000"/>
                                      <w:sz w:val="21"/>
                                      <w:szCs w:val="21"/>
                                      <w:lang w:val="en-GB"/>
                                    </w:rPr>
                                    <w:t>GO: Mitochondrion</w:t>
                                  </w:r>
                                  <w:bookmarkStart w:id="1" w:name="__UnoMark__11056_2139220178"/>
                                  <w:bookmarkEnd w:id="1"/>
                                </w:p>
                              </w:tc>
                            </w:tr>
                            <w:tr>
                              <w:trPr>
                                <w:trHeight w:val="329" w:hRule="atLeast"/>
                              </w:trPr>
                              <w:tc>
                                <w:tcPr>
                                  <w:tcW w:w="8556" w:type="dxa"/>
                                  <w:tcBorders>
                                    <w:top w:val="single" w:sz="4" w:space="0" w:color="000000"/>
                                    <w:bottom w:val="single" w:sz="4" w:space="0" w:color="000000"/>
                                    <w:insideH w:val="single" w:sz="4" w:space="0" w:color="000000"/>
                                  </w:tcBorders>
                                  <w:shd w:color="auto" w:fill="E7E6E6" w:themeFill="background2" w:val="clear"/>
                                  <w:vAlign w:val="bottom"/>
                                </w:tcPr>
                                <w:p>
                                  <w:pPr>
                                    <w:pStyle w:val="Normal"/>
                                    <w:widowControl w:val="false"/>
                                    <w:spacing w:lineRule="auto" w:line="240" w:before="120" w:after="240"/>
                                    <w:rPr/>
                                  </w:pPr>
                                  <w:bookmarkStart w:id="2" w:name="__UnoMark__11057_2139220178"/>
                                  <w:bookmarkEnd w:id="2"/>
                                  <w:r>
                                    <w:rPr>
                                      <w:rFonts w:cs="Calibri"/>
                                      <w:color w:val="000000"/>
                                      <w:sz w:val="21"/>
                                      <w:szCs w:val="21"/>
                                      <w:lang w:val="en-US"/>
                                    </w:rPr>
                                    <w:t>ETS domain-containing protein Elk-1</w:t>
                                  </w:r>
                                  <w:bookmarkStart w:id="3" w:name="__UnoMark__11058_2139220178"/>
                                  <w:bookmarkEnd w:id="3"/>
                                </w:p>
                              </w:tc>
                            </w:tr>
                            <w:tr>
                              <w:trPr>
                                <w:trHeight w:val="329" w:hRule="atLeast"/>
                              </w:trPr>
                              <w:tc>
                                <w:tcPr>
                                  <w:tcW w:w="8556" w:type="dxa"/>
                                  <w:tcBorders>
                                    <w:top w:val="single" w:sz="4" w:space="0" w:color="000000"/>
                                    <w:bottom w:val="single" w:sz="4" w:space="0" w:color="000000"/>
                                    <w:insideH w:val="single" w:sz="4" w:space="0" w:color="000000"/>
                                  </w:tcBorders>
                                  <w:shd w:color="auto" w:fill="E7E6E6" w:themeFill="background2" w:val="clear"/>
                                  <w:vAlign w:val="bottom"/>
                                </w:tcPr>
                                <w:p>
                                  <w:pPr>
                                    <w:pStyle w:val="Normal"/>
                                    <w:widowControl w:val="false"/>
                                    <w:spacing w:lineRule="auto" w:line="240" w:before="120" w:after="240"/>
                                    <w:rPr/>
                                  </w:pPr>
                                  <w:bookmarkStart w:id="4" w:name="__UnoMark__11059_2139220178"/>
                                  <w:bookmarkEnd w:id="4"/>
                                  <w:r>
                                    <w:rPr>
                                      <w:rFonts w:cs="Calibri"/>
                                      <w:color w:val="000000"/>
                                      <w:sz w:val="21"/>
                                      <w:szCs w:val="21"/>
                                      <w:lang w:val="en-US"/>
                                    </w:rPr>
                                    <w:t>Haloacid dehalogenase-like hydrolase domain-containing 5</w:t>
                                  </w:r>
                                  <w:bookmarkStart w:id="5" w:name="__UnoMark__11060_2139220178"/>
                                  <w:bookmarkEnd w:id="5"/>
                                </w:p>
                              </w:tc>
                            </w:tr>
                            <w:tr>
                              <w:trPr>
                                <w:trHeight w:val="329" w:hRule="atLeast"/>
                              </w:trPr>
                              <w:tc>
                                <w:tcPr>
                                  <w:tcW w:w="8556" w:type="dxa"/>
                                  <w:tcBorders>
                                    <w:top w:val="single" w:sz="4" w:space="0" w:color="000000"/>
                                    <w:bottom w:val="single" w:sz="4" w:space="0" w:color="000000"/>
                                    <w:insideH w:val="single" w:sz="4" w:space="0" w:color="000000"/>
                                  </w:tcBorders>
                                  <w:shd w:color="auto" w:fill="E7E6E6" w:themeFill="background2" w:val="clear"/>
                                  <w:vAlign w:val="bottom"/>
                                </w:tcPr>
                                <w:p>
                                  <w:pPr>
                                    <w:pStyle w:val="Normal"/>
                                    <w:widowControl w:val="false"/>
                                    <w:spacing w:lineRule="auto" w:line="240" w:before="120" w:after="240"/>
                                    <w:rPr/>
                                  </w:pPr>
                                  <w:bookmarkStart w:id="6" w:name="__UnoMark__11061_2139220178"/>
                                  <w:bookmarkEnd w:id="6"/>
                                  <w:r>
                                    <w:rPr>
                                      <w:rFonts w:cs="Calibri"/>
                                      <w:color w:val="000000"/>
                                      <w:sz w:val="21"/>
                                      <w:szCs w:val="21"/>
                                    </w:rPr>
                                    <w:t>Alternative oxidase, mitochondrial</w:t>
                                  </w:r>
                                  <w:bookmarkStart w:id="7" w:name="__UnoMark__11062_2139220178"/>
                                  <w:bookmarkEnd w:id="7"/>
                                </w:p>
                              </w:tc>
                            </w:tr>
                            <w:tr>
                              <w:trPr>
                                <w:trHeight w:val="329" w:hRule="atLeast"/>
                              </w:trPr>
                              <w:tc>
                                <w:tcPr>
                                  <w:tcW w:w="8556" w:type="dxa"/>
                                  <w:tcBorders>
                                    <w:top w:val="single" w:sz="4" w:space="0" w:color="000000"/>
                                    <w:bottom w:val="single" w:sz="4" w:space="0" w:color="000000"/>
                                    <w:insideH w:val="single" w:sz="4" w:space="0" w:color="000000"/>
                                  </w:tcBorders>
                                  <w:shd w:color="auto" w:fill="E7E6E6" w:themeFill="background2" w:val="clear"/>
                                  <w:vAlign w:val="bottom"/>
                                </w:tcPr>
                                <w:p>
                                  <w:pPr>
                                    <w:pStyle w:val="Normal"/>
                                    <w:widowControl w:val="false"/>
                                    <w:spacing w:lineRule="auto" w:line="240" w:before="120" w:after="240"/>
                                    <w:rPr/>
                                  </w:pPr>
                                  <w:bookmarkStart w:id="8" w:name="__UnoMark__11063_2139220178"/>
                                  <w:bookmarkEnd w:id="8"/>
                                  <w:r>
                                    <w:rPr>
                                      <w:rFonts w:cs="Calibri"/>
                                      <w:color w:val="000000"/>
                                      <w:sz w:val="21"/>
                                      <w:szCs w:val="21"/>
                                      <w:lang w:val="en-US"/>
                                    </w:rPr>
                                    <w:t>AAC-rich mRNA clone AAC4 protein</w:t>
                                  </w:r>
                                  <w:bookmarkStart w:id="9" w:name="__UnoMark__11064_2139220178"/>
                                  <w:bookmarkEnd w:id="9"/>
                                </w:p>
                              </w:tc>
                            </w:tr>
                            <w:tr>
                              <w:trPr>
                                <w:trHeight w:val="329" w:hRule="exact"/>
                              </w:trPr>
                              <w:tc>
                                <w:tcPr>
                                  <w:tcW w:w="8556" w:type="dxa"/>
                                  <w:tcBorders>
                                    <w:top w:val="single" w:sz="4" w:space="0" w:color="000000"/>
                                    <w:bottom w:val="single" w:sz="4" w:space="0" w:color="000000"/>
                                    <w:insideH w:val="single" w:sz="4" w:space="0" w:color="000000"/>
                                  </w:tcBorders>
                                  <w:shd w:fill="auto" w:val="clear"/>
                                  <w:vAlign w:val="bottom"/>
                                </w:tcPr>
                                <w:p>
                                  <w:pPr>
                                    <w:pStyle w:val="NormalWeb"/>
                                    <w:widowControl w:val="false"/>
                                    <w:spacing w:lineRule="auto" w:line="240" w:before="0" w:afterAutospacing="0" w:after="120"/>
                                    <w:rPr>
                                      <w:rFonts w:ascii="Times New Roman" w:hAnsi="Times New Roman" w:eastAsia="Times New Roman" w:cs="Calibri" w:cstheme="minorHAnsi"/>
                                      <w:bCs/>
                                      <w:sz w:val="21"/>
                                      <w:szCs w:val="21"/>
                                      <w:lang w:val="en-GB"/>
                                    </w:rPr>
                                  </w:pPr>
                                  <w:r>
                                    <w:rPr>
                                      <w:rFonts w:eastAsia="Times New Roman" w:cs="Calibri" w:cstheme="minorHAnsi"/>
                                      <w:bCs/>
                                      <w:sz w:val="21"/>
                                      <w:szCs w:val="21"/>
                                      <w:lang w:val="en-GB"/>
                                    </w:rPr>
                                  </w:r>
                                  <w:bookmarkStart w:id="10" w:name="__UnoMark__11066_2139220178"/>
                                  <w:bookmarkStart w:id="11" w:name="__UnoMark__11065_2139220178"/>
                                  <w:bookmarkStart w:id="12" w:name="__UnoMark__11066_2139220178"/>
                                  <w:bookmarkStart w:id="13" w:name="__UnoMark__11065_2139220178"/>
                                  <w:bookmarkEnd w:id="12"/>
                                  <w:bookmarkEnd w:id="13"/>
                                </w:p>
                              </w:tc>
                            </w:tr>
                            <w:tr>
                              <w:trPr>
                                <w:trHeight w:val="329" w:hRule="atLeast"/>
                              </w:trPr>
                              <w:tc>
                                <w:tcPr>
                                  <w:tcW w:w="8556" w:type="dxa"/>
                                  <w:tcBorders>
                                    <w:top w:val="single" w:sz="4" w:space="0" w:color="000000"/>
                                    <w:bottom w:val="single" w:sz="4" w:space="0" w:color="000000"/>
                                    <w:insideH w:val="single" w:sz="4" w:space="0" w:color="000000"/>
                                  </w:tcBorders>
                                  <w:shd w:fill="auto" w:val="clear"/>
                                  <w:vAlign w:val="bottom"/>
                                </w:tcPr>
                                <w:p>
                                  <w:pPr>
                                    <w:pStyle w:val="Normal"/>
                                    <w:widowControl w:val="false"/>
                                    <w:pBdr>
                                      <w:bottom w:val="single" w:sz="4" w:space="1" w:color="000000"/>
                                    </w:pBdr>
                                    <w:spacing w:lineRule="auto" w:line="240" w:before="120" w:after="240"/>
                                    <w:rPr/>
                                  </w:pPr>
                                  <w:bookmarkStart w:id="14" w:name="__UnoMark__11067_2139220178"/>
                                  <w:bookmarkEnd w:id="14"/>
                                  <w:r>
                                    <w:rPr>
                                      <w:rFonts w:cs="Calibri" w:cstheme="minorHAnsi"/>
                                      <w:b/>
                                      <w:sz w:val="21"/>
                                      <w:szCs w:val="21"/>
                                      <w:lang w:val="en-GB"/>
                                    </w:rPr>
                                    <w:t>T</w:t>
                                  </w:r>
                                  <w:r>
                                    <w:rPr>
                                      <w:rFonts w:cs="Calibri" w:cstheme="minorHAnsi"/>
                                      <w:b/>
                                      <w:sz w:val="21"/>
                                      <w:szCs w:val="21"/>
                                      <w:vertAlign w:val="subscript"/>
                                      <w:lang w:val="en-GB"/>
                                    </w:rPr>
                                    <w:t>w</w:t>
                                  </w:r>
                                  <w:r>
                                    <w:rPr>
                                      <w:rFonts w:cs="Calibri" w:cstheme="minorHAnsi"/>
                                      <w:b/>
                                      <w:sz w:val="21"/>
                                      <w:szCs w:val="21"/>
                                      <w:lang w:val="en-GB"/>
                                    </w:rPr>
                                    <w:t>Ox</w:t>
                                  </w:r>
                                  <w:r>
                                    <w:rPr>
                                      <w:rFonts w:cs="Calibri" w:cstheme="minorHAnsi"/>
                                      <w:b/>
                                      <w:sz w:val="21"/>
                                      <w:szCs w:val="21"/>
                                      <w:vertAlign w:val="subscript"/>
                                      <w:lang w:val="en-GB"/>
                                    </w:rPr>
                                    <w:t>n</w:t>
                                  </w:r>
                                  <w:r>
                                    <w:rPr>
                                      <w:rFonts w:cs="Calibri" w:cstheme="minorHAnsi"/>
                                      <w:b/>
                                      <w:sz w:val="21"/>
                                      <w:szCs w:val="21"/>
                                      <w:lang w:val="en-GB"/>
                                    </w:rPr>
                                    <w:t xml:space="preserve"> vs. T</w:t>
                                  </w:r>
                                  <w:r>
                                    <w:rPr>
                                      <w:rFonts w:cs="Calibri" w:cstheme="minorHAnsi"/>
                                      <w:b/>
                                      <w:sz w:val="21"/>
                                      <w:szCs w:val="21"/>
                                      <w:vertAlign w:val="subscript"/>
                                      <w:lang w:val="en-GB"/>
                                    </w:rPr>
                                    <w:t>w</w:t>
                                  </w:r>
                                  <w:r>
                                    <w:rPr>
                                      <w:rFonts w:cs="Calibri" w:cstheme="minorHAnsi"/>
                                      <w:b/>
                                      <w:sz w:val="21"/>
                                      <w:szCs w:val="21"/>
                                      <w:lang w:val="en-GB"/>
                                    </w:rPr>
                                    <w:t>Ox</w:t>
                                  </w:r>
                                  <w:r>
                                    <w:rPr>
                                      <w:rFonts w:cs="Calibri" w:cstheme="minorHAnsi"/>
                                      <w:b/>
                                      <w:sz w:val="21"/>
                                      <w:szCs w:val="21"/>
                                      <w:vertAlign w:val="subscript"/>
                                      <w:lang w:val="en-GB"/>
                                    </w:rPr>
                                    <w:t>hyp</w:t>
                                  </w:r>
                                </w:p>
                                <w:p>
                                  <w:pPr>
                                    <w:pStyle w:val="Normal"/>
                                    <w:widowControl w:val="false"/>
                                    <w:spacing w:lineRule="auto" w:line="240"/>
                                    <w:rPr>
                                      <w:rFonts w:ascii="Times New Roman" w:hAnsi="Times New Roman" w:cs="Calibri"/>
                                      <w:b/>
                                      <w:b/>
                                      <w:color w:val="000000"/>
                                      <w:sz w:val="21"/>
                                      <w:szCs w:val="21"/>
                                      <w:lang w:val="en-US"/>
                                    </w:rPr>
                                  </w:pPr>
                                  <w:r>
                                    <w:rPr>
                                      <w:rFonts w:cs="Calibri"/>
                                      <w:b/>
                                      <w:color w:val="000000"/>
                                      <w:sz w:val="21"/>
                                      <w:szCs w:val="21"/>
                                      <w:lang w:val="en-US"/>
                                    </w:rPr>
                                  </w:r>
                                </w:p>
                                <w:p>
                                  <w:pPr>
                                    <w:pStyle w:val="Normal"/>
                                    <w:widowControl w:val="false"/>
                                    <w:spacing w:lineRule="auto" w:line="240" w:before="120" w:after="240"/>
                                    <w:rPr/>
                                  </w:pPr>
                                  <w:r>
                                    <w:rPr>
                                      <w:rFonts w:cs="Calibri"/>
                                      <w:color w:val="000000"/>
                                      <w:sz w:val="21"/>
                                      <w:szCs w:val="21"/>
                                      <w:lang w:val="en-US"/>
                                    </w:rPr>
                                    <w:t>GO: metal ion binding</w:t>
                                  </w:r>
                                  <w:bookmarkStart w:id="15" w:name="__UnoMark__11068_2139220178"/>
                                  <w:bookmarkEnd w:id="15"/>
                                </w:p>
                              </w:tc>
                            </w:tr>
                            <w:tr>
                              <w:trPr>
                                <w:trHeight w:val="329" w:hRule="atLeast"/>
                              </w:trPr>
                              <w:tc>
                                <w:tcPr>
                                  <w:tcW w:w="8556" w:type="dxa"/>
                                  <w:tcBorders>
                                    <w:top w:val="single" w:sz="4" w:space="0" w:color="000000"/>
                                    <w:bottom w:val="single" w:sz="4" w:space="0" w:color="000000"/>
                                    <w:insideH w:val="single" w:sz="4" w:space="0" w:color="000000"/>
                                  </w:tcBorders>
                                  <w:shd w:color="auto" w:fill="E7E6E6" w:themeFill="background2" w:val="clear"/>
                                  <w:vAlign w:val="bottom"/>
                                </w:tcPr>
                                <w:p>
                                  <w:pPr>
                                    <w:pStyle w:val="Normal"/>
                                    <w:widowControl w:val="false"/>
                                    <w:spacing w:lineRule="auto" w:line="240" w:before="120" w:after="240"/>
                                    <w:rPr/>
                                  </w:pPr>
                                  <w:bookmarkStart w:id="16" w:name="__UnoMark__11069_2139220178"/>
                                  <w:bookmarkEnd w:id="16"/>
                                  <w:r>
                                    <w:rPr>
                                      <w:rFonts w:cs="Calibri"/>
                                      <w:color w:val="000000"/>
                                      <w:sz w:val="21"/>
                                      <w:szCs w:val="21"/>
                                    </w:rPr>
                                    <w:t>Elastase</w:t>
                                  </w:r>
                                  <w:bookmarkStart w:id="17" w:name="__UnoMark__11070_2139220178"/>
                                  <w:bookmarkEnd w:id="17"/>
                                </w:p>
                              </w:tc>
                            </w:tr>
                            <w:tr>
                              <w:trPr>
                                <w:trHeight w:val="329" w:hRule="atLeast"/>
                              </w:trPr>
                              <w:tc>
                                <w:tcPr>
                                  <w:tcW w:w="8556" w:type="dxa"/>
                                  <w:tcBorders>
                                    <w:top w:val="single" w:sz="4" w:space="0" w:color="000000"/>
                                    <w:bottom w:val="single" w:sz="4" w:space="0" w:color="000000"/>
                                    <w:insideH w:val="single" w:sz="4" w:space="0" w:color="000000"/>
                                  </w:tcBorders>
                                  <w:shd w:color="auto" w:fill="E7E6E6" w:themeFill="background2" w:val="clear"/>
                                  <w:vAlign w:val="bottom"/>
                                </w:tcPr>
                                <w:p>
                                  <w:pPr>
                                    <w:pStyle w:val="Normal"/>
                                    <w:widowControl w:val="false"/>
                                    <w:spacing w:lineRule="auto" w:line="240" w:before="120" w:after="240"/>
                                    <w:rPr/>
                                  </w:pPr>
                                  <w:bookmarkStart w:id="18" w:name="__UnoMark__11071_2139220178"/>
                                  <w:bookmarkEnd w:id="18"/>
                                  <w:r>
                                    <w:rPr>
                                      <w:rFonts w:cs="Calibri"/>
                                      <w:color w:val="000000"/>
                                      <w:sz w:val="21"/>
                                      <w:szCs w:val="21"/>
                                    </w:rPr>
                                    <w:t>Cytochrome b</w:t>
                                  </w:r>
                                  <w:bookmarkStart w:id="19" w:name="__UnoMark__11072_2139220178"/>
                                  <w:bookmarkEnd w:id="19"/>
                                </w:p>
                              </w:tc>
                            </w:tr>
                            <w:tr>
                              <w:trPr>
                                <w:trHeight w:val="329" w:hRule="atLeast"/>
                              </w:trPr>
                              <w:tc>
                                <w:tcPr>
                                  <w:tcW w:w="8556" w:type="dxa"/>
                                  <w:tcBorders>
                                    <w:top w:val="single" w:sz="4" w:space="0" w:color="000000"/>
                                    <w:bottom w:val="single" w:sz="4" w:space="0" w:color="000000"/>
                                    <w:insideH w:val="single" w:sz="4" w:space="0" w:color="000000"/>
                                  </w:tcBorders>
                                  <w:shd w:color="auto" w:fill="E7E6E6" w:themeFill="background2" w:val="clear"/>
                                  <w:vAlign w:val="bottom"/>
                                </w:tcPr>
                                <w:p>
                                  <w:pPr>
                                    <w:pStyle w:val="Normal"/>
                                    <w:widowControl w:val="false"/>
                                    <w:spacing w:lineRule="auto" w:line="240" w:before="120" w:after="240"/>
                                    <w:rPr/>
                                  </w:pPr>
                                  <w:bookmarkStart w:id="20" w:name="__UnoMark__11073_2139220178"/>
                                  <w:bookmarkEnd w:id="20"/>
                                  <w:r>
                                    <w:rPr>
                                      <w:rFonts w:cs="Calibri"/>
                                      <w:color w:val="000000"/>
                                      <w:sz w:val="21"/>
                                      <w:szCs w:val="21"/>
                                      <w:lang w:val="en-US"/>
                                    </w:rPr>
                                    <w:t>Transcription initiation factor TFIID subunit 3</w:t>
                                  </w:r>
                                  <w:bookmarkStart w:id="21" w:name="__UnoMark__11074_2139220178"/>
                                  <w:bookmarkEnd w:id="21"/>
                                </w:p>
                              </w:tc>
                            </w:tr>
                            <w:tr>
                              <w:trPr>
                                <w:trHeight w:val="329" w:hRule="atLeast"/>
                              </w:trPr>
                              <w:tc>
                                <w:tcPr>
                                  <w:tcW w:w="8556" w:type="dxa"/>
                                  <w:tcBorders>
                                    <w:top w:val="single" w:sz="4" w:space="0" w:color="000000"/>
                                    <w:bottom w:val="single" w:sz="4" w:space="0" w:color="000000"/>
                                    <w:insideH w:val="single" w:sz="4" w:space="0" w:color="000000"/>
                                  </w:tcBorders>
                                  <w:shd w:color="auto" w:fill="E7E6E6" w:themeFill="background2" w:val="clear"/>
                                  <w:vAlign w:val="bottom"/>
                                </w:tcPr>
                                <w:p>
                                  <w:pPr>
                                    <w:pStyle w:val="Normal"/>
                                    <w:widowControl w:val="false"/>
                                    <w:spacing w:lineRule="auto" w:line="240" w:before="120" w:after="240"/>
                                    <w:rPr/>
                                  </w:pPr>
                                  <w:bookmarkStart w:id="22" w:name="__UnoMark__11075_2139220178"/>
                                  <w:bookmarkEnd w:id="22"/>
                                  <w:r>
                                    <w:rPr>
                                      <w:rFonts w:cs="Calibri"/>
                                      <w:color w:val="000000"/>
                                      <w:sz w:val="21"/>
                                      <w:szCs w:val="21"/>
                                    </w:rPr>
                                    <w:t>Neprilysin-1</w:t>
                                  </w:r>
                                  <w:bookmarkStart w:id="23" w:name="__UnoMark__11076_2139220178"/>
                                  <w:bookmarkEnd w:id="23"/>
                                </w:p>
                              </w:tc>
                            </w:tr>
                            <w:tr>
                              <w:trPr>
                                <w:trHeight w:val="329" w:hRule="exact"/>
                              </w:trPr>
                              <w:tc>
                                <w:tcPr>
                                  <w:tcW w:w="8556"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s="Calibri"/>
                                      <w:color w:val="000000"/>
                                      <w:sz w:val="21"/>
                                      <w:szCs w:val="21"/>
                                    </w:rPr>
                                  </w:pPr>
                                  <w:r>
                                    <w:rPr>
                                      <w:rFonts w:cs="Calibri"/>
                                      <w:color w:val="000000"/>
                                      <w:sz w:val="21"/>
                                      <w:szCs w:val="21"/>
                                    </w:rPr>
                                  </w:r>
                                  <w:bookmarkStart w:id="24" w:name="__UnoMark__11078_2139220178"/>
                                  <w:bookmarkStart w:id="25" w:name="__UnoMark__11077_2139220178"/>
                                  <w:bookmarkStart w:id="26" w:name="__UnoMark__11078_2139220178"/>
                                  <w:bookmarkStart w:id="27" w:name="__UnoMark__11077_2139220178"/>
                                  <w:bookmarkEnd w:id="26"/>
                                  <w:bookmarkEnd w:id="27"/>
                                </w:p>
                              </w:tc>
                            </w:tr>
                            <w:tr>
                              <w:trPr>
                                <w:trHeight w:val="329" w:hRule="atLeast"/>
                              </w:trPr>
                              <w:tc>
                                <w:tcPr>
                                  <w:tcW w:w="8556"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pPr>
                                  <w:bookmarkStart w:id="28" w:name="__UnoMark__11079_2139220178"/>
                                  <w:bookmarkEnd w:id="28"/>
                                  <w:r>
                                    <w:rPr>
                                      <w:rFonts w:cs="Calibri"/>
                                      <w:color w:val="000000"/>
                                      <w:sz w:val="21"/>
                                      <w:szCs w:val="21"/>
                                    </w:rPr>
                                    <w:t>GO: metal ion binding</w:t>
                                  </w:r>
                                  <w:bookmarkStart w:id="29" w:name="__UnoMark__11080_2139220178"/>
                                  <w:bookmarkEnd w:id="29"/>
                                </w:p>
                              </w:tc>
                            </w:tr>
                            <w:tr>
                              <w:trPr>
                                <w:trHeight w:val="329" w:hRule="atLeast"/>
                              </w:trPr>
                              <w:tc>
                                <w:tcPr>
                                  <w:tcW w:w="8556" w:type="dxa"/>
                                  <w:tcBorders>
                                    <w:top w:val="single" w:sz="4" w:space="0" w:color="000000"/>
                                    <w:bottom w:val="single" w:sz="4" w:space="0" w:color="000000"/>
                                    <w:insideH w:val="single" w:sz="4" w:space="0" w:color="000000"/>
                                  </w:tcBorders>
                                  <w:shd w:color="auto" w:fill="E7E6E6" w:themeFill="background2" w:val="clear"/>
                                  <w:vAlign w:val="bottom"/>
                                </w:tcPr>
                                <w:p>
                                  <w:pPr>
                                    <w:pStyle w:val="Normal"/>
                                    <w:widowControl w:val="false"/>
                                    <w:spacing w:lineRule="auto" w:line="240" w:before="120" w:after="240"/>
                                    <w:rPr/>
                                  </w:pPr>
                                  <w:bookmarkStart w:id="30" w:name="__UnoMark__11081_2139220178"/>
                                  <w:bookmarkEnd w:id="30"/>
                                  <w:r>
                                    <w:rPr>
                                      <w:rFonts w:cs="Calibri"/>
                                      <w:color w:val="000000"/>
                                      <w:sz w:val="21"/>
                                      <w:szCs w:val="21"/>
                                    </w:rPr>
                                    <w:t>Elastase</w:t>
                                  </w:r>
                                  <w:bookmarkStart w:id="31" w:name="__UnoMark__11082_2139220178"/>
                                  <w:bookmarkEnd w:id="31"/>
                                </w:p>
                              </w:tc>
                            </w:tr>
                            <w:tr>
                              <w:trPr>
                                <w:trHeight w:val="329" w:hRule="atLeast"/>
                              </w:trPr>
                              <w:tc>
                                <w:tcPr>
                                  <w:tcW w:w="8556" w:type="dxa"/>
                                  <w:tcBorders>
                                    <w:top w:val="single" w:sz="4" w:space="0" w:color="000000"/>
                                    <w:bottom w:val="single" w:sz="4" w:space="0" w:color="000000"/>
                                    <w:insideH w:val="single" w:sz="4" w:space="0" w:color="000000"/>
                                  </w:tcBorders>
                                  <w:shd w:color="auto" w:fill="E7E6E6" w:themeFill="background2" w:val="clear"/>
                                  <w:vAlign w:val="bottom"/>
                                </w:tcPr>
                                <w:p>
                                  <w:pPr>
                                    <w:pStyle w:val="Normal"/>
                                    <w:widowControl w:val="false"/>
                                    <w:spacing w:lineRule="auto" w:line="240" w:before="120" w:after="240"/>
                                    <w:rPr/>
                                  </w:pPr>
                                  <w:bookmarkStart w:id="32" w:name="__UnoMark__11083_2139220178"/>
                                  <w:bookmarkEnd w:id="32"/>
                                  <w:r>
                                    <w:rPr>
                                      <w:rFonts w:cs="Calibri"/>
                                      <w:color w:val="000000"/>
                                      <w:sz w:val="21"/>
                                      <w:szCs w:val="21"/>
                                    </w:rPr>
                                    <w:t>Neprilysin-1</w:t>
                                  </w:r>
                                </w:p>
                              </w:tc>
                            </w:tr>
                          </w:tbl>
                          <w:p>
                            <w:pPr>
                              <w:pStyle w:val="Contenidodelmarco"/>
                              <w:spacing w:before="120" w:after="240"/>
                              <w:rPr>
                                <w:color w:val="000000"/>
                              </w:rPr>
                            </w:pPr>
                            <w:r>
                              <w:rPr>
                                <w:color w:val="000000"/>
                              </w:rPr>
                            </w:r>
                          </w:p>
                        </w:txbxContent>
                      </wps:txbx>
                      <wps:bodyPr lIns="0" rIns="0" tIns="0" bIns="0">
                        <a:spAutoFit/>
                      </wps:bodyPr>
                    </wps:wsp>
                  </a:graphicData>
                </a:graphic>
              </wp:anchor>
            </w:drawing>
          </mc:Choice>
          <mc:Fallback>
            <w:pict>
              <v:rect id="shape_0" ID="Marco3" stroked="f" style="position:absolute;margin-left:-5.4pt;margin-top:27.2pt;width:427.8pt;height:549.75pt;mso-position-horizontal-relative:margin">
                <w10:wrap type="none"/>
                <v:fill o:detectmouseclick="t" on="false"/>
                <v:stroke color="#3465a4" joinstyle="round" endcap="flat"/>
                <v:textbox>
                  <w:txbxContent>
                    <w:tbl>
                      <w:tblPr>
                        <w:tblW w:w="8556" w:type="dxa"/>
                        <w:jc w:val="left"/>
                        <w:tblInd w:w="0" w:type="dxa"/>
                        <w:tblBorders>
                          <w:bottom w:val="single" w:sz="4" w:space="0" w:color="000000"/>
                          <w:insideH w:val="single" w:sz="4" w:space="0" w:color="000000"/>
                        </w:tblBorders>
                        <w:tblCellMar>
                          <w:top w:w="0" w:type="dxa"/>
                          <w:left w:w="108" w:type="dxa"/>
                          <w:bottom w:w="0" w:type="dxa"/>
                          <w:right w:w="108" w:type="dxa"/>
                        </w:tblCellMar>
                        <w:tblLook w:noVBand="1" w:val="04a0" w:noHBand="0" w:lastColumn="0" w:firstColumn="1" w:lastRow="0" w:firstRow="1"/>
                      </w:tblPr>
                      <w:tblGrid>
                        <w:gridCol w:w="8556"/>
                      </w:tblGrid>
                      <w:tr>
                        <w:trPr>
                          <w:trHeight w:val="329" w:hRule="atLeast"/>
                        </w:trPr>
                        <w:tc>
                          <w:tcPr>
                            <w:tcW w:w="8556" w:type="dxa"/>
                            <w:tcBorders>
                              <w:bottom w:val="single" w:sz="4" w:space="0" w:color="000000"/>
                              <w:insideH w:val="single" w:sz="4" w:space="0" w:color="000000"/>
                            </w:tcBorders>
                            <w:shd w:fill="auto" w:val="clear"/>
                            <w:vAlign w:val="bottom"/>
                          </w:tcPr>
                          <w:p>
                            <w:pPr>
                              <w:pStyle w:val="Normal"/>
                              <w:widowControl w:val="false"/>
                              <w:pBdr>
                                <w:bottom w:val="single" w:sz="4" w:space="1" w:color="000000"/>
                              </w:pBdr>
                              <w:spacing w:lineRule="auto" w:line="240" w:before="120" w:after="240"/>
                              <w:rPr/>
                            </w:pPr>
                            <w:r>
                              <w:rPr>
                                <w:rFonts w:cs="Calibri" w:cstheme="minorHAnsi"/>
                                <w:b/>
                                <w:sz w:val="21"/>
                                <w:szCs w:val="21"/>
                                <w:lang w:val="en-GB"/>
                              </w:rPr>
                              <w:t>T</w:t>
                            </w:r>
                            <w:r>
                              <w:rPr>
                                <w:rFonts w:cs="Calibri" w:cstheme="minorHAnsi"/>
                                <w:b/>
                                <w:sz w:val="21"/>
                                <w:szCs w:val="21"/>
                                <w:vertAlign w:val="subscript"/>
                                <w:lang w:val="en-GB"/>
                              </w:rPr>
                              <w:t>is</w:t>
                            </w:r>
                            <w:r>
                              <w:rPr>
                                <w:rFonts w:cs="Calibri" w:cstheme="minorHAnsi"/>
                                <w:b/>
                                <w:sz w:val="21"/>
                                <w:szCs w:val="21"/>
                                <w:lang w:val="en-GB"/>
                              </w:rPr>
                              <w:t>Ox</w:t>
                            </w:r>
                            <w:r>
                              <w:rPr>
                                <w:rFonts w:cs="Calibri" w:cstheme="minorHAnsi"/>
                                <w:b/>
                                <w:sz w:val="21"/>
                                <w:szCs w:val="21"/>
                                <w:vertAlign w:val="subscript"/>
                                <w:lang w:val="en-GB"/>
                              </w:rPr>
                              <w:t>n</w:t>
                            </w:r>
                            <w:r>
                              <w:rPr>
                                <w:rFonts w:cs="Calibri" w:cstheme="minorHAnsi"/>
                                <w:b/>
                                <w:sz w:val="21"/>
                                <w:szCs w:val="21"/>
                                <w:lang w:val="en-GB"/>
                              </w:rPr>
                              <w:t xml:space="preserve"> vs. T</w:t>
                            </w:r>
                            <w:r>
                              <w:rPr>
                                <w:rFonts w:cs="Calibri" w:cstheme="minorHAnsi"/>
                                <w:b/>
                                <w:sz w:val="21"/>
                                <w:szCs w:val="21"/>
                                <w:vertAlign w:val="subscript"/>
                                <w:lang w:val="en-GB"/>
                              </w:rPr>
                              <w:t>is</w:t>
                            </w:r>
                            <w:r>
                              <w:rPr>
                                <w:rFonts w:cs="Calibri" w:cstheme="minorHAnsi"/>
                                <w:b/>
                                <w:sz w:val="21"/>
                                <w:szCs w:val="21"/>
                                <w:lang w:val="en-GB"/>
                              </w:rPr>
                              <w:t>Ox</w:t>
                            </w:r>
                            <w:r>
                              <w:rPr>
                                <w:rFonts w:cs="Calibri" w:cstheme="minorHAnsi"/>
                                <w:b/>
                                <w:sz w:val="21"/>
                                <w:szCs w:val="21"/>
                                <w:vertAlign w:val="subscript"/>
                                <w:lang w:val="en-GB"/>
                              </w:rPr>
                              <w:t>hyp</w:t>
                            </w:r>
                          </w:p>
                          <w:p>
                            <w:pPr>
                              <w:pStyle w:val="Normal"/>
                              <w:widowControl w:val="false"/>
                              <w:spacing w:lineRule="auto" w:line="240"/>
                              <w:rPr>
                                <w:rFonts w:ascii="Times New Roman" w:hAnsi="Times New Roman" w:cs="Calibri"/>
                                <w:b/>
                                <w:b/>
                                <w:bCs/>
                                <w:color w:val="000000"/>
                                <w:sz w:val="21"/>
                                <w:szCs w:val="21"/>
                                <w:lang w:val="en-GB"/>
                              </w:rPr>
                            </w:pPr>
                            <w:r>
                              <w:rPr>
                                <w:rFonts w:cs="Calibri"/>
                                <w:b/>
                                <w:bCs/>
                                <w:color w:val="000000"/>
                                <w:sz w:val="21"/>
                                <w:szCs w:val="21"/>
                                <w:lang w:val="en-GB"/>
                              </w:rPr>
                            </w:r>
                          </w:p>
                          <w:p>
                            <w:pPr>
                              <w:pStyle w:val="Normal"/>
                              <w:widowControl w:val="false"/>
                              <w:spacing w:lineRule="auto" w:line="240" w:before="120" w:after="240"/>
                              <w:rPr/>
                            </w:pPr>
                            <w:r>
                              <w:rPr>
                                <w:rFonts w:cs="Calibri"/>
                                <w:color w:val="000000"/>
                                <w:sz w:val="21"/>
                                <w:szCs w:val="21"/>
                                <w:lang w:val="en-GB"/>
                              </w:rPr>
                              <w:t>GO: Mitochondrion</w:t>
                            </w:r>
                            <w:bookmarkStart w:id="33" w:name="__UnoMark__11056_2139220178"/>
                            <w:bookmarkEnd w:id="33"/>
                          </w:p>
                        </w:tc>
                      </w:tr>
                      <w:tr>
                        <w:trPr>
                          <w:trHeight w:val="329" w:hRule="atLeast"/>
                        </w:trPr>
                        <w:tc>
                          <w:tcPr>
                            <w:tcW w:w="8556" w:type="dxa"/>
                            <w:tcBorders>
                              <w:top w:val="single" w:sz="4" w:space="0" w:color="000000"/>
                              <w:bottom w:val="single" w:sz="4" w:space="0" w:color="000000"/>
                              <w:insideH w:val="single" w:sz="4" w:space="0" w:color="000000"/>
                            </w:tcBorders>
                            <w:shd w:color="auto" w:fill="E7E6E6" w:themeFill="background2" w:val="clear"/>
                            <w:vAlign w:val="bottom"/>
                          </w:tcPr>
                          <w:p>
                            <w:pPr>
                              <w:pStyle w:val="Normal"/>
                              <w:widowControl w:val="false"/>
                              <w:spacing w:lineRule="auto" w:line="240" w:before="120" w:after="240"/>
                              <w:rPr/>
                            </w:pPr>
                            <w:bookmarkStart w:id="34" w:name="__UnoMark__11057_2139220178"/>
                            <w:bookmarkEnd w:id="34"/>
                            <w:r>
                              <w:rPr>
                                <w:rFonts w:cs="Calibri"/>
                                <w:color w:val="000000"/>
                                <w:sz w:val="21"/>
                                <w:szCs w:val="21"/>
                                <w:lang w:val="en-US"/>
                              </w:rPr>
                              <w:t>ETS domain-containing protein Elk-1</w:t>
                            </w:r>
                            <w:bookmarkStart w:id="35" w:name="__UnoMark__11058_2139220178"/>
                            <w:bookmarkEnd w:id="35"/>
                          </w:p>
                        </w:tc>
                      </w:tr>
                      <w:tr>
                        <w:trPr>
                          <w:trHeight w:val="329" w:hRule="atLeast"/>
                        </w:trPr>
                        <w:tc>
                          <w:tcPr>
                            <w:tcW w:w="8556" w:type="dxa"/>
                            <w:tcBorders>
                              <w:top w:val="single" w:sz="4" w:space="0" w:color="000000"/>
                              <w:bottom w:val="single" w:sz="4" w:space="0" w:color="000000"/>
                              <w:insideH w:val="single" w:sz="4" w:space="0" w:color="000000"/>
                            </w:tcBorders>
                            <w:shd w:color="auto" w:fill="E7E6E6" w:themeFill="background2" w:val="clear"/>
                            <w:vAlign w:val="bottom"/>
                          </w:tcPr>
                          <w:p>
                            <w:pPr>
                              <w:pStyle w:val="Normal"/>
                              <w:widowControl w:val="false"/>
                              <w:spacing w:lineRule="auto" w:line="240" w:before="120" w:after="240"/>
                              <w:rPr/>
                            </w:pPr>
                            <w:bookmarkStart w:id="36" w:name="__UnoMark__11059_2139220178"/>
                            <w:bookmarkEnd w:id="36"/>
                            <w:r>
                              <w:rPr>
                                <w:rFonts w:cs="Calibri"/>
                                <w:color w:val="000000"/>
                                <w:sz w:val="21"/>
                                <w:szCs w:val="21"/>
                                <w:lang w:val="en-US"/>
                              </w:rPr>
                              <w:t>Haloacid dehalogenase-like hydrolase domain-containing 5</w:t>
                            </w:r>
                            <w:bookmarkStart w:id="37" w:name="__UnoMark__11060_2139220178"/>
                            <w:bookmarkEnd w:id="37"/>
                          </w:p>
                        </w:tc>
                      </w:tr>
                      <w:tr>
                        <w:trPr>
                          <w:trHeight w:val="329" w:hRule="atLeast"/>
                        </w:trPr>
                        <w:tc>
                          <w:tcPr>
                            <w:tcW w:w="8556" w:type="dxa"/>
                            <w:tcBorders>
                              <w:top w:val="single" w:sz="4" w:space="0" w:color="000000"/>
                              <w:bottom w:val="single" w:sz="4" w:space="0" w:color="000000"/>
                              <w:insideH w:val="single" w:sz="4" w:space="0" w:color="000000"/>
                            </w:tcBorders>
                            <w:shd w:color="auto" w:fill="E7E6E6" w:themeFill="background2" w:val="clear"/>
                            <w:vAlign w:val="bottom"/>
                          </w:tcPr>
                          <w:p>
                            <w:pPr>
                              <w:pStyle w:val="Normal"/>
                              <w:widowControl w:val="false"/>
                              <w:spacing w:lineRule="auto" w:line="240" w:before="120" w:after="240"/>
                              <w:rPr/>
                            </w:pPr>
                            <w:bookmarkStart w:id="38" w:name="__UnoMark__11061_2139220178"/>
                            <w:bookmarkEnd w:id="38"/>
                            <w:r>
                              <w:rPr>
                                <w:rFonts w:cs="Calibri"/>
                                <w:color w:val="000000"/>
                                <w:sz w:val="21"/>
                                <w:szCs w:val="21"/>
                              </w:rPr>
                              <w:t>Alternative oxidase, mitochondrial</w:t>
                            </w:r>
                            <w:bookmarkStart w:id="39" w:name="__UnoMark__11062_2139220178"/>
                            <w:bookmarkEnd w:id="39"/>
                          </w:p>
                        </w:tc>
                      </w:tr>
                      <w:tr>
                        <w:trPr>
                          <w:trHeight w:val="329" w:hRule="atLeast"/>
                        </w:trPr>
                        <w:tc>
                          <w:tcPr>
                            <w:tcW w:w="8556" w:type="dxa"/>
                            <w:tcBorders>
                              <w:top w:val="single" w:sz="4" w:space="0" w:color="000000"/>
                              <w:bottom w:val="single" w:sz="4" w:space="0" w:color="000000"/>
                              <w:insideH w:val="single" w:sz="4" w:space="0" w:color="000000"/>
                            </w:tcBorders>
                            <w:shd w:color="auto" w:fill="E7E6E6" w:themeFill="background2" w:val="clear"/>
                            <w:vAlign w:val="bottom"/>
                          </w:tcPr>
                          <w:p>
                            <w:pPr>
                              <w:pStyle w:val="Normal"/>
                              <w:widowControl w:val="false"/>
                              <w:spacing w:lineRule="auto" w:line="240" w:before="120" w:after="240"/>
                              <w:rPr/>
                            </w:pPr>
                            <w:bookmarkStart w:id="40" w:name="__UnoMark__11063_2139220178"/>
                            <w:bookmarkEnd w:id="40"/>
                            <w:r>
                              <w:rPr>
                                <w:rFonts w:cs="Calibri"/>
                                <w:color w:val="000000"/>
                                <w:sz w:val="21"/>
                                <w:szCs w:val="21"/>
                                <w:lang w:val="en-US"/>
                              </w:rPr>
                              <w:t>AAC-rich mRNA clone AAC4 protein</w:t>
                            </w:r>
                            <w:bookmarkStart w:id="41" w:name="__UnoMark__11064_2139220178"/>
                            <w:bookmarkEnd w:id="41"/>
                          </w:p>
                        </w:tc>
                      </w:tr>
                      <w:tr>
                        <w:trPr>
                          <w:trHeight w:val="329" w:hRule="exact"/>
                        </w:trPr>
                        <w:tc>
                          <w:tcPr>
                            <w:tcW w:w="8556" w:type="dxa"/>
                            <w:tcBorders>
                              <w:top w:val="single" w:sz="4" w:space="0" w:color="000000"/>
                              <w:bottom w:val="single" w:sz="4" w:space="0" w:color="000000"/>
                              <w:insideH w:val="single" w:sz="4" w:space="0" w:color="000000"/>
                            </w:tcBorders>
                            <w:shd w:fill="auto" w:val="clear"/>
                            <w:vAlign w:val="bottom"/>
                          </w:tcPr>
                          <w:p>
                            <w:pPr>
                              <w:pStyle w:val="NormalWeb"/>
                              <w:widowControl w:val="false"/>
                              <w:spacing w:lineRule="auto" w:line="240" w:before="0" w:afterAutospacing="0" w:after="120"/>
                              <w:rPr>
                                <w:rFonts w:ascii="Times New Roman" w:hAnsi="Times New Roman" w:eastAsia="Times New Roman" w:cs="Calibri" w:cstheme="minorHAnsi"/>
                                <w:bCs/>
                                <w:sz w:val="21"/>
                                <w:szCs w:val="21"/>
                                <w:lang w:val="en-GB"/>
                              </w:rPr>
                            </w:pPr>
                            <w:r>
                              <w:rPr>
                                <w:rFonts w:eastAsia="Times New Roman" w:cs="Calibri" w:cstheme="minorHAnsi"/>
                                <w:bCs/>
                                <w:sz w:val="21"/>
                                <w:szCs w:val="21"/>
                                <w:lang w:val="en-GB"/>
                              </w:rPr>
                            </w:r>
                            <w:bookmarkStart w:id="42" w:name="__UnoMark__11066_2139220178"/>
                            <w:bookmarkStart w:id="43" w:name="__UnoMark__11065_2139220178"/>
                            <w:bookmarkStart w:id="44" w:name="__UnoMark__11066_2139220178"/>
                            <w:bookmarkStart w:id="45" w:name="__UnoMark__11065_2139220178"/>
                            <w:bookmarkEnd w:id="44"/>
                            <w:bookmarkEnd w:id="45"/>
                          </w:p>
                        </w:tc>
                      </w:tr>
                      <w:tr>
                        <w:trPr>
                          <w:trHeight w:val="329" w:hRule="atLeast"/>
                        </w:trPr>
                        <w:tc>
                          <w:tcPr>
                            <w:tcW w:w="8556" w:type="dxa"/>
                            <w:tcBorders>
                              <w:top w:val="single" w:sz="4" w:space="0" w:color="000000"/>
                              <w:bottom w:val="single" w:sz="4" w:space="0" w:color="000000"/>
                              <w:insideH w:val="single" w:sz="4" w:space="0" w:color="000000"/>
                            </w:tcBorders>
                            <w:shd w:fill="auto" w:val="clear"/>
                            <w:vAlign w:val="bottom"/>
                          </w:tcPr>
                          <w:p>
                            <w:pPr>
                              <w:pStyle w:val="Normal"/>
                              <w:widowControl w:val="false"/>
                              <w:pBdr>
                                <w:bottom w:val="single" w:sz="4" w:space="1" w:color="000000"/>
                              </w:pBdr>
                              <w:spacing w:lineRule="auto" w:line="240" w:before="120" w:after="240"/>
                              <w:rPr/>
                            </w:pPr>
                            <w:bookmarkStart w:id="46" w:name="__UnoMark__11067_2139220178"/>
                            <w:bookmarkEnd w:id="46"/>
                            <w:r>
                              <w:rPr>
                                <w:rFonts w:cs="Calibri" w:cstheme="minorHAnsi"/>
                                <w:b/>
                                <w:sz w:val="21"/>
                                <w:szCs w:val="21"/>
                                <w:lang w:val="en-GB"/>
                              </w:rPr>
                              <w:t>T</w:t>
                            </w:r>
                            <w:r>
                              <w:rPr>
                                <w:rFonts w:cs="Calibri" w:cstheme="minorHAnsi"/>
                                <w:b/>
                                <w:sz w:val="21"/>
                                <w:szCs w:val="21"/>
                                <w:vertAlign w:val="subscript"/>
                                <w:lang w:val="en-GB"/>
                              </w:rPr>
                              <w:t>w</w:t>
                            </w:r>
                            <w:r>
                              <w:rPr>
                                <w:rFonts w:cs="Calibri" w:cstheme="minorHAnsi"/>
                                <w:b/>
                                <w:sz w:val="21"/>
                                <w:szCs w:val="21"/>
                                <w:lang w:val="en-GB"/>
                              </w:rPr>
                              <w:t>Ox</w:t>
                            </w:r>
                            <w:r>
                              <w:rPr>
                                <w:rFonts w:cs="Calibri" w:cstheme="minorHAnsi"/>
                                <w:b/>
                                <w:sz w:val="21"/>
                                <w:szCs w:val="21"/>
                                <w:vertAlign w:val="subscript"/>
                                <w:lang w:val="en-GB"/>
                              </w:rPr>
                              <w:t>n</w:t>
                            </w:r>
                            <w:r>
                              <w:rPr>
                                <w:rFonts w:cs="Calibri" w:cstheme="minorHAnsi"/>
                                <w:b/>
                                <w:sz w:val="21"/>
                                <w:szCs w:val="21"/>
                                <w:lang w:val="en-GB"/>
                              </w:rPr>
                              <w:t xml:space="preserve"> vs. T</w:t>
                            </w:r>
                            <w:r>
                              <w:rPr>
                                <w:rFonts w:cs="Calibri" w:cstheme="minorHAnsi"/>
                                <w:b/>
                                <w:sz w:val="21"/>
                                <w:szCs w:val="21"/>
                                <w:vertAlign w:val="subscript"/>
                                <w:lang w:val="en-GB"/>
                              </w:rPr>
                              <w:t>w</w:t>
                            </w:r>
                            <w:r>
                              <w:rPr>
                                <w:rFonts w:cs="Calibri" w:cstheme="minorHAnsi"/>
                                <w:b/>
                                <w:sz w:val="21"/>
                                <w:szCs w:val="21"/>
                                <w:lang w:val="en-GB"/>
                              </w:rPr>
                              <w:t>Ox</w:t>
                            </w:r>
                            <w:r>
                              <w:rPr>
                                <w:rFonts w:cs="Calibri" w:cstheme="minorHAnsi"/>
                                <w:b/>
                                <w:sz w:val="21"/>
                                <w:szCs w:val="21"/>
                                <w:vertAlign w:val="subscript"/>
                                <w:lang w:val="en-GB"/>
                              </w:rPr>
                              <w:t>hyp</w:t>
                            </w:r>
                          </w:p>
                          <w:p>
                            <w:pPr>
                              <w:pStyle w:val="Normal"/>
                              <w:widowControl w:val="false"/>
                              <w:spacing w:lineRule="auto" w:line="240"/>
                              <w:rPr>
                                <w:rFonts w:ascii="Times New Roman" w:hAnsi="Times New Roman" w:cs="Calibri"/>
                                <w:b/>
                                <w:b/>
                                <w:color w:val="000000"/>
                                <w:sz w:val="21"/>
                                <w:szCs w:val="21"/>
                                <w:lang w:val="en-US"/>
                              </w:rPr>
                            </w:pPr>
                            <w:r>
                              <w:rPr>
                                <w:rFonts w:cs="Calibri"/>
                                <w:b/>
                                <w:color w:val="000000"/>
                                <w:sz w:val="21"/>
                                <w:szCs w:val="21"/>
                                <w:lang w:val="en-US"/>
                              </w:rPr>
                            </w:r>
                          </w:p>
                          <w:p>
                            <w:pPr>
                              <w:pStyle w:val="Normal"/>
                              <w:widowControl w:val="false"/>
                              <w:spacing w:lineRule="auto" w:line="240" w:before="120" w:after="240"/>
                              <w:rPr/>
                            </w:pPr>
                            <w:r>
                              <w:rPr>
                                <w:rFonts w:cs="Calibri"/>
                                <w:color w:val="000000"/>
                                <w:sz w:val="21"/>
                                <w:szCs w:val="21"/>
                                <w:lang w:val="en-US"/>
                              </w:rPr>
                              <w:t>GO: metal ion binding</w:t>
                            </w:r>
                            <w:bookmarkStart w:id="47" w:name="__UnoMark__11068_2139220178"/>
                            <w:bookmarkEnd w:id="47"/>
                          </w:p>
                        </w:tc>
                      </w:tr>
                      <w:tr>
                        <w:trPr>
                          <w:trHeight w:val="329" w:hRule="atLeast"/>
                        </w:trPr>
                        <w:tc>
                          <w:tcPr>
                            <w:tcW w:w="8556" w:type="dxa"/>
                            <w:tcBorders>
                              <w:top w:val="single" w:sz="4" w:space="0" w:color="000000"/>
                              <w:bottom w:val="single" w:sz="4" w:space="0" w:color="000000"/>
                              <w:insideH w:val="single" w:sz="4" w:space="0" w:color="000000"/>
                            </w:tcBorders>
                            <w:shd w:color="auto" w:fill="E7E6E6" w:themeFill="background2" w:val="clear"/>
                            <w:vAlign w:val="bottom"/>
                          </w:tcPr>
                          <w:p>
                            <w:pPr>
                              <w:pStyle w:val="Normal"/>
                              <w:widowControl w:val="false"/>
                              <w:spacing w:lineRule="auto" w:line="240" w:before="120" w:after="240"/>
                              <w:rPr/>
                            </w:pPr>
                            <w:bookmarkStart w:id="48" w:name="__UnoMark__11069_2139220178"/>
                            <w:bookmarkEnd w:id="48"/>
                            <w:r>
                              <w:rPr>
                                <w:rFonts w:cs="Calibri"/>
                                <w:color w:val="000000"/>
                                <w:sz w:val="21"/>
                                <w:szCs w:val="21"/>
                              </w:rPr>
                              <w:t>Elastase</w:t>
                            </w:r>
                            <w:bookmarkStart w:id="49" w:name="__UnoMark__11070_2139220178"/>
                            <w:bookmarkEnd w:id="49"/>
                          </w:p>
                        </w:tc>
                      </w:tr>
                      <w:tr>
                        <w:trPr>
                          <w:trHeight w:val="329" w:hRule="atLeast"/>
                        </w:trPr>
                        <w:tc>
                          <w:tcPr>
                            <w:tcW w:w="8556" w:type="dxa"/>
                            <w:tcBorders>
                              <w:top w:val="single" w:sz="4" w:space="0" w:color="000000"/>
                              <w:bottom w:val="single" w:sz="4" w:space="0" w:color="000000"/>
                              <w:insideH w:val="single" w:sz="4" w:space="0" w:color="000000"/>
                            </w:tcBorders>
                            <w:shd w:color="auto" w:fill="E7E6E6" w:themeFill="background2" w:val="clear"/>
                            <w:vAlign w:val="bottom"/>
                          </w:tcPr>
                          <w:p>
                            <w:pPr>
                              <w:pStyle w:val="Normal"/>
                              <w:widowControl w:val="false"/>
                              <w:spacing w:lineRule="auto" w:line="240" w:before="120" w:after="240"/>
                              <w:rPr/>
                            </w:pPr>
                            <w:bookmarkStart w:id="50" w:name="__UnoMark__11071_2139220178"/>
                            <w:bookmarkEnd w:id="50"/>
                            <w:r>
                              <w:rPr>
                                <w:rFonts w:cs="Calibri"/>
                                <w:color w:val="000000"/>
                                <w:sz w:val="21"/>
                                <w:szCs w:val="21"/>
                              </w:rPr>
                              <w:t>Cytochrome b</w:t>
                            </w:r>
                            <w:bookmarkStart w:id="51" w:name="__UnoMark__11072_2139220178"/>
                            <w:bookmarkEnd w:id="51"/>
                          </w:p>
                        </w:tc>
                      </w:tr>
                      <w:tr>
                        <w:trPr>
                          <w:trHeight w:val="329" w:hRule="atLeast"/>
                        </w:trPr>
                        <w:tc>
                          <w:tcPr>
                            <w:tcW w:w="8556" w:type="dxa"/>
                            <w:tcBorders>
                              <w:top w:val="single" w:sz="4" w:space="0" w:color="000000"/>
                              <w:bottom w:val="single" w:sz="4" w:space="0" w:color="000000"/>
                              <w:insideH w:val="single" w:sz="4" w:space="0" w:color="000000"/>
                            </w:tcBorders>
                            <w:shd w:color="auto" w:fill="E7E6E6" w:themeFill="background2" w:val="clear"/>
                            <w:vAlign w:val="bottom"/>
                          </w:tcPr>
                          <w:p>
                            <w:pPr>
                              <w:pStyle w:val="Normal"/>
                              <w:widowControl w:val="false"/>
                              <w:spacing w:lineRule="auto" w:line="240" w:before="120" w:after="240"/>
                              <w:rPr/>
                            </w:pPr>
                            <w:bookmarkStart w:id="52" w:name="__UnoMark__11073_2139220178"/>
                            <w:bookmarkEnd w:id="52"/>
                            <w:r>
                              <w:rPr>
                                <w:rFonts w:cs="Calibri"/>
                                <w:color w:val="000000"/>
                                <w:sz w:val="21"/>
                                <w:szCs w:val="21"/>
                                <w:lang w:val="en-US"/>
                              </w:rPr>
                              <w:t>Transcription initiation factor TFIID subunit 3</w:t>
                            </w:r>
                            <w:bookmarkStart w:id="53" w:name="__UnoMark__11074_2139220178"/>
                            <w:bookmarkEnd w:id="53"/>
                          </w:p>
                        </w:tc>
                      </w:tr>
                      <w:tr>
                        <w:trPr>
                          <w:trHeight w:val="329" w:hRule="atLeast"/>
                        </w:trPr>
                        <w:tc>
                          <w:tcPr>
                            <w:tcW w:w="8556" w:type="dxa"/>
                            <w:tcBorders>
                              <w:top w:val="single" w:sz="4" w:space="0" w:color="000000"/>
                              <w:bottom w:val="single" w:sz="4" w:space="0" w:color="000000"/>
                              <w:insideH w:val="single" w:sz="4" w:space="0" w:color="000000"/>
                            </w:tcBorders>
                            <w:shd w:color="auto" w:fill="E7E6E6" w:themeFill="background2" w:val="clear"/>
                            <w:vAlign w:val="bottom"/>
                          </w:tcPr>
                          <w:p>
                            <w:pPr>
                              <w:pStyle w:val="Normal"/>
                              <w:widowControl w:val="false"/>
                              <w:spacing w:lineRule="auto" w:line="240" w:before="120" w:after="240"/>
                              <w:rPr/>
                            </w:pPr>
                            <w:bookmarkStart w:id="54" w:name="__UnoMark__11075_2139220178"/>
                            <w:bookmarkEnd w:id="54"/>
                            <w:r>
                              <w:rPr>
                                <w:rFonts w:cs="Calibri"/>
                                <w:color w:val="000000"/>
                                <w:sz w:val="21"/>
                                <w:szCs w:val="21"/>
                              </w:rPr>
                              <w:t>Neprilysin-1</w:t>
                            </w:r>
                            <w:bookmarkStart w:id="55" w:name="__UnoMark__11076_2139220178"/>
                            <w:bookmarkEnd w:id="55"/>
                          </w:p>
                        </w:tc>
                      </w:tr>
                      <w:tr>
                        <w:trPr>
                          <w:trHeight w:val="329" w:hRule="exact"/>
                        </w:trPr>
                        <w:tc>
                          <w:tcPr>
                            <w:tcW w:w="8556"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rFonts w:ascii="Times New Roman" w:hAnsi="Times New Roman" w:cs="Calibri"/>
                                <w:color w:val="000000"/>
                                <w:sz w:val="21"/>
                                <w:szCs w:val="21"/>
                              </w:rPr>
                            </w:pPr>
                            <w:r>
                              <w:rPr>
                                <w:rFonts w:cs="Calibri"/>
                                <w:color w:val="000000"/>
                                <w:sz w:val="21"/>
                                <w:szCs w:val="21"/>
                              </w:rPr>
                            </w:r>
                            <w:bookmarkStart w:id="56" w:name="__UnoMark__11078_2139220178"/>
                            <w:bookmarkStart w:id="57" w:name="__UnoMark__11077_2139220178"/>
                            <w:bookmarkStart w:id="58" w:name="__UnoMark__11078_2139220178"/>
                            <w:bookmarkStart w:id="59" w:name="__UnoMark__11077_2139220178"/>
                            <w:bookmarkEnd w:id="58"/>
                            <w:bookmarkEnd w:id="59"/>
                          </w:p>
                        </w:tc>
                      </w:tr>
                      <w:tr>
                        <w:trPr>
                          <w:trHeight w:val="329" w:hRule="atLeast"/>
                        </w:trPr>
                        <w:tc>
                          <w:tcPr>
                            <w:tcW w:w="8556" w:type="dxa"/>
                            <w:tcBorders>
                              <w:top w:val="single" w:sz="4" w:space="0" w:color="000000"/>
                              <w:bottom w:val="single" w:sz="4" w:space="0" w:color="000000"/>
                              <w:insideH w:val="single" w:sz="4" w:space="0" w:color="000000"/>
                            </w:tcBorders>
                            <w:shd w:fill="auto" w:val="clear"/>
                            <w:vAlign w:val="bottom"/>
                          </w:tcPr>
                          <w:p>
                            <w:pPr>
                              <w:pStyle w:val="Normal"/>
                              <w:widowControl w:val="false"/>
                              <w:spacing w:lineRule="auto" w:line="240" w:before="120" w:after="240"/>
                              <w:rPr/>
                            </w:pPr>
                            <w:bookmarkStart w:id="60" w:name="__UnoMark__11079_2139220178"/>
                            <w:bookmarkEnd w:id="60"/>
                            <w:r>
                              <w:rPr>
                                <w:rFonts w:cs="Calibri"/>
                                <w:color w:val="000000"/>
                                <w:sz w:val="21"/>
                                <w:szCs w:val="21"/>
                              </w:rPr>
                              <w:t>GO: metal ion binding</w:t>
                            </w:r>
                            <w:bookmarkStart w:id="61" w:name="__UnoMark__11080_2139220178"/>
                            <w:bookmarkEnd w:id="61"/>
                          </w:p>
                        </w:tc>
                      </w:tr>
                      <w:tr>
                        <w:trPr>
                          <w:trHeight w:val="329" w:hRule="atLeast"/>
                        </w:trPr>
                        <w:tc>
                          <w:tcPr>
                            <w:tcW w:w="8556" w:type="dxa"/>
                            <w:tcBorders>
                              <w:top w:val="single" w:sz="4" w:space="0" w:color="000000"/>
                              <w:bottom w:val="single" w:sz="4" w:space="0" w:color="000000"/>
                              <w:insideH w:val="single" w:sz="4" w:space="0" w:color="000000"/>
                            </w:tcBorders>
                            <w:shd w:color="auto" w:fill="E7E6E6" w:themeFill="background2" w:val="clear"/>
                            <w:vAlign w:val="bottom"/>
                          </w:tcPr>
                          <w:p>
                            <w:pPr>
                              <w:pStyle w:val="Normal"/>
                              <w:widowControl w:val="false"/>
                              <w:spacing w:lineRule="auto" w:line="240" w:before="120" w:after="240"/>
                              <w:rPr/>
                            </w:pPr>
                            <w:bookmarkStart w:id="62" w:name="__UnoMark__11081_2139220178"/>
                            <w:bookmarkEnd w:id="62"/>
                            <w:r>
                              <w:rPr>
                                <w:rFonts w:cs="Calibri"/>
                                <w:color w:val="000000"/>
                                <w:sz w:val="21"/>
                                <w:szCs w:val="21"/>
                              </w:rPr>
                              <w:t>Elastase</w:t>
                            </w:r>
                            <w:bookmarkStart w:id="63" w:name="__UnoMark__11082_2139220178"/>
                            <w:bookmarkEnd w:id="63"/>
                          </w:p>
                        </w:tc>
                      </w:tr>
                      <w:tr>
                        <w:trPr>
                          <w:trHeight w:val="329" w:hRule="atLeast"/>
                        </w:trPr>
                        <w:tc>
                          <w:tcPr>
                            <w:tcW w:w="8556" w:type="dxa"/>
                            <w:tcBorders>
                              <w:top w:val="single" w:sz="4" w:space="0" w:color="000000"/>
                              <w:bottom w:val="single" w:sz="4" w:space="0" w:color="000000"/>
                              <w:insideH w:val="single" w:sz="4" w:space="0" w:color="000000"/>
                            </w:tcBorders>
                            <w:shd w:color="auto" w:fill="E7E6E6" w:themeFill="background2" w:val="clear"/>
                            <w:vAlign w:val="bottom"/>
                          </w:tcPr>
                          <w:p>
                            <w:pPr>
                              <w:pStyle w:val="Normal"/>
                              <w:widowControl w:val="false"/>
                              <w:spacing w:lineRule="auto" w:line="240" w:before="120" w:after="240"/>
                              <w:rPr/>
                            </w:pPr>
                            <w:bookmarkStart w:id="64" w:name="__UnoMark__11083_2139220178"/>
                            <w:bookmarkEnd w:id="64"/>
                            <w:r>
                              <w:rPr>
                                <w:rFonts w:cs="Calibri"/>
                                <w:color w:val="000000"/>
                                <w:sz w:val="21"/>
                                <w:szCs w:val="21"/>
                              </w:rPr>
                              <w:t>Neprilysin-1</w:t>
                            </w:r>
                          </w:p>
                        </w:tc>
                      </w:tr>
                    </w:tbl>
                    <w:p>
                      <w:pPr>
                        <w:pStyle w:val="Contenidodelmarco"/>
                        <w:spacing w:before="120" w:after="240"/>
                        <w:rPr>
                          <w:color w:val="000000"/>
                        </w:rPr>
                      </w:pPr>
                      <w:r>
                        <w:rPr>
                          <w:color w:val="000000"/>
                        </w:rPr>
                      </w:r>
                    </w:p>
                  </w:txbxContent>
                </v:textbox>
              </v:rect>
            </w:pict>
          </mc:Fallback>
        </mc:AlternateContent>
      </w:r>
    </w:p>
    <w:p>
      <w:pPr>
        <w:pStyle w:val="NormalWeb"/>
        <w:spacing w:lineRule="auto" w:line="240" w:before="280" w:afterAutospacing="0" w:after="120"/>
        <w:rPr/>
      </w:pPr>
      <w:r>
        <w:rPr/>
      </w:r>
    </w:p>
    <w:p>
      <w:pPr>
        <w:pStyle w:val="NormalWeb"/>
        <w:spacing w:lineRule="auto" w:line="240" w:before="280" w:afterAutospacing="0" w:after="120"/>
        <w:rPr/>
      </w:pPr>
      <w:r>
        <w:rPr/>
      </w:r>
    </w:p>
    <w:p>
      <w:pPr>
        <w:pStyle w:val="NormalWeb"/>
        <w:spacing w:lineRule="auto" w:line="240" w:before="280" w:afterAutospacing="0" w:after="120"/>
        <w:rPr/>
      </w:pPr>
      <w:r>
        <w:rPr/>
      </w:r>
    </w:p>
    <w:p>
      <w:pPr>
        <w:pStyle w:val="NormalWeb"/>
        <w:spacing w:lineRule="auto" w:line="240" w:before="280" w:afterAutospacing="0" w:after="120"/>
        <w:rPr/>
      </w:pPr>
      <w:r>
        <w:rPr/>
      </w:r>
    </w:p>
    <w:p>
      <w:pPr>
        <w:pStyle w:val="NormalWeb"/>
        <w:spacing w:lineRule="auto" w:line="240" w:before="280" w:afterAutospacing="0" w:after="120"/>
        <w:rPr/>
      </w:pPr>
      <w:r>
        <w:rPr/>
      </w:r>
    </w:p>
    <w:p>
      <w:pPr>
        <w:pStyle w:val="NormalWeb"/>
        <w:spacing w:lineRule="auto" w:line="240" w:before="280" w:afterAutospacing="0" w:after="120"/>
        <w:rPr/>
      </w:pPr>
      <w:r>
        <w:rPr/>
      </w:r>
    </w:p>
    <w:p>
      <w:pPr>
        <w:pStyle w:val="NormalWeb"/>
        <w:spacing w:lineRule="auto" w:line="240" w:before="280" w:afterAutospacing="0" w:after="120"/>
        <w:rPr/>
      </w:pPr>
      <w:r>
        <w:rPr/>
      </w:r>
    </w:p>
    <w:p>
      <w:pPr>
        <w:pStyle w:val="NormalWeb"/>
        <w:spacing w:lineRule="auto" w:line="240" w:before="280" w:afterAutospacing="0" w:after="120"/>
        <w:rPr/>
      </w:pPr>
      <w:r>
        <w:rPr/>
      </w:r>
    </w:p>
    <w:p>
      <w:pPr>
        <w:pStyle w:val="Ttulo1"/>
        <w:numPr>
          <w:ilvl w:val="0"/>
          <w:numId w:val="2"/>
        </w:numPr>
        <w:rPr/>
      </w:pPr>
      <w:r>
        <w:rPr/>
        <w:t>Supplementary Figures</w:t>
      </w:r>
    </w:p>
    <w:p>
      <w:pPr>
        <w:pStyle w:val="Normal"/>
        <w:rPr>
          <w:rFonts w:cs="Times New Roman"/>
          <w:szCs w:val="24"/>
          <w:u w:val="single"/>
        </w:rPr>
      </w:pPr>
      <w:r>
        <w:rPr>
          <w:rFonts w:cs="Times New Roman"/>
          <w:szCs w:val="24"/>
          <w:u w:val="single"/>
        </w:rPr>
      </w:r>
    </w:p>
    <w:p>
      <w:pPr>
        <w:pStyle w:val="Normal"/>
        <w:spacing w:lineRule="auto" w:line="240" w:before="0" w:afterAutospacing="0" w:after="120"/>
        <w:jc w:val="both"/>
        <w:rPr/>
      </w:pPr>
      <w:r>
        <w:rPr>
          <w:rFonts w:cs="Calibri" w:cstheme="minorHAnsi"/>
          <w:b/>
          <w:sz w:val="24"/>
          <w:szCs w:val="24"/>
          <w:lang w:val="en-US"/>
        </w:rPr>
        <w:t>Supplementary Figure 1</w:t>
      </w:r>
    </w:p>
    <w:p>
      <w:pPr>
        <w:pStyle w:val="Normal"/>
        <w:spacing w:lineRule="auto" w:line="240" w:before="0" w:afterAutospacing="0" w:after="120"/>
        <w:jc w:val="both"/>
        <w:rPr>
          <w:b w:val="false"/>
          <w:b w:val="false"/>
          <w:bCs w:val="false"/>
        </w:rPr>
      </w:pPr>
      <w:r>
        <w:rPr>
          <w:rFonts w:cs="Calibri" w:cstheme="minorHAnsi"/>
          <w:b w:val="false"/>
          <w:bCs w:val="false"/>
          <w:sz w:val="24"/>
          <w:szCs w:val="24"/>
          <w:lang w:val="en-US"/>
        </w:rPr>
        <w:t>Map showing the regions where the experiments were conducted: Southern South America (SSA) and West Antarctic Peninsula (WAP).</w:t>
      </w:r>
    </w:p>
    <w:p>
      <w:pPr>
        <w:pStyle w:val="Normal"/>
        <w:spacing w:lineRule="auto" w:line="240" w:before="0" w:afterAutospacing="0" w:after="120"/>
        <w:jc w:val="both"/>
        <w:rPr>
          <w:rFonts w:cs="Calibri" w:cstheme="minorHAnsi"/>
          <w:b/>
          <w:b/>
          <w:sz w:val="24"/>
          <w:szCs w:val="24"/>
          <w:lang w:val="en-US"/>
        </w:rPr>
      </w:pPr>
      <w:r>
        <w:rPr>
          <w:rFonts w:cs="Calibri" w:cstheme="minorHAnsi"/>
          <w:b/>
          <w:sz w:val="24"/>
          <w:szCs w:val="24"/>
          <w:lang w:val="en-US"/>
        </w:rPr>
      </w:r>
    </w:p>
    <w:p>
      <w:pPr>
        <w:pStyle w:val="Normal"/>
        <w:spacing w:lineRule="auto" w:line="240" w:before="0" w:afterAutospacing="0" w:after="120"/>
        <w:jc w:val="both"/>
        <w:rPr>
          <w:rFonts w:cs="Calibri" w:cstheme="minorHAnsi"/>
          <w:b/>
          <w:b/>
          <w:sz w:val="24"/>
          <w:szCs w:val="24"/>
          <w:lang w:val="en-US"/>
        </w:rPr>
      </w:pPr>
      <w:r>
        <w:rPr>
          <w:rFonts w:cs="Calibri" w:cstheme="minorHAnsi"/>
          <w:b/>
          <w:sz w:val="24"/>
          <w:szCs w:val="24"/>
          <w:lang w:val="en-US"/>
        </w:rPr>
        <w:drawing>
          <wp:anchor behindDoc="0" distT="0" distB="0" distL="0" distR="0" simplePos="0" locked="0" layoutInCell="1" allowOverlap="1" relativeHeight="10">
            <wp:simplePos x="0" y="0"/>
            <wp:positionH relativeFrom="column">
              <wp:posOffset>-215900</wp:posOffset>
            </wp:positionH>
            <wp:positionV relativeFrom="paragraph">
              <wp:posOffset>69215</wp:posOffset>
            </wp:positionV>
            <wp:extent cx="6762750" cy="3774440"/>
            <wp:effectExtent l="0" t="0" r="0" b="0"/>
            <wp:wrapSquare wrapText="largest"/>
            <wp:docPr id="3"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1" descr=""/>
                    <pic:cNvPicPr>
                      <a:picLocks noChangeAspect="1" noChangeArrowheads="1"/>
                    </pic:cNvPicPr>
                  </pic:nvPicPr>
                  <pic:blipFill>
                    <a:blip r:embed="rId2"/>
                    <a:stretch>
                      <a:fillRect/>
                    </a:stretch>
                  </pic:blipFill>
                  <pic:spPr bwMode="auto">
                    <a:xfrm>
                      <a:off x="0" y="0"/>
                      <a:ext cx="6762750" cy="3774440"/>
                    </a:xfrm>
                    <a:prstGeom prst="rect">
                      <a:avLst/>
                    </a:prstGeom>
                  </pic:spPr>
                </pic:pic>
              </a:graphicData>
            </a:graphic>
          </wp:anchor>
        </w:drawing>
      </w:r>
    </w:p>
    <w:p>
      <w:pPr>
        <w:pStyle w:val="Normal"/>
        <w:spacing w:lineRule="auto" w:line="240" w:before="0" w:afterAutospacing="0" w:after="120"/>
        <w:jc w:val="both"/>
        <w:rPr>
          <w:rFonts w:cs="Calibri" w:cstheme="minorHAnsi"/>
          <w:b/>
          <w:b/>
          <w:sz w:val="24"/>
          <w:szCs w:val="24"/>
          <w:lang w:val="en-US"/>
        </w:rPr>
      </w:pPr>
      <w:r>
        <w:rPr>
          <w:rFonts w:cs="Calibri" w:cstheme="minorHAnsi"/>
          <w:b/>
          <w:sz w:val="24"/>
          <w:szCs w:val="24"/>
          <w:lang w:val="en-US"/>
        </w:rPr>
      </w:r>
    </w:p>
    <w:p>
      <w:pPr>
        <w:pStyle w:val="Normal"/>
        <w:spacing w:lineRule="auto" w:line="240" w:before="0" w:afterAutospacing="0" w:after="120"/>
        <w:jc w:val="both"/>
        <w:rPr/>
      </w:pPr>
      <w:r>
        <w:rPr>
          <w:rFonts w:cs="Calibri" w:cstheme="minorHAnsi"/>
          <w:b/>
          <w:sz w:val="24"/>
          <w:szCs w:val="24"/>
          <w:lang w:val="en-US"/>
        </w:rPr>
        <w:t>Supplementary Figure 2</w:t>
      </w:r>
    </w:p>
    <w:p>
      <w:pPr>
        <w:pStyle w:val="Normal"/>
        <w:spacing w:lineRule="auto" w:line="240" w:before="0" w:afterAutospacing="0" w:after="120"/>
        <w:jc w:val="both"/>
        <w:rPr/>
      </w:pPr>
      <w:r>
        <w:rPr>
          <w:rFonts w:cs="Calibri" w:cstheme="minorHAnsi"/>
          <w:b w:val="false"/>
          <w:bCs w:val="false"/>
          <w:sz w:val="24"/>
          <w:szCs w:val="24"/>
          <w:lang w:val="en-US"/>
        </w:rPr>
        <w:t xml:space="preserve">Experimental design carried out in </w:t>
      </w:r>
      <w:r>
        <w:rPr>
          <w:rFonts w:cs="Calibri" w:cstheme="minorHAnsi"/>
          <w:b w:val="false"/>
          <w:bCs w:val="false"/>
          <w:sz w:val="24"/>
          <w:szCs w:val="24"/>
          <w:lang w:val="en-US"/>
        </w:rPr>
        <w:t>Southern South America (</w:t>
      </w:r>
      <w:r>
        <w:rPr>
          <w:rFonts w:cs="Calibri" w:cstheme="minorHAnsi"/>
          <w:b w:val="false"/>
          <w:bCs w:val="false"/>
          <w:sz w:val="24"/>
          <w:szCs w:val="24"/>
          <w:lang w:val="en-US"/>
        </w:rPr>
        <w:t>SSA</w:t>
      </w:r>
      <w:r>
        <w:rPr>
          <w:rFonts w:cs="Calibri" w:cstheme="minorHAnsi"/>
          <w:b w:val="false"/>
          <w:bCs w:val="false"/>
          <w:sz w:val="24"/>
          <w:szCs w:val="24"/>
          <w:lang w:val="en-US"/>
        </w:rPr>
        <w:t>)</w:t>
      </w:r>
      <w:r>
        <w:rPr>
          <w:rFonts w:cs="Calibri" w:cstheme="minorHAnsi"/>
          <w:b w:val="false"/>
          <w:bCs w:val="false"/>
          <w:sz w:val="24"/>
          <w:szCs w:val="24"/>
          <w:lang w:val="en-US"/>
        </w:rPr>
        <w:t xml:space="preserve"> and </w:t>
      </w:r>
      <w:r>
        <w:rPr>
          <w:rFonts w:cs="Calibri" w:cstheme="minorHAnsi"/>
          <w:b w:val="false"/>
          <w:bCs w:val="false"/>
          <w:sz w:val="24"/>
          <w:szCs w:val="24"/>
          <w:lang w:val="en-US"/>
        </w:rPr>
        <w:t>West Antarctic Peninsula (</w:t>
      </w:r>
      <w:r>
        <w:rPr>
          <w:rFonts w:cs="Calibri" w:cstheme="minorHAnsi"/>
          <w:b w:val="false"/>
          <w:bCs w:val="false"/>
          <w:sz w:val="24"/>
          <w:szCs w:val="24"/>
          <w:lang w:val="en-US"/>
        </w:rPr>
        <w:t>WAP</w:t>
      </w:r>
      <w:r>
        <w:rPr>
          <w:rFonts w:cs="Calibri" w:cstheme="minorHAnsi"/>
          <w:b w:val="false"/>
          <w:bCs w:val="false"/>
          <w:sz w:val="24"/>
          <w:szCs w:val="24"/>
          <w:lang w:val="en-US"/>
        </w:rPr>
        <w:t>)</w:t>
      </w:r>
      <w:r>
        <w:rPr>
          <w:rFonts w:cs="Calibri" w:cstheme="minorHAnsi"/>
          <w:b w:val="false"/>
          <w:bCs w:val="false"/>
          <w:sz w:val="24"/>
          <w:szCs w:val="24"/>
          <w:lang w:val="en-US"/>
        </w:rPr>
        <w:t>. In both regions the experimental organisms were acclimatized for 10 days. The experimental phase involved the exposure of 4 replicates (jars) containing five animals for 18 days to the following conditions</w:t>
      </w:r>
      <w:r>
        <w:rPr>
          <w:rStyle w:val="WWDefaultParagraphFont"/>
          <w:rFonts w:eastAsia="AdvTTe6aaaab8" w:cs="Calibri"/>
          <w:color w:val="000000"/>
          <w:sz w:val="24"/>
          <w:szCs w:val="24"/>
          <w:lang w:val="en-GB"/>
        </w:rPr>
        <w:t>: in SSA: i</w:t>
      </w:r>
      <w:r>
        <w:rPr>
          <w:rStyle w:val="WWDefaultParagraphFont"/>
          <w:rFonts w:eastAsia="AdvTTe6aaaab8" w:cs="Calibri"/>
          <w:i/>
          <w:iCs/>
          <w:color w:val="000000"/>
          <w:sz w:val="24"/>
          <w:szCs w:val="24"/>
          <w:lang w:val="en-GB"/>
        </w:rPr>
        <w:t>n situ</w:t>
      </w:r>
      <w:r>
        <w:rPr>
          <w:rStyle w:val="WWDefaultParagraphFont"/>
          <w:rFonts w:eastAsia="AdvTTe6aaaab8" w:cs="Calibri"/>
          <w:color w:val="000000"/>
          <w:sz w:val="24"/>
          <w:szCs w:val="24"/>
          <w:lang w:val="en-GB"/>
        </w:rPr>
        <w:t xml:space="preserve"> (7 °C) and South migration future scenario (4 °C) in combination with normoxia and hypoxia; in WAP: </w:t>
      </w:r>
      <w:r>
        <w:rPr>
          <w:rStyle w:val="WWDefaultParagraphFont"/>
          <w:rFonts w:eastAsia="AdvTTe6aaaab8" w:cs="Calibri"/>
          <w:i/>
          <w:iCs/>
          <w:color w:val="000000"/>
          <w:sz w:val="24"/>
          <w:szCs w:val="24"/>
          <w:lang w:val="en-GB"/>
        </w:rPr>
        <w:t>in situ</w:t>
      </w:r>
      <w:r>
        <w:rPr>
          <w:rStyle w:val="WWDefaultParagraphFont"/>
          <w:rFonts w:eastAsia="AdvTTe6aaaab8" w:cs="Calibri"/>
          <w:color w:val="000000"/>
          <w:sz w:val="24"/>
          <w:szCs w:val="24"/>
          <w:lang w:val="en-GB"/>
        </w:rPr>
        <w:t xml:space="preserve"> (1.5 °C) and warming (4 °C) in combination with normoxia </w:t>
      </w:r>
      <w:r>
        <w:rPr>
          <w:rStyle w:val="WWDefaultParagraphFont"/>
          <w:rFonts w:cs="Calibri"/>
          <w:sz w:val="24"/>
          <w:szCs w:val="24"/>
          <w:lang w:val="en-GB"/>
        </w:rPr>
        <w:t xml:space="preserve">and hypoxia. </w:t>
      </w:r>
      <w:r>
        <w:rPr>
          <w:rStyle w:val="WWDefaultParagraphFont"/>
          <w:rFonts w:eastAsia="AdvTTe6aaaab8" w:cs="Calibri"/>
          <w:b w:val="false"/>
          <w:bCs w:val="false"/>
          <w:color w:val="000000"/>
          <w:sz w:val="24"/>
          <w:szCs w:val="24"/>
          <w:lang w:val="en-GB"/>
        </w:rPr>
        <w:t>In the experiment in SSA, an additional step was conducted on day 18, by further decreasing the temperature from 4 °C down to 2 °C under conditions of normoxia.</w:t>
      </w:r>
    </w:p>
    <w:p>
      <w:pPr>
        <w:pStyle w:val="Normal"/>
        <w:spacing w:lineRule="auto" w:line="240" w:before="0" w:afterAutospacing="0" w:after="120"/>
        <w:jc w:val="both"/>
        <w:rPr>
          <w:rFonts w:cs="Calibri" w:cstheme="minorHAnsi"/>
          <w:sz w:val="24"/>
          <w:szCs w:val="24"/>
          <w:lang w:val="en-US"/>
        </w:rPr>
      </w:pPr>
      <w:r>
        <w:rPr>
          <w:rFonts w:cs="Calibri" w:cstheme="minorHAnsi"/>
          <w:sz w:val="24"/>
          <w:szCs w:val="24"/>
          <w:lang w:val="en-US"/>
        </w:rPr>
      </w:r>
    </w:p>
    <w:p>
      <w:pPr>
        <w:pStyle w:val="Normal"/>
        <w:spacing w:lineRule="auto" w:line="240" w:before="0" w:afterAutospacing="0" w:after="120"/>
        <w:jc w:val="both"/>
        <w:rPr/>
      </w:pPr>
      <w:r>
        <w:rPr/>
        <w:drawing>
          <wp:anchor behindDoc="0" distT="0" distB="0" distL="0" distR="0" simplePos="0" locked="0" layoutInCell="1" allowOverlap="1" relativeHeight="11">
            <wp:simplePos x="0" y="0"/>
            <wp:positionH relativeFrom="column">
              <wp:posOffset>168910</wp:posOffset>
            </wp:positionH>
            <wp:positionV relativeFrom="paragraph">
              <wp:posOffset>591820</wp:posOffset>
            </wp:positionV>
            <wp:extent cx="5684520" cy="5116195"/>
            <wp:effectExtent l="0" t="0" r="0" b="0"/>
            <wp:wrapSquare wrapText="largest"/>
            <wp:docPr id="4"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 descr=""/>
                    <pic:cNvPicPr>
                      <a:picLocks noChangeAspect="1" noChangeArrowheads="1"/>
                    </pic:cNvPicPr>
                  </pic:nvPicPr>
                  <pic:blipFill>
                    <a:blip r:embed="rId3"/>
                    <a:stretch>
                      <a:fillRect/>
                    </a:stretch>
                  </pic:blipFill>
                  <pic:spPr bwMode="auto">
                    <a:xfrm>
                      <a:off x="0" y="0"/>
                      <a:ext cx="5684520" cy="5116195"/>
                    </a:xfrm>
                    <a:prstGeom prst="rect">
                      <a:avLst/>
                    </a:prstGeom>
                  </pic:spPr>
                </pic:pic>
              </a:graphicData>
            </a:graphic>
          </wp:anchor>
        </w:drawing>
      </w:r>
    </w:p>
    <w:sectPr>
      <w:headerReference w:type="even" r:id="rId4"/>
      <w:headerReference w:type="default" r:id="rId5"/>
      <w:headerReference w:type="first" r:id="rId6"/>
      <w:footerReference w:type="even" r:id="rId7"/>
      <w:footerReference w:type="default" r:id="rId8"/>
      <w:type w:val="nextPage"/>
      <w:pgSz w:w="12240" w:h="15840"/>
      <w:pgMar w:left="1282" w:right="1181" w:header="720" w:top="1138" w:footer="720" w:bottom="1138"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Tahoma">
    <w:charset w:val="01"/>
    <w:family w:val="roman"/>
    <w:pitch w:val="variable"/>
  </w:font>
  <w:font w:name="Liberation Sans">
    <w:altName w:val="Arial"/>
    <w:charset w:val="01"/>
    <w:family w:val="roman"/>
    <w:pitch w:val="variable"/>
  </w:font>
  <w:font w:name="Cambria">
    <w:charset w:val="01"/>
    <w:family w:val="roman"/>
    <w:pitch w:val="variable"/>
  </w:font>
  <w:font w:name="Liberation Mono">
    <w:altName w:val="Courier New"/>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120" w:after="240"/>
      <w:rPr>
        <w:color w:val="C00000"/>
        <w:szCs w:val="24"/>
      </w:rPr>
    </w:pPr>
    <w:r>
      <w:rPr>
        <w:color w:val="C00000"/>
        <w:szCs w:val="24"/>
      </w:rPr>
      <mc:AlternateContent>
        <mc:Choice Requires="wps">
          <w:drawing>
            <wp:anchor behindDoc="1" distT="3175" distB="3175" distL="3175" distR="3175" simplePos="0" locked="0" layoutInCell="1" allowOverlap="1" relativeHeight="8" wp14:anchorId="382EAD14">
              <wp:simplePos x="0" y="0"/>
              <wp:positionH relativeFrom="margin">
                <wp:align>right</wp:align>
              </wp:positionH>
              <wp:positionV relativeFrom="paragraph">
                <wp:align>top</wp:align>
              </wp:positionV>
              <wp:extent cx="1511935" cy="433705"/>
              <wp:effectExtent l="0" t="0" r="0" b="0"/>
              <wp:wrapNone/>
              <wp:docPr id="6" name="Text Box 1"/>
              <a:graphic xmlns:a="http://schemas.openxmlformats.org/drawingml/2006/main">
                <a:graphicData uri="http://schemas.microsoft.com/office/word/2010/wordprocessingShape">
                  <wps:wsp>
                    <wps:cNvSpPr/>
                    <wps:spPr>
                      <a:xfrm>
                        <a:off x="0" y="0"/>
                        <a:ext cx="1511280" cy="433080"/>
                      </a:xfrm>
                      <a:prstGeom prst="rect">
                        <a:avLst/>
                      </a:prstGeom>
                      <a:noFill/>
                      <a:ln w="6480">
                        <a:noFill/>
                      </a:ln>
                    </wps:spPr>
                    <wps:style>
                      <a:lnRef idx="0"/>
                      <a:fillRef idx="0"/>
                      <a:effectRef idx="0"/>
                      <a:fontRef idx="minor"/>
                    </wps:style>
                    <wps:txbx>
                      <w:txbxContent>
                        <w:p>
                          <w:pPr>
                            <w:pStyle w:val="FrameContents"/>
                            <w:spacing w:before="120" w:after="240"/>
                            <w:jc w:val="right"/>
                            <w:rPr>
                              <w:color w:val="000000"/>
                            </w:rPr>
                          </w:pPr>
                          <w:r>
                            <w:rPr>
                              <w:color w:val="000000"/>
                              <w:szCs w:val="40"/>
                            </w:rPr>
                            <w:fldChar w:fldCharType="begin"/>
                          </w:r>
                          <w:r>
                            <w:rPr>
                              <w:szCs w:val="40"/>
                            </w:rPr>
                            <w:instrText> PAGE </w:instrText>
                          </w:r>
                          <w:r>
                            <w:rPr>
                              <w:szCs w:val="40"/>
                            </w:rPr>
                            <w:fldChar w:fldCharType="separate"/>
                          </w:r>
                          <w:r>
                            <w:rPr>
                              <w:szCs w:val="40"/>
                            </w:rPr>
                            <w:t>8</w:t>
                          </w:r>
                          <w:r>
                            <w:rPr>
                              <w:szCs w:val="40"/>
                            </w:rPr>
                            <w:fldChar w:fldCharType="end"/>
                          </w:r>
                        </w:p>
                      </w:txbxContent>
                    </wps:txbx>
                    <wps:bodyPr>
                      <a:prstTxWarp prst="textNoShape"/>
                      <a:spAutoFit/>
                    </wps:bodyPr>
                  </wps:wsp>
                </a:graphicData>
              </a:graphic>
            </wp:anchor>
          </w:drawing>
        </mc:Choice>
        <mc:Fallback>
          <w:pict>
            <v:rect id="shape_0" ID="Text Box 1" stroked="f" style="position:absolute;margin-left:369.55pt;margin-top:0.25pt;width:118.95pt;height:34.05pt;mso-position-horizontal:right;mso-position-horizontal-relative:margin;mso-position-vertical:top" wp14:anchorId="382EAD14">
              <w10:wrap type="square"/>
              <v:fill o:detectmouseclick="t" on="false"/>
              <v:stroke color="#3465a4" weight="6480" joinstyle="round" endcap="flat"/>
              <v:textbox>
                <w:txbxContent>
                  <w:p>
                    <w:pPr>
                      <w:pStyle w:val="FrameContents"/>
                      <w:spacing w:before="120" w:after="240"/>
                      <w:jc w:val="right"/>
                      <w:rPr>
                        <w:color w:val="000000"/>
                      </w:rPr>
                    </w:pPr>
                    <w:r>
                      <w:rPr>
                        <w:color w:val="000000"/>
                        <w:szCs w:val="40"/>
                      </w:rPr>
                      <w:fldChar w:fldCharType="begin"/>
                    </w:r>
                    <w:r>
                      <w:rPr>
                        <w:szCs w:val="40"/>
                      </w:rPr>
                      <w:instrText> PAGE </w:instrText>
                    </w:r>
                    <w:r>
                      <w:rPr>
                        <w:szCs w:val="40"/>
                      </w:rPr>
                      <w:fldChar w:fldCharType="separate"/>
                    </w:r>
                    <w:r>
                      <w:rPr>
                        <w:szCs w:val="40"/>
                      </w:rPr>
                      <w:t>8</w:t>
                    </w:r>
                    <w:r>
                      <w:rPr>
                        <w:szCs w:val="40"/>
                      </w:rPr>
                      <w:fldChar w:fldCharType="end"/>
                    </w:r>
                  </w:p>
                </w:txbxContent>
              </v:textbox>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120" w:after="240"/>
      <w:rPr>
        <w:b/>
        <w:b/>
        <w:sz w:val="20"/>
        <w:szCs w:val="24"/>
      </w:rPr>
    </w:pPr>
    <w:r>
      <w:rPr>
        <w:b/>
        <w:sz w:val="20"/>
        <w:szCs w:val="24"/>
      </w:rPr>
      <mc:AlternateContent>
        <mc:Choice Requires="wps">
          <w:drawing>
            <wp:anchor behindDoc="1" distT="3175" distB="3175" distL="3175" distR="3175" simplePos="0" locked="0" layoutInCell="1" allowOverlap="1" relativeHeight="4" wp14:anchorId="70F9F55F">
              <wp:simplePos x="0" y="0"/>
              <wp:positionH relativeFrom="margin">
                <wp:align>right</wp:align>
              </wp:positionH>
              <wp:positionV relativeFrom="paragraph">
                <wp:align>top</wp:align>
              </wp:positionV>
              <wp:extent cx="1511935" cy="433705"/>
              <wp:effectExtent l="0" t="0" r="0" b="0"/>
              <wp:wrapNone/>
              <wp:docPr id="8" name="Text Box 56"/>
              <a:graphic xmlns:a="http://schemas.openxmlformats.org/drawingml/2006/main">
                <a:graphicData uri="http://schemas.microsoft.com/office/word/2010/wordprocessingShape">
                  <wps:wsp>
                    <wps:cNvSpPr/>
                    <wps:spPr>
                      <a:xfrm>
                        <a:off x="0" y="0"/>
                        <a:ext cx="1511280" cy="433080"/>
                      </a:xfrm>
                      <a:prstGeom prst="rect">
                        <a:avLst/>
                      </a:prstGeom>
                      <a:noFill/>
                      <a:ln w="6480">
                        <a:noFill/>
                      </a:ln>
                    </wps:spPr>
                    <wps:style>
                      <a:lnRef idx="0"/>
                      <a:fillRef idx="0"/>
                      <a:effectRef idx="0"/>
                      <a:fontRef idx="minor"/>
                    </wps:style>
                    <wps:txbx>
                      <w:txbxContent>
                        <w:p>
                          <w:pPr>
                            <w:pStyle w:val="FrameContents"/>
                            <w:spacing w:before="120" w:after="240"/>
                            <w:jc w:val="right"/>
                            <w:rPr>
                              <w:color w:val="000000"/>
                            </w:rPr>
                          </w:pPr>
                          <w:r>
                            <w:rPr>
                              <w:color w:val="000000"/>
                              <w:szCs w:val="40"/>
                            </w:rPr>
                            <w:fldChar w:fldCharType="begin"/>
                          </w:r>
                          <w:r>
                            <w:rPr>
                              <w:szCs w:val="40"/>
                            </w:rPr>
                            <w:instrText> PAGE </w:instrText>
                          </w:r>
                          <w:r>
                            <w:rPr>
                              <w:szCs w:val="40"/>
                            </w:rPr>
                            <w:fldChar w:fldCharType="separate"/>
                          </w:r>
                          <w:r>
                            <w:rPr>
                              <w:szCs w:val="40"/>
                            </w:rPr>
                            <w:t>7</w:t>
                          </w:r>
                          <w:r>
                            <w:rPr>
                              <w:szCs w:val="40"/>
                            </w:rPr>
                            <w:fldChar w:fldCharType="end"/>
                          </w:r>
                        </w:p>
                      </w:txbxContent>
                    </wps:txbx>
                    <wps:bodyPr>
                      <a:prstTxWarp prst="textNoShape"/>
                      <a:spAutoFit/>
                    </wps:bodyPr>
                  </wps:wsp>
                </a:graphicData>
              </a:graphic>
            </wp:anchor>
          </w:drawing>
        </mc:Choice>
        <mc:Fallback>
          <w:pict>
            <v:rect id="shape_0" ID="Text Box 56" stroked="f" style="position:absolute;margin-left:369.55pt;margin-top:0.25pt;width:118.95pt;height:34.05pt;mso-position-horizontal:right;mso-position-horizontal-relative:margin;mso-position-vertical:top" wp14:anchorId="70F9F55F">
              <w10:wrap type="square"/>
              <v:fill o:detectmouseclick="t" on="false"/>
              <v:stroke color="#3465a4" weight="6480" joinstyle="round" endcap="flat"/>
              <v:textbox>
                <w:txbxContent>
                  <w:p>
                    <w:pPr>
                      <w:pStyle w:val="FrameContents"/>
                      <w:spacing w:before="120" w:after="240"/>
                      <w:jc w:val="right"/>
                      <w:rPr>
                        <w:color w:val="000000"/>
                      </w:rPr>
                    </w:pPr>
                    <w:r>
                      <w:rPr>
                        <w:color w:val="000000"/>
                        <w:szCs w:val="40"/>
                      </w:rPr>
                      <w:fldChar w:fldCharType="begin"/>
                    </w:r>
                    <w:r>
                      <w:rPr>
                        <w:szCs w:val="40"/>
                      </w:rPr>
                      <w:instrText> PAGE </w:instrText>
                    </w:r>
                    <w:r>
                      <w:rPr>
                        <w:szCs w:val="40"/>
                      </w:rPr>
                      <w:fldChar w:fldCharType="separate"/>
                    </w:r>
                    <w:r>
                      <w:rPr>
                        <w:szCs w:val="40"/>
                      </w:rPr>
                      <w:t>7</w:t>
                    </w:r>
                    <w:r>
                      <w:rPr>
                        <w:szCs w:val="40"/>
                      </w:rPr>
                      <w:fldChar w:fldCharType="end"/>
                    </w:r>
                  </w:p>
                </w:txbxContent>
              </v:textbox>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120" w:after="240"/>
      <w:rPr>
        <w:rFonts w:cs="Times New Roman"/>
      </w:rPr>
    </w:pPr>
    <w:r>
      <w:rPr>
        <w:rFonts w:cs="Times New Roman"/>
      </w:rPr>
      <w:tab/>
      <w:tab/>
      <w:t>Supplementary Material</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spacing w:before="120" w:after="240"/>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bidi w:val="0"/>
      <w:spacing w:lineRule="auto" w:line="240" w:before="120" w:after="240"/>
      <w:jc w:val="left"/>
      <w:rPr/>
    </w:pPr>
    <w:r>
      <w:rPr/>
      <w:drawing>
        <wp:inline distT="0" distB="0" distL="0" distR="0">
          <wp:extent cx="1382395" cy="497205"/>
          <wp:effectExtent l="0" t="0" r="0" b="0"/>
          <wp:docPr id="5"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stretch>
                    <a:fillRect/>
                  </a:stretch>
                </pic:blipFill>
                <pic:spPr bwMode="auto">
                  <a:xfrm>
                    <a:off x="0" y="0"/>
                    <a:ext cx="1382395" cy="497205"/>
                  </a:xfrm>
                  <a:prstGeom prst="rect">
                    <a:avLst/>
                  </a:prstGeom>
                </pic:spPr>
              </pic:pic>
            </a:graphicData>
          </a:graphic>
        </wp:inline>
      </w:drawing>
    </w:r>
    <w:r>
      <w:rPr>
        <w:b/>
      </w:rPr>
      <w:tab/>
    </w:r>
    <w:r>
      <w:rPr/>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tulo1"/>
      <w:numFmt w:val="decimal"/>
      <w:lvlText w:val="%1"/>
      <w:lvlJc w:val="left"/>
      <w:pPr>
        <w:tabs>
          <w:tab w:val="num" w:pos="567"/>
        </w:tabs>
        <w:ind w:left="567" w:hanging="567"/>
      </w:pPr>
    </w:lvl>
    <w:lvl w:ilvl="1">
      <w:start w:val="1"/>
      <w:pStyle w:val="Ttulo2"/>
      <w:numFmt w:val="decimal"/>
      <w:lvlText w:val="%1.%2"/>
      <w:lvlJc w:val="left"/>
      <w:pPr>
        <w:tabs>
          <w:tab w:val="num" w:pos="567"/>
        </w:tabs>
        <w:ind w:left="567" w:hanging="567"/>
      </w:pPr>
    </w:lvl>
    <w:lvl w:ilvl="2">
      <w:start w:val="1"/>
      <w:pStyle w:val="Ttulo3"/>
      <w:numFmt w:val="decimal"/>
      <w:lvlText w:val="%1.%2.%3"/>
      <w:lvlJc w:val="left"/>
      <w:pPr>
        <w:tabs>
          <w:tab w:val="num" w:pos="567"/>
        </w:tabs>
        <w:ind w:left="567" w:hanging="567"/>
      </w:pPr>
    </w:lvl>
    <w:lvl w:ilvl="3">
      <w:start w:val="1"/>
      <w:pStyle w:val="Ttulo4"/>
      <w:numFmt w:val="decimal"/>
      <w:lvlText w:val="%1.%2.%3.%4"/>
      <w:lvlJc w:val="left"/>
      <w:pPr>
        <w:tabs>
          <w:tab w:val="num" w:pos="567"/>
        </w:tabs>
        <w:ind w:left="567" w:hanging="567"/>
      </w:pPr>
    </w:lvl>
    <w:lvl w:ilvl="4">
      <w:start w:val="1"/>
      <w:pStyle w:val="Ttulo5"/>
      <w:numFmt w:val="decimal"/>
      <w:lvlText w:val="%1.%2.%3.%4.%5"/>
      <w:lvlJc w:val="left"/>
      <w:pPr>
        <w:tabs>
          <w:tab w:val="num" w:pos="567"/>
        </w:tabs>
        <w:ind w:left="567" w:hanging="567"/>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567"/>
        </w:tabs>
        <w:ind w:left="567" w:hanging="567"/>
      </w:pPr>
    </w:lvl>
    <w:lvl w:ilvl="4">
      <w:start w:val="1"/>
      <w:numFmt w:val="decimal"/>
      <w:lvlText w:val="%1.%2.%3.%4.%5"/>
      <w:lvlJc w:val="left"/>
      <w:pPr>
        <w:tabs>
          <w:tab w:val="num" w:pos="567"/>
        </w:tabs>
        <w:ind w:left="567" w:hanging="567"/>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74"/>
  <w:defaultTabStop w:val="720"/>
  <w:autoHyphenation w:val="false"/>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2" w:qFormat="1"/>
    <w:lsdException w:name="heading 2" w:uiPriority="2" w:semiHidden="1" w:unhideWhenUsed="1" w:qFormat="1"/>
    <w:lsdException w:name="heading 3" w:uiPriority="2" w:semiHidden="1" w:unhideWhenUsed="1" w:qFormat="1"/>
    <w:lsdException w:name="heading 4" w:uiPriority="2" w:semiHidden="1" w:unhideWhenUsed="1" w:qFormat="1"/>
    <w:lsdException w:name="heading 5" w:uiPriority="2"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ab6715"/>
    <w:pPr>
      <w:widowControl/>
      <w:suppressAutoHyphens w:val="true"/>
      <w:bidi w:val="0"/>
      <w:spacing w:lineRule="auto" w:line="240" w:before="120" w:after="240"/>
      <w:jc w:val="left"/>
    </w:pPr>
    <w:rPr>
      <w:rFonts w:ascii="Times New Roman" w:hAnsi="Times New Roman" w:eastAsia="Calibri" w:cs="" w:cstheme="minorBidi" w:eastAsiaTheme="minorHAnsi"/>
      <w:color w:val="auto"/>
      <w:kern w:val="0"/>
      <w:sz w:val="24"/>
      <w:szCs w:val="22"/>
      <w:lang w:val="en-US" w:eastAsia="en-US" w:bidi="ar-SA"/>
    </w:rPr>
  </w:style>
  <w:style w:type="paragraph" w:styleId="Ttulo1">
    <w:name w:val="Heading 1"/>
    <w:basedOn w:val="Normal"/>
    <w:next w:val="Normal"/>
    <w:link w:val="Heading1Char"/>
    <w:uiPriority w:val="2"/>
    <w:qFormat/>
    <w:rsid w:val="00ab6715"/>
    <w:pPr>
      <w:widowControl w:val="false"/>
      <w:numPr>
        <w:ilvl w:val="0"/>
        <w:numId w:val="1"/>
      </w:numPr>
      <w:bidi w:val="0"/>
      <w:spacing w:before="240" w:after="120"/>
      <w:jc w:val="left"/>
      <w:outlineLvl w:val="0"/>
    </w:pPr>
    <w:rPr>
      <w:rFonts w:ascii="Calibri" w:hAnsi="Calibri" w:eastAsia="Calibri" w:cs="" w:asciiTheme="minorHAnsi" w:cstheme="minorBidi" w:eastAsiaTheme="minorHAnsi" w:hAnsiTheme="minorHAnsi"/>
      <w:b/>
      <w:color w:val="auto"/>
      <w:kern w:val="0"/>
      <w:sz w:val="24"/>
      <w:szCs w:val="22"/>
      <w:lang w:val="en-US" w:eastAsia="en-US" w:bidi="ar-SA"/>
    </w:rPr>
  </w:style>
  <w:style w:type="paragraph" w:styleId="Ttulo2">
    <w:name w:val="Heading 2"/>
    <w:basedOn w:val="Ttulo1"/>
    <w:next w:val="Normal"/>
    <w:link w:val="Heading2Char"/>
    <w:uiPriority w:val="2"/>
    <w:qFormat/>
    <w:rsid w:val="00ab6715"/>
    <w:pPr>
      <w:numPr>
        <w:ilvl w:val="1"/>
        <w:numId w:val="1"/>
      </w:numPr>
      <w:spacing w:before="240" w:after="200"/>
      <w:outlineLvl w:val="1"/>
    </w:pPr>
    <w:rPr/>
  </w:style>
  <w:style w:type="paragraph" w:styleId="Ttulo3">
    <w:name w:val="Heading 3"/>
    <w:basedOn w:val="Normal"/>
    <w:next w:val="Normal"/>
    <w:link w:val="Heading3Char"/>
    <w:uiPriority w:val="2"/>
    <w:qFormat/>
    <w:rsid w:val="00ab6715"/>
    <w:pPr>
      <w:keepNext w:val="true"/>
      <w:keepLines/>
      <w:numPr>
        <w:ilvl w:val="2"/>
        <w:numId w:val="1"/>
      </w:numPr>
      <w:spacing w:before="40" w:after="120"/>
      <w:outlineLvl w:val="2"/>
    </w:pPr>
    <w:rPr>
      <w:rFonts w:eastAsia="" w:cs="" w:cstheme="majorBidi" w:eastAsiaTheme="majorEastAsia"/>
      <w:b/>
      <w:szCs w:val="24"/>
    </w:rPr>
  </w:style>
  <w:style w:type="paragraph" w:styleId="Ttulo4">
    <w:name w:val="Heading 4"/>
    <w:basedOn w:val="Ttulo3"/>
    <w:next w:val="Normal"/>
    <w:link w:val="Heading4Char"/>
    <w:uiPriority w:val="2"/>
    <w:qFormat/>
    <w:rsid w:val="00ab6715"/>
    <w:pPr>
      <w:numPr>
        <w:ilvl w:val="3"/>
        <w:numId w:val="1"/>
      </w:numPr>
      <w:outlineLvl w:val="3"/>
    </w:pPr>
    <w:rPr>
      <w:iCs/>
    </w:rPr>
  </w:style>
  <w:style w:type="paragraph" w:styleId="Ttulo5">
    <w:name w:val="Heading 5"/>
    <w:basedOn w:val="Ttulo4"/>
    <w:next w:val="Normal"/>
    <w:link w:val="Heading5Char"/>
    <w:uiPriority w:val="2"/>
    <w:qFormat/>
    <w:rsid w:val="00ab6715"/>
    <w:pPr>
      <w:numPr>
        <w:ilvl w:val="4"/>
        <w:numId w:val="1"/>
      </w:numPr>
      <w:outlineLvl w:val="4"/>
    </w:pPr>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2"/>
    <w:qFormat/>
    <w:rsid w:val="00ab6715"/>
    <w:rPr>
      <w:rFonts w:ascii="Times New Roman" w:hAnsi="Times New Roman" w:eastAsia="Cambria" w:cs="Times New Roman"/>
      <w:b/>
      <w:sz w:val="24"/>
      <w:szCs w:val="24"/>
    </w:rPr>
  </w:style>
  <w:style w:type="character" w:styleId="Heading2Char" w:customStyle="1">
    <w:name w:val="Heading 2 Char"/>
    <w:basedOn w:val="DefaultParagraphFont"/>
    <w:link w:val="Heading2"/>
    <w:uiPriority w:val="2"/>
    <w:qFormat/>
    <w:rsid w:val="00ab6715"/>
    <w:rPr>
      <w:rFonts w:ascii="Times New Roman" w:hAnsi="Times New Roman" w:eastAsia="Cambria" w:cs="Times New Roman"/>
      <w:b/>
      <w:sz w:val="24"/>
      <w:szCs w:val="24"/>
    </w:rPr>
  </w:style>
  <w:style w:type="character" w:styleId="SubtitleChar" w:customStyle="1">
    <w:name w:val="Subtitle Char"/>
    <w:basedOn w:val="DefaultParagraphFont"/>
    <w:link w:val="Subtitle"/>
    <w:uiPriority w:val="99"/>
    <w:qFormat/>
    <w:rsid w:val="00ab6715"/>
    <w:rPr>
      <w:rFonts w:ascii="Times New Roman" w:hAnsi="Times New Roman" w:cs="Times New Roman"/>
      <w:b/>
      <w:sz w:val="24"/>
      <w:szCs w:val="24"/>
    </w:rPr>
  </w:style>
  <w:style w:type="character" w:styleId="BalloonTextChar" w:customStyle="1">
    <w:name w:val="Balloon Text Char"/>
    <w:basedOn w:val="DefaultParagraphFont"/>
    <w:link w:val="BalloonText"/>
    <w:uiPriority w:val="99"/>
    <w:semiHidden/>
    <w:qFormat/>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character" w:styleId="Annotationreference">
    <w:name w:val="annotation reference"/>
    <w:basedOn w:val="DefaultParagraphFont"/>
    <w:uiPriority w:val="99"/>
    <w:semiHidden/>
    <w:unhideWhenUsed/>
    <w:qFormat/>
    <w:rsid w:val="00ab6715"/>
    <w:rPr>
      <w:sz w:val="16"/>
      <w:szCs w:val="16"/>
    </w:rPr>
  </w:style>
  <w:style w:type="character" w:styleId="CommentTextChar" w:customStyle="1">
    <w:name w:val="Comment Text Char"/>
    <w:basedOn w:val="DefaultParagraphFont"/>
    <w:link w:val="CommentText"/>
    <w:uiPriority w:val="99"/>
    <w:semiHidden/>
    <w:qFormat/>
    <w:rsid w:val="00ab6715"/>
    <w:rPr>
      <w:rFonts w:ascii="Times New Roman" w:hAnsi="Times New Roman"/>
      <w:sz w:val="20"/>
      <w:szCs w:val="20"/>
    </w:rPr>
  </w:style>
  <w:style w:type="character" w:styleId="CommentSubjectChar" w:customStyle="1">
    <w:name w:val="Comment Subject Char"/>
    <w:basedOn w:val="CommentTextChar"/>
    <w:link w:val="CommentSubject"/>
    <w:uiPriority w:val="99"/>
    <w:semiHidden/>
    <w:qFormat/>
    <w:rsid w:val="00ab6715"/>
    <w:rPr>
      <w:rFonts w:ascii="Times New Roman" w:hAnsi="Times New Roman"/>
      <w:b/>
      <w:bCs/>
      <w:sz w:val="20"/>
      <w:szCs w:val="20"/>
    </w:rPr>
  </w:style>
  <w:style w:type="character" w:styleId="Destacado">
    <w:name w:val="Destacado"/>
    <w:basedOn w:val="DefaultParagraphFont"/>
    <w:uiPriority w:val="20"/>
    <w:qFormat/>
    <w:rsid w:val="00ab6715"/>
    <w:rPr>
      <w:rFonts w:ascii="Times New Roman" w:hAnsi="Times New Roman"/>
      <w:i/>
      <w:iCs/>
    </w:rPr>
  </w:style>
  <w:style w:type="character" w:styleId="EndnoteCharacters">
    <w:name w:val="Endnote Characters"/>
    <w:basedOn w:val="DefaultParagraphFont"/>
    <w:uiPriority w:val="99"/>
    <w:semiHidden/>
    <w:unhideWhenUsed/>
    <w:qFormat/>
    <w:rsid w:val="00ab6715"/>
    <w:rPr>
      <w:vertAlign w:val="superscript"/>
    </w:rPr>
  </w:style>
  <w:style w:type="character" w:styleId="EndnoteAnchor">
    <w:name w:val="Endnote Anchor"/>
    <w:qFormat/>
    <w:rPr>
      <w:vertAlign w:val="superscript"/>
    </w:rPr>
  </w:style>
  <w:style w:type="character" w:styleId="EndnoteTextChar" w:customStyle="1">
    <w:name w:val="Endnote Text Char"/>
    <w:basedOn w:val="DefaultParagraphFont"/>
    <w:link w:val="EndnoteText"/>
    <w:uiPriority w:val="99"/>
    <w:semiHidden/>
    <w:qFormat/>
    <w:rsid w:val="00ab6715"/>
    <w:rPr>
      <w:rFonts w:ascii="Times New Roman" w:hAnsi="Times New Roman"/>
      <w:sz w:val="20"/>
      <w:szCs w:val="20"/>
    </w:rPr>
  </w:style>
  <w:style w:type="character" w:styleId="FollowedHyperlink">
    <w:name w:val="FollowedHyperlink"/>
    <w:basedOn w:val="DefaultParagraphFont"/>
    <w:uiPriority w:val="99"/>
    <w:semiHidden/>
    <w:unhideWhenUsed/>
    <w:qFormat/>
    <w:rsid w:val="00ab6715"/>
    <w:rPr>
      <w:color w:val="800080" w:themeColor="followedHyperlink"/>
      <w:u w:val="single"/>
    </w:rPr>
  </w:style>
  <w:style w:type="character" w:styleId="FooterChar" w:customStyle="1">
    <w:name w:val="Footer Char"/>
    <w:basedOn w:val="DefaultParagraphFont"/>
    <w:link w:val="Footer"/>
    <w:uiPriority w:val="99"/>
    <w:qFormat/>
    <w:rsid w:val="00ab6715"/>
    <w:rPr>
      <w:rFonts w:ascii="Times New Roman" w:hAnsi="Times New Roman"/>
      <w:sz w:val="24"/>
    </w:rPr>
  </w:style>
  <w:style w:type="character" w:styleId="FootnoteCharacters">
    <w:name w:val="Footnote Characters"/>
    <w:basedOn w:val="DefaultParagraphFont"/>
    <w:uiPriority w:val="99"/>
    <w:semiHidden/>
    <w:unhideWhenUsed/>
    <w:qFormat/>
    <w:rsid w:val="00ab6715"/>
    <w:rPr>
      <w:vertAlign w:val="superscript"/>
    </w:rPr>
  </w:style>
  <w:style w:type="character" w:styleId="FootnoteAnchor">
    <w:name w:val="Footnote Anchor"/>
    <w:qFormat/>
    <w:rPr>
      <w:vertAlign w:val="superscript"/>
    </w:rPr>
  </w:style>
  <w:style w:type="character" w:styleId="FootnoteTextChar" w:customStyle="1">
    <w:name w:val="Footnote Text Char"/>
    <w:basedOn w:val="DefaultParagraphFont"/>
    <w:link w:val="FootnoteText"/>
    <w:uiPriority w:val="99"/>
    <w:semiHidden/>
    <w:qFormat/>
    <w:rsid w:val="00ab6715"/>
    <w:rPr>
      <w:rFonts w:ascii="Times New Roman" w:hAnsi="Times New Roman"/>
      <w:sz w:val="20"/>
      <w:szCs w:val="20"/>
    </w:rPr>
  </w:style>
  <w:style w:type="character" w:styleId="HeaderChar" w:customStyle="1">
    <w:name w:val="Header Char"/>
    <w:basedOn w:val="DefaultParagraphFont"/>
    <w:link w:val="Header"/>
    <w:uiPriority w:val="99"/>
    <w:qFormat/>
    <w:rsid w:val="00ab6715"/>
    <w:rPr>
      <w:rFonts w:ascii="Times New Roman" w:hAnsi="Times New Roman"/>
      <w:b/>
      <w:sz w:val="24"/>
    </w:rPr>
  </w:style>
  <w:style w:type="character" w:styleId="EnlacedeInternet">
    <w:name w:val="Enlace de Internet"/>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qFormat/>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qFormat/>
    <w:rsid w:val="00ab6715"/>
    <w:rPr/>
  </w:style>
  <w:style w:type="character" w:styleId="Heading3Char" w:customStyle="1">
    <w:name w:val="Heading 3 Char"/>
    <w:basedOn w:val="DefaultParagraphFont"/>
    <w:link w:val="Heading3"/>
    <w:uiPriority w:val="2"/>
    <w:qFormat/>
    <w:rsid w:val="00ab6715"/>
    <w:rPr>
      <w:rFonts w:ascii="Times New Roman" w:hAnsi="Times New Roman" w:eastAsia="" w:cs="" w:cstheme="majorBidi" w:eastAsiaTheme="majorEastAsia"/>
      <w:b/>
      <w:sz w:val="24"/>
      <w:szCs w:val="24"/>
    </w:rPr>
  </w:style>
  <w:style w:type="character" w:styleId="Heading4Char" w:customStyle="1">
    <w:name w:val="Heading 4 Char"/>
    <w:basedOn w:val="DefaultParagraphFont"/>
    <w:link w:val="Heading4"/>
    <w:uiPriority w:val="2"/>
    <w:qFormat/>
    <w:rsid w:val="00ab6715"/>
    <w:rPr>
      <w:rFonts w:ascii="Times New Roman" w:hAnsi="Times New Roman" w:eastAsia="" w:cs="" w:cstheme="majorBidi" w:eastAsiaTheme="majorEastAsia"/>
      <w:b/>
      <w:iCs/>
      <w:sz w:val="24"/>
      <w:szCs w:val="24"/>
    </w:rPr>
  </w:style>
  <w:style w:type="character" w:styleId="Heading5Char" w:customStyle="1">
    <w:name w:val="Heading 5 Char"/>
    <w:basedOn w:val="DefaultParagraphFont"/>
    <w:link w:val="Heading5"/>
    <w:uiPriority w:val="2"/>
    <w:qFormat/>
    <w:rsid w:val="00ab6715"/>
    <w:rPr>
      <w:rFonts w:ascii="Times New Roman" w:hAnsi="Times New Roman" w:eastAsia="" w:cs="" w:cstheme="majorBidi" w:eastAsiaTheme="majorEastAsia"/>
      <w:b/>
      <w:iCs/>
      <w:sz w:val="24"/>
      <w:szCs w:val="24"/>
    </w:rPr>
  </w:style>
  <w:style w:type="character" w:styleId="QuoteChar" w:customStyle="1">
    <w:name w:val="Quote Char"/>
    <w:basedOn w:val="DefaultParagraphFont"/>
    <w:link w:val="Quote"/>
    <w:uiPriority w:val="29"/>
    <w:qFormat/>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character" w:styleId="TitleChar" w:customStyle="1">
    <w:name w:val="Title Char"/>
    <w:basedOn w:val="DefaultParagraphFont"/>
    <w:link w:val="Title"/>
    <w:qFormat/>
    <w:rsid w:val="00ab6715"/>
    <w:rPr>
      <w:rFonts w:ascii="Times New Roman" w:hAnsi="Times New Roman" w:cs="Times New Roman"/>
      <w:b/>
      <w:sz w:val="32"/>
      <w:szCs w:val="32"/>
    </w:rPr>
  </w:style>
  <w:style w:type="character" w:styleId="WWDefaultParagraphFont">
    <w:name w:val="WW-Default Paragraph Font"/>
    <w:qFormat/>
    <w:rPr/>
  </w:style>
  <w:style w:type="character" w:styleId="ListLabel1">
    <w:name w:val="ListLabel 1"/>
    <w:qFormat/>
    <w:rPr>
      <w:rFonts w:cs="Symbol"/>
    </w:rPr>
  </w:style>
  <w:style w:type="character" w:styleId="ListLabel2">
    <w:name w:val="ListLabel 2"/>
    <w:qFormat/>
    <w:rPr>
      <w:rFonts w:cs="Courier New"/>
    </w:rPr>
  </w:style>
  <w:style w:type="character" w:styleId="ListLabel3">
    <w:name w:val="ListLabel 3"/>
    <w:qFormat/>
    <w:rPr>
      <w:rFonts w:cs="Wingdings"/>
    </w:rPr>
  </w:style>
  <w:style w:type="character" w:styleId="ListLabel4">
    <w:name w:val="ListLabel 4"/>
    <w:qFormat/>
    <w:rPr>
      <w:rFonts w:cs="Symbol"/>
    </w:rPr>
  </w:style>
  <w:style w:type="character" w:styleId="ListLabel5">
    <w:name w:val="ListLabel 5"/>
    <w:qFormat/>
    <w:rPr>
      <w:rFonts w:cs="Courier New"/>
    </w:rPr>
  </w:style>
  <w:style w:type="character" w:styleId="ListLabel6">
    <w:name w:val="ListLabel 6"/>
    <w:qFormat/>
    <w:rPr>
      <w:rFonts w:cs="Wingdings"/>
    </w:rPr>
  </w:style>
  <w:style w:type="character" w:styleId="ListLabel7">
    <w:name w:val="ListLabel 7"/>
    <w:qFormat/>
    <w:rPr>
      <w:rFonts w:cs="Symbol"/>
    </w:rPr>
  </w:style>
  <w:style w:type="character" w:styleId="ListLabel8">
    <w:name w:val="ListLabel 8"/>
    <w:qFormat/>
    <w:rPr>
      <w:rFonts w:cs="Courier New"/>
    </w:rPr>
  </w:style>
  <w:style w:type="character" w:styleId="ListLabel9">
    <w:name w:val="ListLabel 9"/>
    <w:qFormat/>
    <w:rPr>
      <w:rFonts w:cs="Wingdings"/>
    </w:rPr>
  </w:style>
  <w:style w:type="paragraph" w:styleId="Ttulo">
    <w:name w:val="Título"/>
    <w:basedOn w:val="Normal"/>
    <w:next w:val="Cuerpodetexto"/>
    <w:qFormat/>
    <w:pPr>
      <w:keepNext w:val="true"/>
      <w:spacing w:before="240" w:after="120"/>
    </w:pPr>
    <w:rPr>
      <w:rFonts w:ascii="Liberation Sans" w:hAnsi="Liberation Sans" w:eastAsia="PingFang SC"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Subttulo">
    <w:name w:val="Subtitle"/>
    <w:basedOn w:val="Normal"/>
    <w:next w:val="Normal"/>
    <w:link w:val="SubtitleChar"/>
    <w:uiPriority w:val="99"/>
    <w:unhideWhenUsed/>
    <w:qFormat/>
    <w:rsid w:val="00ab6715"/>
    <w:pPr>
      <w:spacing w:before="240" w:after="240"/>
    </w:pPr>
    <w:rPr>
      <w:rFonts w:cs="Times New Roman"/>
      <w:b/>
      <w:szCs w:val="24"/>
    </w:rPr>
  </w:style>
  <w:style w:type="paragraph" w:styleId="AuthorList" w:customStyle="1">
    <w:name w:val="Author List"/>
    <w:basedOn w:val="Subttulo"/>
    <w:next w:val="Normal"/>
    <w:uiPriority w:val="1"/>
    <w:qFormat/>
    <w:rsid w:val="00ab6715"/>
    <w:pPr/>
    <w:rPr/>
  </w:style>
  <w:style w:type="paragraph" w:styleId="BalloonText">
    <w:name w:val="Balloon Text"/>
    <w:basedOn w:val="Normal"/>
    <w:link w:val="BalloonTextChar"/>
    <w:uiPriority w:val="99"/>
    <w:semiHidden/>
    <w:unhideWhenUsed/>
    <w:qFormat/>
    <w:rsid w:val="00ab6715"/>
    <w:pPr>
      <w:spacing w:before="120" w:after="0"/>
    </w:pPr>
    <w:rPr>
      <w:rFonts w:ascii="Tahoma" w:hAnsi="Tahoma" w:cs="Tahoma"/>
      <w:sz w:val="16"/>
      <w:szCs w:val="16"/>
    </w:rPr>
  </w:style>
  <w:style w:type="paragraph" w:styleId="Caption">
    <w:name w:val="caption"/>
    <w:basedOn w:val="Normal"/>
    <w:uiPriority w:val="35"/>
    <w:unhideWhenUsed/>
    <w:qFormat/>
    <w:rsid w:val="00ab6715"/>
    <w:pPr>
      <w:keepNext w:val="true"/>
    </w:pPr>
    <w:rPr>
      <w:rFonts w:cs="Times New Roman"/>
      <w:b/>
      <w:bCs/>
      <w:szCs w:val="24"/>
    </w:rPr>
  </w:style>
  <w:style w:type="paragraph" w:styleId="NoSpacing">
    <w:name w:val="No Spacing"/>
    <w:uiPriority w:val="99"/>
    <w:unhideWhenUsed/>
    <w:qFormat/>
    <w:rsid w:val="00ab6715"/>
    <w:pPr>
      <w:widowControl/>
      <w:suppressAutoHyphens w:val="true"/>
      <w:bidi w:val="0"/>
      <w:spacing w:lineRule="auto" w:line="240" w:before="0" w:after="0"/>
      <w:jc w:val="left"/>
    </w:pPr>
    <w:rPr>
      <w:rFonts w:ascii="Times New Roman" w:hAnsi="Times New Roman" w:eastAsia="Calibri" w:cs="" w:cstheme="minorBidi" w:eastAsiaTheme="minorHAnsi"/>
      <w:color w:val="auto"/>
      <w:kern w:val="0"/>
      <w:sz w:val="24"/>
      <w:szCs w:val="22"/>
      <w:lang w:val="en-US" w:eastAsia="en-US" w:bidi="ar-SA"/>
    </w:rPr>
  </w:style>
  <w:style w:type="paragraph" w:styleId="Annotationtext">
    <w:name w:val="annotation text"/>
    <w:basedOn w:val="Normal"/>
    <w:link w:val="CommentTextChar"/>
    <w:uiPriority w:val="99"/>
    <w:semiHidden/>
    <w:unhideWhenUsed/>
    <w:qFormat/>
    <w:rsid w:val="00ab6715"/>
    <w:pPr/>
    <w:rPr>
      <w:sz w:val="20"/>
      <w:szCs w:val="20"/>
    </w:rPr>
  </w:style>
  <w:style w:type="paragraph" w:styleId="Annotationsubject">
    <w:name w:val="annotation subject"/>
    <w:basedOn w:val="Annotationtext"/>
    <w:link w:val="CommentSubjectChar"/>
    <w:uiPriority w:val="99"/>
    <w:semiHidden/>
    <w:unhideWhenUsed/>
    <w:qFormat/>
    <w:rsid w:val="00ab6715"/>
    <w:pPr/>
    <w:rPr>
      <w:b/>
      <w:bCs/>
    </w:rPr>
  </w:style>
  <w:style w:type="paragraph" w:styleId="Notafinal">
    <w:name w:val="Endnote Text"/>
    <w:basedOn w:val="Normal"/>
    <w:link w:val="EndnoteTextChar"/>
    <w:uiPriority w:val="99"/>
    <w:semiHidden/>
    <w:unhideWhenUsed/>
    <w:rsid w:val="00ab6715"/>
    <w:pPr>
      <w:spacing w:before="120" w:after="0"/>
    </w:pPr>
    <w:rPr>
      <w:sz w:val="20"/>
      <w:szCs w:val="20"/>
    </w:rPr>
  </w:style>
  <w:style w:type="paragraph" w:styleId="HeaderandFooter">
    <w:name w:val="Header and Footer"/>
    <w:basedOn w:val="Normal"/>
    <w:qFormat/>
    <w:pPr/>
    <w:rPr/>
  </w:style>
  <w:style w:type="paragraph" w:styleId="Piedepgina">
    <w:name w:val="Footer"/>
    <w:basedOn w:val="Normal"/>
    <w:link w:val="FooterChar"/>
    <w:uiPriority w:val="99"/>
    <w:unhideWhenUsed/>
    <w:rsid w:val="00ab6715"/>
    <w:pPr>
      <w:tabs>
        <w:tab w:val="center" w:pos="4844" w:leader="none"/>
        <w:tab w:val="right" w:pos="9689" w:leader="none"/>
      </w:tabs>
      <w:spacing w:before="120" w:after="0"/>
    </w:pPr>
    <w:rPr/>
  </w:style>
  <w:style w:type="paragraph" w:styleId="Notaalpie">
    <w:name w:val="Footnote Text"/>
    <w:basedOn w:val="Normal"/>
    <w:link w:val="FootnoteTextChar"/>
    <w:uiPriority w:val="99"/>
    <w:semiHidden/>
    <w:unhideWhenUsed/>
    <w:rsid w:val="00ab6715"/>
    <w:pPr>
      <w:spacing w:before="120" w:after="0"/>
    </w:pPr>
    <w:rPr>
      <w:sz w:val="20"/>
      <w:szCs w:val="20"/>
    </w:rPr>
  </w:style>
  <w:style w:type="paragraph" w:styleId="Cabecera">
    <w:name w:val="Header"/>
    <w:basedOn w:val="Normal"/>
    <w:link w:val="HeaderChar"/>
    <w:uiPriority w:val="99"/>
    <w:unhideWhenUsed/>
    <w:rsid w:val="00ab6715"/>
    <w:pPr>
      <w:tabs>
        <w:tab w:val="center" w:pos="4844" w:leader="none"/>
        <w:tab w:val="right" w:pos="9689" w:leader="none"/>
      </w:tabs>
    </w:pPr>
    <w:rPr>
      <w:b/>
    </w:rPr>
  </w:style>
  <w:style w:type="paragraph" w:styleId="ListParagraph">
    <w:name w:val="List Paragraph"/>
    <w:basedOn w:val="Normal"/>
    <w:uiPriority w:val="3"/>
    <w:qFormat/>
    <w:rsid w:val="00ab6715"/>
    <w:pPr>
      <w:spacing w:before="120" w:after="240"/>
      <w:contextualSpacing/>
    </w:pPr>
    <w:rPr>
      <w:rFonts w:eastAsia="Cambria" w:cs="Times New Roman"/>
      <w:szCs w:val="24"/>
    </w:rPr>
  </w:style>
  <w:style w:type="paragraph" w:styleId="NormalWeb">
    <w:name w:val="Normal (Web)"/>
    <w:basedOn w:val="Normal"/>
    <w:uiPriority w:val="99"/>
    <w:unhideWhenUsed/>
    <w:qFormat/>
    <w:rsid w:val="00ab6715"/>
    <w:pPr>
      <w:spacing w:beforeAutospacing="1"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hanging="0"/>
      <w:jc w:val="center"/>
    </w:pPr>
    <w:rPr>
      <w:i/>
      <w:iCs/>
      <w:color w:val="404040" w:themeColor="text1" w:themeTint="bf"/>
    </w:rPr>
  </w:style>
  <w:style w:type="paragraph" w:styleId="Titular">
    <w:name w:val="Title"/>
    <w:basedOn w:val="Normal"/>
    <w:next w:val="Normal"/>
    <w:link w:val="TitleChar"/>
    <w:qFormat/>
    <w:rsid w:val="00ab6715"/>
    <w:pPr>
      <w:suppressLineNumbers/>
      <w:spacing w:before="240" w:after="360"/>
      <w:jc w:val="center"/>
    </w:pPr>
    <w:rPr>
      <w:rFonts w:cs="Times New Roman"/>
      <w:b/>
      <w:sz w:val="32"/>
      <w:szCs w:val="32"/>
    </w:rPr>
  </w:style>
  <w:style w:type="paragraph" w:styleId="SupplementaryMaterial" w:customStyle="1">
    <w:name w:val="Supplementary Material"/>
    <w:basedOn w:val="Titular"/>
    <w:next w:val="Titular"/>
    <w:qFormat/>
    <w:rsid w:val="0001436a"/>
    <w:pPr>
      <w:spacing w:before="240" w:after="120"/>
    </w:pPr>
    <w:rPr>
      <w:i/>
    </w:rPr>
  </w:style>
  <w:style w:type="paragraph" w:styleId="FrameContents">
    <w:name w:val="Frame Contents"/>
    <w:basedOn w:val="Normal"/>
    <w:qFormat/>
    <w:pPr/>
    <w:rPr/>
  </w:style>
  <w:style w:type="paragraph" w:styleId="Contenidodelmarco">
    <w:name w:val="Contenido del marco"/>
    <w:basedOn w:val="Normal"/>
    <w:qFormat/>
    <w:pPr/>
    <w:rPr/>
  </w:style>
  <w:style w:type="paragraph" w:styleId="Standard1">
    <w:name w:val="Standard1"/>
    <w:qFormat/>
    <w:pPr>
      <w:widowControl w:val="false"/>
      <w:suppressAutoHyphens w:val="true"/>
      <w:overflowPunct w:val="false"/>
      <w:bidi w:val="0"/>
      <w:jc w:val="left"/>
      <w:textAlignment w:val="baseline"/>
    </w:pPr>
    <w:rPr>
      <w:rFonts w:ascii="Cambria" w:hAnsi="Cambria" w:eastAsia="Calibri" w:cs="Tahoma"/>
      <w:color w:val="auto"/>
      <w:kern w:val="0"/>
      <w:sz w:val="24"/>
      <w:szCs w:val="22"/>
      <w:lang w:val="en-US" w:eastAsia="en-US" w:bidi="ar-SA"/>
    </w:rPr>
  </w:style>
  <w:style w:type="paragraph" w:styleId="Textopreformateado">
    <w:name w:val="Texto preformateado"/>
    <w:basedOn w:val="Standard1"/>
    <w:qFormat/>
    <w:pPr/>
    <w:rPr>
      <w:rFonts w:ascii="Liberation Mono" w:hAnsi="Liberation Mono" w:eastAsia="NSimSun" w:cs="Liberation Mono"/>
      <w:sz w:val="20"/>
      <w:szCs w:val="20"/>
    </w:rPr>
  </w:style>
  <w:style w:type="numbering" w:styleId="NoList" w:default="1">
    <w:name w:val="No List"/>
    <w:uiPriority w:val="99"/>
    <w:semiHidden/>
    <w:unhideWhenUsed/>
    <w:qFormat/>
  </w:style>
  <w:style w:type="numbering" w:styleId="Headings" w:customStyle="1">
    <w:name w:val="Headings"/>
    <w:uiPriority w:val="99"/>
    <w:qFormat/>
    <w:rsid w:val="00ab6715"/>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ab6715"/>
    <w:pPr>
      <w:spacing w:after="0" w:line="240" w:lineRule="auto"/>
    </w:pPr>
    <w:rPr>
      <w:rFonts w:asciiTheme="majorHAnsi" w:hAnsiTheme="maj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
</Relationships>
</file>

<file path=word/_rels/header3.xml.rels><?xml version="1.0" encoding="UTF-8"?>
<Relationships xmlns="http://schemas.openxmlformats.org/package/2006/relationships"><Relationship Id="rId1" Type="http://schemas.openxmlformats.org/officeDocument/2006/relationships/image" Target="media/image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140</TotalTime>
  <Application>LibreOffice/6.0.7.3$Linux_X86_64 LibreOffice_project/00m0$Build-3</Application>
  <Pages>8</Pages>
  <Words>997</Words>
  <Characters>6389</Characters>
  <CharactersWithSpaces>6988</CharactersWithSpaces>
  <Paragraphs>427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2018-11-23T08:58:00Z</dcterms:created>
  <dc:creator>Frontiers Media SA</dc:creator>
  <dc:description/>
  <dc:language>es-UY</dc:language>
  <cp:lastModifiedBy/>
  <cp:lastPrinted>2013-10-03T12:51:00Z</cp:lastPrinted>
  <dcterms:modified xsi:type="dcterms:W3CDTF">2023-01-22T01:25:40Z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