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1EF1" w14:textId="77777777" w:rsidR="00EE2FDD" w:rsidRDefault="00EE2FDD" w:rsidP="00EE2FDD">
      <w:pPr>
        <w:rPr>
          <w:b/>
          <w:bCs/>
        </w:rPr>
      </w:pPr>
      <w:r>
        <w:rPr>
          <w:b/>
          <w:bCs/>
        </w:rPr>
        <w:t xml:space="preserve">IM Graham </w:t>
      </w:r>
      <w:r w:rsidRPr="00CC2183">
        <w:rPr>
          <w:b/>
          <w:bCs/>
          <w:i/>
          <w:iCs/>
        </w:rPr>
        <w:t>et al.</w:t>
      </w:r>
      <w:r>
        <w:rPr>
          <w:b/>
          <w:bCs/>
        </w:rPr>
        <w:t xml:space="preserve"> – S</w:t>
      </w:r>
      <w:r w:rsidRPr="00C55779">
        <w:rPr>
          <w:b/>
          <w:bCs/>
        </w:rPr>
        <w:t xml:space="preserve">upplementary </w:t>
      </w:r>
      <w:r>
        <w:rPr>
          <w:b/>
          <w:bCs/>
        </w:rPr>
        <w:t>M</w:t>
      </w:r>
      <w:r w:rsidRPr="00C55779">
        <w:rPr>
          <w:b/>
          <w:bCs/>
        </w:rPr>
        <w:t>aterial</w:t>
      </w:r>
      <w:r>
        <w:rPr>
          <w:b/>
          <w:bCs/>
        </w:rPr>
        <w:t xml:space="preserve"> for:</w:t>
      </w:r>
    </w:p>
    <w:p w14:paraId="4AFD058D" w14:textId="77777777" w:rsidR="00EE2FDD" w:rsidRPr="00EC3652" w:rsidRDefault="00EE2FDD" w:rsidP="00EE2FDD">
      <w:pPr>
        <w:rPr>
          <w:b/>
          <w:bCs/>
        </w:rPr>
      </w:pPr>
      <w:r w:rsidRPr="00EC3652">
        <w:rPr>
          <w:b/>
          <w:bCs/>
        </w:rPr>
        <w:t>Directional hydrophone clusters reveal evasive responses of small cetaceans to disturbance</w:t>
      </w:r>
      <w:r w:rsidRPr="005D238D">
        <w:rPr>
          <w:b/>
          <w:bCs/>
        </w:rPr>
        <w:t xml:space="preserve"> during construction</w:t>
      </w:r>
      <w:r w:rsidRPr="00EC3652">
        <w:rPr>
          <w:b/>
          <w:bCs/>
        </w:rPr>
        <w:t xml:space="preserve"> at offshore windfarms</w:t>
      </w:r>
    </w:p>
    <w:p w14:paraId="67CAD1AE" w14:textId="43B9AAB2" w:rsidR="00EE2FDD" w:rsidRDefault="00EE2FDD" w:rsidP="00EE2FDD">
      <w:pPr>
        <w:rPr>
          <w:b/>
          <w:bCs/>
        </w:rPr>
      </w:pPr>
      <w:r w:rsidRPr="00EC3652">
        <w:rPr>
          <w:b/>
          <w:bCs/>
        </w:rPr>
        <w:t>Graham, IM, Gillespie, D, Gkikopoulou, KC</w:t>
      </w:r>
      <w:r>
        <w:rPr>
          <w:b/>
          <w:bCs/>
        </w:rPr>
        <w:t>,</w:t>
      </w:r>
      <w:r w:rsidRPr="00EC3652">
        <w:rPr>
          <w:b/>
          <w:bCs/>
        </w:rPr>
        <w:t xml:space="preserve"> Hastie, GD &amp; Thompson, PM</w:t>
      </w:r>
    </w:p>
    <w:p w14:paraId="44D64090" w14:textId="07BB38A1" w:rsidR="002669E1" w:rsidRDefault="002669E1" w:rsidP="00EE2FDD">
      <w:pPr>
        <w:rPr>
          <w:b/>
          <w:bCs/>
          <w:i/>
          <w:iCs/>
        </w:rPr>
      </w:pPr>
      <w:r w:rsidRPr="00B53CC2">
        <w:rPr>
          <w:b/>
          <w:bCs/>
          <w:i/>
          <w:iCs/>
        </w:rPr>
        <w:t>Biology Letters</w:t>
      </w:r>
    </w:p>
    <w:p w14:paraId="347839E7" w14:textId="77777777" w:rsidR="002669E1" w:rsidRPr="002669E1" w:rsidRDefault="002669E1" w:rsidP="00EE2FDD">
      <w:pPr>
        <w:rPr>
          <w:b/>
          <w:bCs/>
          <w:i/>
          <w:iCs/>
        </w:rPr>
      </w:pPr>
    </w:p>
    <w:p w14:paraId="3C452987" w14:textId="463CE4B3" w:rsidR="009A0D66" w:rsidRDefault="002669E1"/>
    <w:p w14:paraId="291E90FA" w14:textId="16418A40" w:rsidR="00EE2FDD" w:rsidRDefault="000038B7">
      <w:r w:rsidRPr="003432E3">
        <w:rPr>
          <w:b/>
          <w:bCs/>
        </w:rPr>
        <w:t>Table S5.</w:t>
      </w:r>
      <w:r>
        <w:t xml:space="preserve"> </w:t>
      </w:r>
      <w:r w:rsidR="00B91E47">
        <w:t>The number of seconds and encounters with porpoise detections on hydrophone clusters</w:t>
      </w:r>
      <w:r w:rsidR="00B91E47" w:rsidRPr="00B91E47">
        <w:t xml:space="preserve"> </w:t>
      </w:r>
      <w:r w:rsidR="00B91E47">
        <w:t>during the deployment of mitigation measures and baseline periods used to examine directionality of porpoise movements</w:t>
      </w:r>
      <w:r>
        <w:t xml:space="preserve">. </w:t>
      </w:r>
      <w:r w:rsidRPr="000038B7">
        <w:t xml:space="preserve">The distribution of differences in bearings was tested </w:t>
      </w:r>
      <w:r w:rsidR="00B91E47">
        <w:t>using Rayleigh Tests,</w:t>
      </w:r>
      <w:r w:rsidR="00B91E47" w:rsidRPr="000038B7">
        <w:t xml:space="preserve"> </w:t>
      </w:r>
      <w:r w:rsidRPr="000038B7">
        <w:t>initially for uniformity, and then for uniformity against a unimodal alternative with a specified mean direction of 0</w:t>
      </w:r>
      <w:r>
        <w:sym w:font="Symbol" w:char="F0B0"/>
      </w:r>
      <w:r w:rsidR="00C6667A">
        <w:t xml:space="preserve">. </w:t>
      </w:r>
      <w:r w:rsidR="00B91E47">
        <w:t>Statistical analys</w:t>
      </w:r>
      <w:r w:rsidR="00D07985">
        <w:t>e</w:t>
      </w:r>
      <w:r w:rsidR="00B91E47">
        <w:t>s w</w:t>
      </w:r>
      <w:r w:rsidR="00D07985">
        <w:t>ere</w:t>
      </w:r>
      <w:r w:rsidR="00B91E47">
        <w:t xml:space="preserve"> performed</w:t>
      </w:r>
      <w:r w:rsidR="00FE373E">
        <w:t xml:space="preserve"> at two temporal scales, using the difference in the circular median bearing to porpoise detections per second and per encounter (see Methods section for details)</w:t>
      </w:r>
      <w:r w:rsidR="00AE354E" w:rsidRPr="00AE354E">
        <w:t xml:space="preserve"> </w:t>
      </w:r>
      <w:r w:rsidR="00AE354E">
        <w:t>to verify that test results</w:t>
      </w:r>
      <w:r w:rsidR="00D07985">
        <w:t xml:space="preserve"> using detections per second</w:t>
      </w:r>
      <w:r w:rsidR="00AE354E">
        <w:t xml:space="preserve"> were robust to the failure to account for the dependence structure of the data</w:t>
      </w:r>
      <w:r w:rsidR="00FE373E">
        <w:t>.</w:t>
      </w:r>
      <w:r w:rsidR="00AE354E">
        <w:t xml:space="preserve"> To re</w:t>
      </w:r>
      <w:r w:rsidR="00D07985">
        <w:t>move</w:t>
      </w:r>
      <w:r w:rsidR="00AE354E">
        <w:t xml:space="preserve"> spatial and temporal autocorrelation in the data, data were summarised by encounter resulting in a single encounter per mitigation event </w:t>
      </w:r>
      <w:r w:rsidR="003432E3">
        <w:t>for each</w:t>
      </w:r>
      <w:r w:rsidR="00AE354E">
        <w:t xml:space="preserve"> hydrophone cluster for all encounters during ADD deployment and piling soft start</w:t>
      </w:r>
      <w:r w:rsidR="003432E3">
        <w:t>s</w:t>
      </w:r>
      <w:r w:rsidR="00AE354E">
        <w:t>.</w:t>
      </w:r>
      <w:r w:rsidR="00C6667A">
        <w:t xml:space="preserve"> </w:t>
      </w:r>
      <w:r w:rsidR="00FE373E">
        <w:t>R</w:t>
      </w:r>
      <w:r w:rsidR="00C6667A">
        <w:t>esults</w:t>
      </w:r>
      <w:r w:rsidR="00FE373E">
        <w:t xml:space="preserve"> of the Rayleigh Tests using</w:t>
      </w:r>
      <w:r w:rsidR="00B91E47">
        <w:t xml:space="preserve"> the median bearing</w:t>
      </w:r>
      <w:r w:rsidR="00FE373E">
        <w:t xml:space="preserve"> </w:t>
      </w:r>
      <w:r w:rsidR="00B91E47">
        <w:t xml:space="preserve">to detections per </w:t>
      </w:r>
      <w:r w:rsidR="00FE373E">
        <w:t>encounter</w:t>
      </w:r>
      <w:r w:rsidR="00B91E47">
        <w:t xml:space="preserve"> were consistent with results using the median bearing to detections per second.</w:t>
      </w:r>
      <w:r w:rsidR="00FE373E">
        <w:t xml:space="preserve"> </w:t>
      </w:r>
    </w:p>
    <w:p w14:paraId="3CB08FAC" w14:textId="77777777" w:rsidR="00EE2FDD" w:rsidRDefault="00EE2FDD"/>
    <w:tbl>
      <w:tblPr>
        <w:tblStyle w:val="TableGridLight"/>
        <w:tblW w:w="13462" w:type="dxa"/>
        <w:tblLook w:val="04A0" w:firstRow="1" w:lastRow="0" w:firstColumn="1" w:lastColumn="0" w:noHBand="0" w:noVBand="1"/>
      </w:tblPr>
      <w:tblGrid>
        <w:gridCol w:w="4487"/>
        <w:gridCol w:w="1320"/>
        <w:gridCol w:w="2268"/>
        <w:gridCol w:w="2268"/>
        <w:gridCol w:w="3119"/>
      </w:tblGrid>
      <w:tr w:rsidR="00CE6812" w14:paraId="04A4B61C" w14:textId="77777777" w:rsidTr="00FA62AC">
        <w:trPr>
          <w:trHeight w:val="340"/>
        </w:trPr>
        <w:tc>
          <w:tcPr>
            <w:tcW w:w="4487" w:type="dxa"/>
            <w:vAlign w:val="center"/>
          </w:tcPr>
          <w:p w14:paraId="7A6E6069" w14:textId="77777777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vAlign w:val="center"/>
          </w:tcPr>
          <w:p w14:paraId="1A6C0285" w14:textId="2FDADD73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CA96A67" w14:textId="4ED97AC3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  <w:color w:val="000000"/>
              </w:rPr>
              <w:t>Baseline</w:t>
            </w:r>
          </w:p>
        </w:tc>
        <w:tc>
          <w:tcPr>
            <w:tcW w:w="2268" w:type="dxa"/>
            <w:vAlign w:val="center"/>
          </w:tcPr>
          <w:p w14:paraId="4A63D333" w14:textId="0847583F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  <w:color w:val="000000"/>
              </w:rPr>
              <w:t>ADD</w:t>
            </w:r>
          </w:p>
        </w:tc>
        <w:tc>
          <w:tcPr>
            <w:tcW w:w="3119" w:type="dxa"/>
            <w:vAlign w:val="center"/>
          </w:tcPr>
          <w:p w14:paraId="72AA26F0" w14:textId="34110E5A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  <w:color w:val="000000"/>
              </w:rPr>
              <w:t>Piling</w:t>
            </w:r>
          </w:p>
        </w:tc>
      </w:tr>
      <w:tr w:rsidR="00CE6812" w14:paraId="0DFA88E9" w14:textId="77777777" w:rsidTr="00FA62AC">
        <w:trPr>
          <w:trHeight w:val="340"/>
        </w:trPr>
        <w:tc>
          <w:tcPr>
            <w:tcW w:w="4487" w:type="dxa"/>
            <w:vMerge w:val="restart"/>
            <w:vAlign w:val="center"/>
          </w:tcPr>
          <w:p w14:paraId="76D36A74" w14:textId="7309AF10" w:rsidR="00EE2FDD" w:rsidRPr="00FA62AC" w:rsidRDefault="00EE2FDD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Sample Size</w:t>
            </w:r>
          </w:p>
        </w:tc>
        <w:tc>
          <w:tcPr>
            <w:tcW w:w="1320" w:type="dxa"/>
            <w:vAlign w:val="center"/>
          </w:tcPr>
          <w:p w14:paraId="3DEAF975" w14:textId="5C54A60D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Second</w:t>
            </w:r>
            <w:r w:rsidR="00CE6812" w:rsidRPr="00FA62A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vAlign w:val="center"/>
          </w:tcPr>
          <w:p w14:paraId="7A70DA90" w14:textId="254A2FE9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color w:val="000000"/>
              </w:rPr>
              <w:t>5925</w:t>
            </w:r>
          </w:p>
        </w:tc>
        <w:tc>
          <w:tcPr>
            <w:tcW w:w="2268" w:type="dxa"/>
            <w:vAlign w:val="center"/>
          </w:tcPr>
          <w:p w14:paraId="567DB714" w14:textId="2A1CBD56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3119" w:type="dxa"/>
            <w:vAlign w:val="center"/>
          </w:tcPr>
          <w:p w14:paraId="2FE56258" w14:textId="2B984EDB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</w:tr>
      <w:tr w:rsidR="00CE6812" w14:paraId="3CFEAC1A" w14:textId="77777777" w:rsidTr="00FA62AC">
        <w:trPr>
          <w:trHeight w:val="340"/>
        </w:trPr>
        <w:tc>
          <w:tcPr>
            <w:tcW w:w="4487" w:type="dxa"/>
            <w:vMerge/>
            <w:vAlign w:val="center"/>
          </w:tcPr>
          <w:p w14:paraId="6AE50445" w14:textId="77777777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vAlign w:val="center"/>
          </w:tcPr>
          <w:p w14:paraId="5F631C4C" w14:textId="367318C4" w:rsidR="00EE2FDD" w:rsidRPr="00FA62AC" w:rsidRDefault="00EE2FD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Encounter</w:t>
            </w:r>
            <w:r w:rsidR="00CE6812" w:rsidRPr="00FA62A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  <w:vAlign w:val="center"/>
          </w:tcPr>
          <w:p w14:paraId="78417EA6" w14:textId="08D7A332" w:rsidR="00EE2FDD" w:rsidRPr="00FA62AC" w:rsidRDefault="004C759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306</w:t>
            </w:r>
          </w:p>
        </w:tc>
        <w:tc>
          <w:tcPr>
            <w:tcW w:w="2268" w:type="dxa"/>
            <w:vAlign w:val="center"/>
          </w:tcPr>
          <w:p w14:paraId="03A4ADDB" w14:textId="2029C7B9" w:rsidR="00EE2FDD" w:rsidRPr="00FA62AC" w:rsidRDefault="005A7A07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9" w:type="dxa"/>
            <w:vAlign w:val="center"/>
          </w:tcPr>
          <w:p w14:paraId="5FAE4E4C" w14:textId="016666E9" w:rsidR="00EE2FDD" w:rsidRPr="00FA62AC" w:rsidRDefault="004C759D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9</w:t>
            </w:r>
          </w:p>
        </w:tc>
      </w:tr>
      <w:tr w:rsidR="00B55EEA" w14:paraId="74F2B3E0" w14:textId="77777777" w:rsidTr="00FA62AC">
        <w:trPr>
          <w:trHeight w:val="340"/>
        </w:trPr>
        <w:tc>
          <w:tcPr>
            <w:tcW w:w="13462" w:type="dxa"/>
            <w:gridSpan w:val="5"/>
            <w:vAlign w:val="center"/>
          </w:tcPr>
          <w:p w14:paraId="4205D615" w14:textId="77777777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</w:p>
        </w:tc>
      </w:tr>
      <w:tr w:rsidR="00B55EEA" w14:paraId="3FE8E6B0" w14:textId="77777777" w:rsidTr="00FA62AC">
        <w:trPr>
          <w:trHeight w:val="340"/>
        </w:trPr>
        <w:tc>
          <w:tcPr>
            <w:tcW w:w="4487" w:type="dxa"/>
            <w:vAlign w:val="center"/>
          </w:tcPr>
          <w:p w14:paraId="6657125D" w14:textId="3FE525DA" w:rsidR="00B55EEA" w:rsidRPr="00FA62AC" w:rsidRDefault="00B55EEA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Rayleigh Tests</w:t>
            </w:r>
          </w:p>
        </w:tc>
        <w:tc>
          <w:tcPr>
            <w:tcW w:w="1320" w:type="dxa"/>
            <w:vAlign w:val="center"/>
          </w:tcPr>
          <w:p w14:paraId="111D29E7" w14:textId="6EE1C532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6DD4F32" w14:textId="52B44510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  <w:color w:val="000000"/>
              </w:rPr>
              <w:t>Baseline</w:t>
            </w:r>
          </w:p>
        </w:tc>
        <w:tc>
          <w:tcPr>
            <w:tcW w:w="2268" w:type="dxa"/>
            <w:vAlign w:val="center"/>
          </w:tcPr>
          <w:p w14:paraId="1334078F" w14:textId="68CA555F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  <w:color w:val="000000"/>
              </w:rPr>
              <w:t>ADD</w:t>
            </w:r>
          </w:p>
        </w:tc>
        <w:tc>
          <w:tcPr>
            <w:tcW w:w="3119" w:type="dxa"/>
            <w:vAlign w:val="center"/>
          </w:tcPr>
          <w:p w14:paraId="4E12BCFC" w14:textId="353A0031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  <w:color w:val="000000"/>
              </w:rPr>
              <w:t>Piling</w:t>
            </w:r>
          </w:p>
        </w:tc>
      </w:tr>
      <w:tr w:rsidR="00CE6812" w14:paraId="29495107" w14:textId="77777777" w:rsidTr="00FA62AC">
        <w:trPr>
          <w:trHeight w:val="340"/>
        </w:trPr>
        <w:tc>
          <w:tcPr>
            <w:tcW w:w="4487" w:type="dxa"/>
            <w:vMerge w:val="restart"/>
            <w:vAlign w:val="center"/>
          </w:tcPr>
          <w:p w14:paraId="7EAD6F2C" w14:textId="227A07B4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General (no Specified Mean Di</w:t>
            </w:r>
            <w:r w:rsidR="000038B7" w:rsidRPr="00FA62AC">
              <w:rPr>
                <w:rFonts w:asciiTheme="minorHAnsi" w:hAnsiTheme="minorHAnsi" w:cstheme="minorHAnsi"/>
              </w:rPr>
              <w:t>r</w:t>
            </w:r>
            <w:r w:rsidRPr="00FA62AC">
              <w:rPr>
                <w:rFonts w:asciiTheme="minorHAnsi" w:hAnsiTheme="minorHAnsi" w:cstheme="minorHAnsi"/>
              </w:rPr>
              <w:t>ection)</w:t>
            </w:r>
          </w:p>
        </w:tc>
        <w:tc>
          <w:tcPr>
            <w:tcW w:w="1320" w:type="dxa"/>
            <w:vAlign w:val="center"/>
          </w:tcPr>
          <w:p w14:paraId="64E6D14A" w14:textId="0888A8DD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Second</w:t>
            </w:r>
          </w:p>
        </w:tc>
        <w:tc>
          <w:tcPr>
            <w:tcW w:w="2268" w:type="dxa"/>
            <w:vAlign w:val="center"/>
          </w:tcPr>
          <w:p w14:paraId="05F7FE8B" w14:textId="257345F4" w:rsidR="00CE6812" w:rsidRPr="00FA62AC" w:rsidRDefault="00CE6812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0.074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&lt; 0.001</w:t>
            </w:r>
          </w:p>
        </w:tc>
        <w:tc>
          <w:tcPr>
            <w:tcW w:w="2268" w:type="dxa"/>
            <w:vAlign w:val="center"/>
          </w:tcPr>
          <w:p w14:paraId="15ECDB3D" w14:textId="62FB5ECF" w:rsidR="00CE6812" w:rsidRPr="00FA62AC" w:rsidRDefault="00CE6812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0.573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&lt; 0.001</w:t>
            </w:r>
          </w:p>
        </w:tc>
        <w:tc>
          <w:tcPr>
            <w:tcW w:w="3119" w:type="dxa"/>
            <w:vAlign w:val="center"/>
          </w:tcPr>
          <w:p w14:paraId="3AA3643D" w14:textId="5D52A42A" w:rsidR="00CE6812" w:rsidRPr="00FA62AC" w:rsidRDefault="00CE6812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0.626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&lt; 0.001</w:t>
            </w:r>
          </w:p>
        </w:tc>
      </w:tr>
      <w:tr w:rsidR="00CE6812" w14:paraId="7D465917" w14:textId="77777777" w:rsidTr="00FA62AC">
        <w:trPr>
          <w:trHeight w:val="340"/>
        </w:trPr>
        <w:tc>
          <w:tcPr>
            <w:tcW w:w="4487" w:type="dxa"/>
            <w:vMerge/>
            <w:vAlign w:val="center"/>
          </w:tcPr>
          <w:p w14:paraId="2BC4A37B" w14:textId="77777777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vAlign w:val="center"/>
          </w:tcPr>
          <w:p w14:paraId="7CB63D5A" w14:textId="7DC2C886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Encounter</w:t>
            </w:r>
          </w:p>
        </w:tc>
        <w:tc>
          <w:tcPr>
            <w:tcW w:w="2268" w:type="dxa"/>
            <w:vAlign w:val="center"/>
          </w:tcPr>
          <w:p w14:paraId="765C8E4B" w14:textId="5F712DB6" w:rsidR="00CE6812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R = 0.091</w:t>
            </w:r>
            <w:r w:rsidR="00FA62AC" w:rsidRPr="00FA62AC">
              <w:rPr>
                <w:rFonts w:asciiTheme="minorHAnsi" w:hAnsiTheme="minorHAnsi" w:cstheme="minorHAnsi"/>
              </w:rPr>
              <w:t xml:space="preserve">, </w:t>
            </w:r>
            <w:r w:rsidRPr="00FA62AC">
              <w:rPr>
                <w:rFonts w:asciiTheme="minorHAnsi" w:hAnsiTheme="minorHAnsi" w:cstheme="minorHAnsi"/>
              </w:rPr>
              <w:t>p = 0.08</w:t>
            </w:r>
          </w:p>
        </w:tc>
        <w:tc>
          <w:tcPr>
            <w:tcW w:w="2268" w:type="dxa"/>
            <w:vAlign w:val="center"/>
          </w:tcPr>
          <w:p w14:paraId="57CBC2F7" w14:textId="187E627A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R = 0.546</w:t>
            </w:r>
            <w:r w:rsidR="00FA62AC" w:rsidRPr="00FA62AC">
              <w:rPr>
                <w:rFonts w:asciiTheme="minorHAnsi" w:hAnsiTheme="minorHAnsi" w:cstheme="minorHAnsi"/>
              </w:rPr>
              <w:t xml:space="preserve">, </w:t>
            </w:r>
            <w:r w:rsidRPr="00FA62AC">
              <w:rPr>
                <w:rFonts w:asciiTheme="minorHAnsi" w:hAnsiTheme="minorHAnsi" w:cstheme="minorHAnsi"/>
              </w:rPr>
              <w:t>p = 0.09</w:t>
            </w:r>
          </w:p>
        </w:tc>
        <w:tc>
          <w:tcPr>
            <w:tcW w:w="3119" w:type="dxa"/>
            <w:vAlign w:val="center"/>
          </w:tcPr>
          <w:p w14:paraId="3F0350FA" w14:textId="1C6ED798" w:rsidR="00CE6812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0.578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= 0.045</w:t>
            </w:r>
          </w:p>
        </w:tc>
      </w:tr>
      <w:tr w:rsidR="00CE6812" w14:paraId="1551781E" w14:textId="77777777" w:rsidTr="00FA62AC">
        <w:trPr>
          <w:trHeight w:val="340"/>
        </w:trPr>
        <w:tc>
          <w:tcPr>
            <w:tcW w:w="4487" w:type="dxa"/>
            <w:vMerge w:val="restart"/>
            <w:vAlign w:val="center"/>
          </w:tcPr>
          <w:p w14:paraId="3C909B67" w14:textId="24E80CEA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Alternative with a Specified Mean Direction</w:t>
            </w:r>
          </w:p>
        </w:tc>
        <w:tc>
          <w:tcPr>
            <w:tcW w:w="1320" w:type="dxa"/>
            <w:vAlign w:val="center"/>
          </w:tcPr>
          <w:p w14:paraId="0ED4B222" w14:textId="3493BD42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Second</w:t>
            </w:r>
          </w:p>
        </w:tc>
        <w:tc>
          <w:tcPr>
            <w:tcW w:w="2268" w:type="dxa"/>
            <w:vAlign w:val="center"/>
          </w:tcPr>
          <w:p w14:paraId="10C26FB0" w14:textId="10A56887" w:rsidR="00CE6812" w:rsidRPr="00FA62AC" w:rsidRDefault="00CE6812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R = -0.052</w:t>
            </w:r>
            <w:r w:rsidR="00FA62AC" w:rsidRPr="00FA62AC">
              <w:rPr>
                <w:rFonts w:asciiTheme="minorHAnsi" w:hAnsiTheme="minorHAnsi" w:cstheme="minorHAnsi"/>
              </w:rPr>
              <w:t xml:space="preserve">, </w:t>
            </w:r>
            <w:r w:rsidRPr="00FA62AC">
              <w:rPr>
                <w:rFonts w:asciiTheme="minorHAnsi" w:hAnsiTheme="minorHAnsi" w:cstheme="minorHAnsi"/>
              </w:rPr>
              <w:t>p = 1.00</w:t>
            </w:r>
          </w:p>
        </w:tc>
        <w:tc>
          <w:tcPr>
            <w:tcW w:w="2268" w:type="dxa"/>
            <w:vAlign w:val="center"/>
          </w:tcPr>
          <w:p w14:paraId="0E43624C" w14:textId="23E4CAAD" w:rsidR="00CE6812" w:rsidRPr="00FA62AC" w:rsidRDefault="00CE6812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0.564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&lt; 0.001</w:t>
            </w:r>
          </w:p>
        </w:tc>
        <w:tc>
          <w:tcPr>
            <w:tcW w:w="3119" w:type="dxa"/>
            <w:vAlign w:val="center"/>
          </w:tcPr>
          <w:p w14:paraId="4A1EA94B" w14:textId="006D2BC6" w:rsidR="00CE6812" w:rsidRPr="00FA62AC" w:rsidRDefault="00CE6812" w:rsidP="00FA62AC">
            <w:pPr>
              <w:rPr>
                <w:rFonts w:asciiTheme="minorHAnsi" w:hAnsiTheme="minorHAnsi" w:cstheme="minorHAnsi"/>
                <w:b/>
                <w:bCs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0.592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&lt; 0.001</w:t>
            </w:r>
          </w:p>
        </w:tc>
      </w:tr>
      <w:tr w:rsidR="00B55EEA" w14:paraId="60B42354" w14:textId="77777777" w:rsidTr="00FA62AC">
        <w:trPr>
          <w:trHeight w:val="340"/>
        </w:trPr>
        <w:tc>
          <w:tcPr>
            <w:tcW w:w="4487" w:type="dxa"/>
            <w:vMerge/>
            <w:vAlign w:val="center"/>
          </w:tcPr>
          <w:p w14:paraId="19A52AC0" w14:textId="77777777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vAlign w:val="center"/>
          </w:tcPr>
          <w:p w14:paraId="7179D084" w14:textId="22D05B21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Encounter</w:t>
            </w:r>
          </w:p>
        </w:tc>
        <w:tc>
          <w:tcPr>
            <w:tcW w:w="2268" w:type="dxa"/>
            <w:vAlign w:val="center"/>
          </w:tcPr>
          <w:p w14:paraId="69414BF1" w14:textId="60FA61E2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</w:rPr>
              <w:t>R = -0.070</w:t>
            </w:r>
            <w:r w:rsidR="00FA62AC" w:rsidRPr="00FA62AC">
              <w:rPr>
                <w:rFonts w:asciiTheme="minorHAnsi" w:hAnsiTheme="minorHAnsi" w:cstheme="minorHAnsi"/>
              </w:rPr>
              <w:t xml:space="preserve">, </w:t>
            </w:r>
            <w:r w:rsidRPr="00FA62AC">
              <w:rPr>
                <w:rFonts w:asciiTheme="minorHAnsi" w:hAnsiTheme="minorHAnsi" w:cstheme="minorHAnsi"/>
              </w:rPr>
              <w:t>p = 0.96</w:t>
            </w:r>
          </w:p>
        </w:tc>
        <w:tc>
          <w:tcPr>
            <w:tcW w:w="2268" w:type="dxa"/>
            <w:vAlign w:val="center"/>
          </w:tcPr>
          <w:p w14:paraId="090B3D49" w14:textId="121FA123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0.452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= 0.035</w:t>
            </w:r>
          </w:p>
        </w:tc>
        <w:tc>
          <w:tcPr>
            <w:tcW w:w="3119" w:type="dxa"/>
            <w:vAlign w:val="center"/>
          </w:tcPr>
          <w:p w14:paraId="0F3AE01B" w14:textId="6DD407B8" w:rsidR="00B55EEA" w:rsidRPr="00FA62AC" w:rsidRDefault="00B55EEA" w:rsidP="00FA62AC">
            <w:pPr>
              <w:rPr>
                <w:rFonts w:asciiTheme="minorHAnsi" w:hAnsiTheme="minorHAnsi" w:cstheme="minorHAnsi"/>
              </w:rPr>
            </w:pPr>
            <w:r w:rsidRPr="00FA62AC">
              <w:rPr>
                <w:rFonts w:asciiTheme="minorHAnsi" w:hAnsiTheme="minorHAnsi" w:cstheme="minorHAnsi"/>
                <w:b/>
                <w:bCs/>
              </w:rPr>
              <w:t>R = 0.559</w:t>
            </w:r>
            <w:r w:rsidR="00FA62AC" w:rsidRPr="00FA62A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A62AC">
              <w:rPr>
                <w:rFonts w:asciiTheme="minorHAnsi" w:hAnsiTheme="minorHAnsi" w:cstheme="minorHAnsi"/>
                <w:b/>
                <w:bCs/>
              </w:rPr>
              <w:t>p = 0.008</w:t>
            </w:r>
          </w:p>
        </w:tc>
      </w:tr>
    </w:tbl>
    <w:p w14:paraId="08FEF8D6" w14:textId="2713A21C" w:rsidR="00EE2FDD" w:rsidRDefault="00EE2FDD"/>
    <w:p w14:paraId="373EC292" w14:textId="6F6A6BA4" w:rsidR="00F80D6F" w:rsidRDefault="00F80D6F">
      <w:pPr>
        <w:spacing w:after="160" w:line="259" w:lineRule="auto"/>
      </w:pPr>
      <w:r>
        <w:br w:type="page"/>
      </w:r>
    </w:p>
    <w:p w14:paraId="60B07720" w14:textId="3D1A6FEF" w:rsidR="00F80D6F" w:rsidRDefault="00F80D6F">
      <w:r w:rsidRPr="00FA62AC">
        <w:rPr>
          <w:b/>
          <w:bCs/>
        </w:rPr>
        <w:lastRenderedPageBreak/>
        <w:t>Figure S2</w:t>
      </w:r>
      <w:r>
        <w:t xml:space="preserve">. </w:t>
      </w:r>
      <w:r w:rsidRPr="00F80D6F">
        <w:t>Harbour porpoise movements relative to the sound source during baseline periods, ADD mitigation and piling soft start: bearings around 0</w:t>
      </w:r>
      <w:r>
        <w:sym w:font="Symbol" w:char="F0B0"/>
      </w:r>
      <w:r w:rsidRPr="00F80D6F">
        <w:t xml:space="preserve"> are indicative of evasive responses. Plots are circular histograms of the difference between the circular median bearing to porpoise detections each </w:t>
      </w:r>
      <w:r>
        <w:t>encounter (top panels) or each second (bottom panels)</w:t>
      </w:r>
      <w:r w:rsidRPr="00F80D6F">
        <w:t xml:space="preserve"> and the bearing to the construction site.</w:t>
      </w:r>
    </w:p>
    <w:p w14:paraId="3A4506E1" w14:textId="44BEA96F" w:rsidR="00FA62AC" w:rsidRPr="00FA62AC" w:rsidRDefault="00FA62AC">
      <w:r>
        <w:rPr>
          <w:noProof/>
        </w:rPr>
        <w:drawing>
          <wp:inline distT="0" distB="0" distL="0" distR="0" wp14:anchorId="12839594" wp14:editId="4ACCD0AA">
            <wp:extent cx="8169056" cy="51720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726" cy="51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62AC" w:rsidRPr="00FA62AC" w:rsidSect="00F80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D"/>
    <w:rsid w:val="000038B7"/>
    <w:rsid w:val="00103546"/>
    <w:rsid w:val="0021628B"/>
    <w:rsid w:val="002669E1"/>
    <w:rsid w:val="003432E3"/>
    <w:rsid w:val="004C759D"/>
    <w:rsid w:val="005A76F9"/>
    <w:rsid w:val="005A7A07"/>
    <w:rsid w:val="005D3701"/>
    <w:rsid w:val="005F19BD"/>
    <w:rsid w:val="0084305D"/>
    <w:rsid w:val="00AC5DAB"/>
    <w:rsid w:val="00AE2C05"/>
    <w:rsid w:val="00AE354E"/>
    <w:rsid w:val="00B55EEA"/>
    <w:rsid w:val="00B91E47"/>
    <w:rsid w:val="00C6667A"/>
    <w:rsid w:val="00CE6812"/>
    <w:rsid w:val="00D07985"/>
    <w:rsid w:val="00EC6F78"/>
    <w:rsid w:val="00EE2FDD"/>
    <w:rsid w:val="00F80D6F"/>
    <w:rsid w:val="00FA62AC"/>
    <w:rsid w:val="00FC0F4B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4F4E"/>
  <w15:chartTrackingRefBased/>
  <w15:docId w15:val="{15B5B959-23BC-4A97-AF82-7EF8598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2F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Isla Margaret</dc:creator>
  <cp:keywords/>
  <dc:description/>
  <cp:lastModifiedBy>Graham, Isla Margaret</cp:lastModifiedBy>
  <cp:revision>8</cp:revision>
  <dcterms:created xsi:type="dcterms:W3CDTF">2022-12-01T17:50:00Z</dcterms:created>
  <dcterms:modified xsi:type="dcterms:W3CDTF">2022-12-06T13:25:00Z</dcterms:modified>
</cp:coreProperties>
</file>