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1558" w14:textId="616376E2" w:rsidR="00D4339A" w:rsidRPr="001C2840" w:rsidRDefault="00D4339A" w:rsidP="00D4339A">
      <w:pPr>
        <w:pStyle w:val="Didascalia"/>
        <w:keepNext/>
        <w:rPr>
          <w:color w:val="auto"/>
          <w:lang w:val="en-US"/>
        </w:rPr>
      </w:pPr>
      <w:r w:rsidRPr="001C2840">
        <w:rPr>
          <w:color w:val="auto"/>
          <w:lang w:val="en-US"/>
        </w:rPr>
        <w:t xml:space="preserve">Supplementary Table </w:t>
      </w:r>
      <w:r w:rsidRPr="001C2840">
        <w:rPr>
          <w:color w:val="auto"/>
        </w:rPr>
        <w:fldChar w:fldCharType="begin"/>
      </w:r>
      <w:r w:rsidRPr="001C2840">
        <w:rPr>
          <w:color w:val="auto"/>
          <w:lang w:val="en-US"/>
        </w:rPr>
        <w:instrText xml:space="preserve"> SEQ Supplementary_Table \* ARABIC </w:instrText>
      </w:r>
      <w:r w:rsidRPr="001C2840">
        <w:rPr>
          <w:color w:val="auto"/>
        </w:rPr>
        <w:fldChar w:fldCharType="separate"/>
      </w:r>
      <w:r w:rsidRPr="001C2840">
        <w:rPr>
          <w:noProof/>
          <w:color w:val="auto"/>
          <w:lang w:val="en-US"/>
        </w:rPr>
        <w:t>1</w:t>
      </w:r>
      <w:r w:rsidRPr="001C2840">
        <w:rPr>
          <w:color w:val="auto"/>
        </w:rPr>
        <w:fldChar w:fldCharType="end"/>
      </w:r>
      <w:r w:rsidRPr="001C2840">
        <w:rPr>
          <w:color w:val="auto"/>
          <w:lang w:val="en-US"/>
        </w:rPr>
        <w:t xml:space="preserve">: Genetic </w:t>
      </w:r>
      <w:r w:rsidR="00262310" w:rsidRPr="001C2840">
        <w:rPr>
          <w:color w:val="auto"/>
          <w:lang w:val="en-US"/>
        </w:rPr>
        <w:t xml:space="preserve">(RG) </w:t>
      </w:r>
      <w:r w:rsidRPr="001C2840">
        <w:rPr>
          <w:color w:val="auto"/>
          <w:lang w:val="en-US"/>
        </w:rPr>
        <w:t>and permanent environment</w:t>
      </w:r>
      <w:r w:rsidR="00262310" w:rsidRPr="001C2840">
        <w:rPr>
          <w:color w:val="auto"/>
          <w:lang w:val="en-US"/>
        </w:rPr>
        <w:t xml:space="preserve"> (RPE)</w:t>
      </w:r>
      <w:r w:rsidRPr="001C2840">
        <w:rPr>
          <w:color w:val="auto"/>
          <w:lang w:val="en-US"/>
        </w:rPr>
        <w:t xml:space="preserve"> correlation in RN model</w:t>
      </w:r>
      <w:r w:rsidR="00262310" w:rsidRPr="001C2840">
        <w:rPr>
          <w:color w:val="auto"/>
          <w:lang w:val="en-US"/>
        </w:rPr>
        <w:t xml:space="preserve"> between combination of intercept (1), first (2) and second (3) </w:t>
      </w:r>
      <w:r w:rsidR="00B179C0" w:rsidRPr="001C2840">
        <w:rPr>
          <w:color w:val="auto"/>
          <w:lang w:val="en-US"/>
        </w:rPr>
        <w:t>RN random</w:t>
      </w:r>
      <w:r w:rsidR="00262310" w:rsidRPr="001C2840">
        <w:rPr>
          <w:color w:val="auto"/>
          <w:lang w:val="en-US"/>
        </w:rPr>
        <w:t xml:space="preserve"> </w:t>
      </w:r>
      <w:r w:rsidR="00A84E60" w:rsidRPr="001C2840">
        <w:rPr>
          <w:color w:val="auto"/>
          <w:lang w:val="en-US"/>
        </w:rPr>
        <w:t>co</w:t>
      </w:r>
      <w:r w:rsidR="006D6A64" w:rsidRPr="001C2840">
        <w:rPr>
          <w:color w:val="auto"/>
          <w:lang w:val="en-US"/>
        </w:rPr>
        <w:t>efficients</w:t>
      </w:r>
      <w:r w:rsidRPr="001C2840">
        <w:rPr>
          <w:color w:val="auto"/>
          <w:lang w:val="en-US"/>
        </w:rPr>
        <w:t>. (HPD95), lower and upper bounds of the 95% highest posterior density region</w:t>
      </w:r>
    </w:p>
    <w:tbl>
      <w:tblPr>
        <w:tblW w:w="8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180"/>
        <w:gridCol w:w="1180"/>
        <w:gridCol w:w="1120"/>
        <w:gridCol w:w="1120"/>
        <w:gridCol w:w="1180"/>
        <w:gridCol w:w="1180"/>
      </w:tblGrid>
      <w:tr w:rsidR="001C2840" w:rsidRPr="001C2840" w14:paraId="6B5B5E9D" w14:textId="77777777" w:rsidTr="00525263">
        <w:trPr>
          <w:trHeight w:val="300"/>
          <w:jc w:val="center"/>
        </w:trPr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3693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Trait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786B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RG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 xml:space="preserve">12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AAF7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RG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>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9695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RG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853B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RPE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FDA0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RPE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>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D11E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RPE</w:t>
            </w: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it-IT"/>
              </w:rPr>
              <w:t>23</w:t>
            </w:r>
          </w:p>
        </w:tc>
      </w:tr>
      <w:tr w:rsidR="001C2840" w:rsidRPr="001C2840" w14:paraId="759C8A3E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8A79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%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0AE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D5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5199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3D7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54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E7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-0,892</w:t>
            </w:r>
          </w:p>
        </w:tc>
      </w:tr>
      <w:tr w:rsidR="001C2840" w:rsidRPr="001C2840" w14:paraId="60D55A7F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05A85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6CAC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(-0,580/-0,210)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97C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(-0,707/-0,107)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9F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(-0,697/0,059)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79E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(-0,086/0,376)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B2E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(-0,219/0,101)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0E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(-0,971/-0,788)</w:t>
            </w:r>
          </w:p>
        </w:tc>
      </w:tr>
      <w:tr w:rsidR="001C2840" w:rsidRPr="001C2840" w14:paraId="3B7845B8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444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</w:t>
            </w:r>
            <w:proofErr w:type="spellEnd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yield kg/day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97C0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51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6B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B5B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-0,066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806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D57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-0,854</w:t>
            </w:r>
          </w:p>
        </w:tc>
      </w:tr>
      <w:tr w:rsidR="001C2840" w:rsidRPr="001C2840" w14:paraId="0A30C6FE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779E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9EB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(-0,285/0,635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D2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(-0,551/0,441)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079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(0,141/0,984)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2EA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(-0,174/-0,038)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A89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(-0,423/-0,167)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B1D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(-0,932/-0,743)</w:t>
            </w:r>
          </w:p>
        </w:tc>
      </w:tr>
      <w:tr w:rsidR="001C2840" w:rsidRPr="001C2840" w14:paraId="4F6C1C91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C1DD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Fat</w:t>
            </w:r>
            <w:proofErr w:type="spellEnd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%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E89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B1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0FF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CC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B4A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54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-0,375</w:t>
            </w:r>
          </w:p>
        </w:tc>
      </w:tr>
      <w:tr w:rsidR="001C2840" w:rsidRPr="001C2840" w14:paraId="3043C9E4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0D679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93BC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(-0,509/0,241)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5A7B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(-0,154/0,796)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F51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(0,169/0,824)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51C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(-0,496/0,164)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A0F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(-0,721/-0,336)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4E89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(-0,673/0,075)</w:t>
            </w:r>
          </w:p>
        </w:tc>
      </w:tr>
      <w:tr w:rsidR="001C2840" w:rsidRPr="001C2840" w14:paraId="16A9FB05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0DDD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Fat</w:t>
            </w:r>
            <w:proofErr w:type="spellEnd"/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yield kg/day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AF8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8D0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0,638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F4B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CF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1F2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-0,421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D27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-0,851</w:t>
            </w:r>
          </w:p>
        </w:tc>
      </w:tr>
      <w:tr w:rsidR="001C2840" w:rsidRPr="001C2840" w14:paraId="650A9E39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FB5DA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2729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(-0,682/0,514)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4E3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(0,248/0,939)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C42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(-0,186/0,861)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DF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(-0,217/-0,006)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52C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(-0,515/0,337)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A4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(-0,909/-0,759</w:t>
            </w:r>
          </w:p>
        </w:tc>
      </w:tr>
      <w:tr w:rsidR="001C2840" w:rsidRPr="001C2840" w14:paraId="369256E7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CA3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Milk kg/day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13B0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250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1C9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C7E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0,041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330B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63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-0,853</w:t>
            </w:r>
          </w:p>
        </w:tc>
      </w:tr>
      <w:tr w:rsidR="001C2840" w:rsidRPr="001C2840" w14:paraId="625A587F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B47C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C75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(</w:t>
            </w: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-0,173/0,672)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740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(0,646/0,968)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04F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(-0,622/0,223)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72C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(-0,059/0,158)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4033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(-0,531/0,359)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A5A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(-0,942/-0,755)</w:t>
            </w:r>
          </w:p>
        </w:tc>
      </w:tr>
      <w:tr w:rsidR="001C2840" w:rsidRPr="001C2840" w14:paraId="4C1283B0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EAC3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FCM kg/day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008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BAC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FAE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4C7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E47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-0,338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44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-0,939</w:t>
            </w:r>
          </w:p>
        </w:tc>
      </w:tr>
      <w:tr w:rsidR="001C2840" w:rsidRPr="001C2840" w14:paraId="4C5F8EFE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2DD5C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1E3C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(-0,993/-0,875)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1E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(-0,590/0,363)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295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(-0,398/0,516)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DBCF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(-0,089/0,107)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53D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(-0,429/-0,270)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49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(-0,972/-0,887)</w:t>
            </w:r>
          </w:p>
        </w:tc>
      </w:tr>
      <w:tr w:rsidR="001C2840" w:rsidRPr="001C2840" w14:paraId="670A6909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8AD5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ECM kg/day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B7B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B30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0,480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312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0,613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F62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B3C5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D9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-0,850</w:t>
            </w:r>
          </w:p>
        </w:tc>
      </w:tr>
      <w:tr w:rsidR="001C2840" w:rsidRPr="001C2840" w14:paraId="1220EAAC" w14:textId="77777777" w:rsidTr="00525263">
        <w:trPr>
          <w:trHeight w:val="288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7209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8F18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(-0,659/0,063)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50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(0,084/0,800)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3A6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(0,363/0,935)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772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(-0,177/0,109)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CE5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(-0,420/-0,218)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D284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(-0,924/-0,741)</w:t>
            </w:r>
          </w:p>
        </w:tc>
      </w:tr>
      <w:tr w:rsidR="001C2840" w:rsidRPr="001C2840" w14:paraId="3CD3E020" w14:textId="77777777" w:rsidTr="00525263">
        <w:trPr>
          <w:trHeight w:val="288"/>
          <w:jc w:val="center"/>
        </w:trPr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77E5C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CHY % (x 100)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59E6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-0,970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B8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DDE5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685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BCC1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0837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-0,442</w:t>
            </w:r>
          </w:p>
        </w:tc>
      </w:tr>
      <w:tr w:rsidR="00F047A7" w:rsidRPr="001C2840" w14:paraId="22296637" w14:textId="77777777" w:rsidTr="00525263">
        <w:trPr>
          <w:trHeight w:val="300"/>
          <w:jc w:val="center"/>
        </w:trPr>
        <w:tc>
          <w:tcPr>
            <w:tcW w:w="13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4A03AB" w14:textId="77777777" w:rsidR="00525263" w:rsidRPr="001C2840" w:rsidRDefault="00525263" w:rsidP="0052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9202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(-0,997/-0,933)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3D3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(-0,493/0,353)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C67D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(-0,418/0,399)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A33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(-0,435/0,116)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68DA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(-0,837/-0,220)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392E" w14:textId="77777777" w:rsidR="00525263" w:rsidRPr="001C2840" w:rsidRDefault="00525263" w:rsidP="005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C28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(-0,893/0,077)</w:t>
            </w:r>
          </w:p>
        </w:tc>
      </w:tr>
    </w:tbl>
    <w:p w14:paraId="20688CC0" w14:textId="77777777" w:rsidR="00D4339A" w:rsidRPr="001C2840" w:rsidRDefault="00D4339A" w:rsidP="00525263">
      <w:pPr>
        <w:jc w:val="center"/>
        <w:rPr>
          <w:lang w:val="en-US"/>
        </w:rPr>
      </w:pPr>
    </w:p>
    <w:sectPr w:rsidR="00D4339A" w:rsidRPr="001C2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9A"/>
    <w:rsid w:val="001C2840"/>
    <w:rsid w:val="00253C29"/>
    <w:rsid w:val="00262310"/>
    <w:rsid w:val="00346E63"/>
    <w:rsid w:val="003C7D54"/>
    <w:rsid w:val="00525263"/>
    <w:rsid w:val="00565D6C"/>
    <w:rsid w:val="00624389"/>
    <w:rsid w:val="006D6A64"/>
    <w:rsid w:val="00734BA8"/>
    <w:rsid w:val="00861354"/>
    <w:rsid w:val="00A84E60"/>
    <w:rsid w:val="00A914B0"/>
    <w:rsid w:val="00B179C0"/>
    <w:rsid w:val="00C41214"/>
    <w:rsid w:val="00CF2417"/>
    <w:rsid w:val="00D4339A"/>
    <w:rsid w:val="00DB5923"/>
    <w:rsid w:val="00F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89F7"/>
  <w15:chartTrackingRefBased/>
  <w15:docId w15:val="{7EE200AC-56A8-450F-85AF-1D00F7C2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433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</dc:creator>
  <cp:keywords/>
  <dc:description/>
  <cp:lastModifiedBy>refere</cp:lastModifiedBy>
  <cp:revision>13</cp:revision>
  <dcterms:created xsi:type="dcterms:W3CDTF">2022-02-21T10:02:00Z</dcterms:created>
  <dcterms:modified xsi:type="dcterms:W3CDTF">2022-08-08T05:54:00Z</dcterms:modified>
</cp:coreProperties>
</file>