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7493" w14:textId="48E5E103" w:rsidR="00082ACE" w:rsidRDefault="00082ACE" w:rsidP="00082ACE">
      <w:pPr>
        <w:spacing w:before="120" w:after="360"/>
      </w:pPr>
    </w:p>
    <w:p w14:paraId="0C9C008C" w14:textId="77777777" w:rsidR="00082ACE" w:rsidRDefault="00082ACE" w:rsidP="00082ACE">
      <w:pPr>
        <w:spacing w:line="480" w:lineRule="auto"/>
        <w:jc w:val="center"/>
        <w:rPr>
          <w:b/>
        </w:rPr>
      </w:pPr>
    </w:p>
    <w:p w14:paraId="06C020C6" w14:textId="77777777" w:rsidR="00082ACE" w:rsidRDefault="00082ACE" w:rsidP="00082ACE">
      <w:pPr>
        <w:spacing w:line="480" w:lineRule="auto"/>
        <w:jc w:val="center"/>
        <w:rPr>
          <w:b/>
        </w:rPr>
      </w:pPr>
    </w:p>
    <w:p w14:paraId="76A9A26C" w14:textId="57CDA1AC" w:rsidR="00082ACE" w:rsidRDefault="00082ACE" w:rsidP="00082ACE">
      <w:pPr>
        <w:spacing w:line="480" w:lineRule="auto"/>
        <w:jc w:val="center"/>
        <w:rPr>
          <w:lang w:eastAsia="zh-CN"/>
        </w:rPr>
      </w:pPr>
      <w:r w:rsidRPr="00ED1E8F">
        <w:rPr>
          <w:b/>
        </w:rPr>
        <w:t>Supplementary Materials for</w:t>
      </w:r>
      <w:bookmarkStart w:id="0" w:name="_Hlk522909714"/>
      <w:r>
        <w:rPr>
          <w:lang w:eastAsia="zh-CN"/>
        </w:rPr>
        <w:t>:</w:t>
      </w:r>
    </w:p>
    <w:bookmarkEnd w:id="0"/>
    <w:p w14:paraId="256213A1" w14:textId="77777777" w:rsidR="00082ACE" w:rsidRDefault="00082ACE" w:rsidP="00082ACE">
      <w:pPr>
        <w:spacing w:before="120" w:after="360"/>
        <w:jc w:val="center"/>
      </w:pPr>
    </w:p>
    <w:p w14:paraId="3E97D471" w14:textId="77777777" w:rsidR="00082ACE" w:rsidRPr="00A37AF8" w:rsidRDefault="00082ACE" w:rsidP="00082ACE">
      <w:pPr>
        <w:spacing w:before="120" w:after="360"/>
        <w:jc w:val="center"/>
      </w:pPr>
      <w:r w:rsidRPr="00A37AF8">
        <w:t xml:space="preserve">Deviancy Aversion </w:t>
      </w:r>
      <w:r>
        <w:t>and Social Norms</w:t>
      </w:r>
    </w:p>
    <w:p w14:paraId="61BDBB6E" w14:textId="77777777" w:rsidR="00082ACE" w:rsidRDefault="00082ACE" w:rsidP="00082ACE">
      <w:pPr>
        <w:spacing w:before="120" w:after="360"/>
        <w:jc w:val="center"/>
      </w:pPr>
    </w:p>
    <w:p w14:paraId="46CC56A2" w14:textId="77777777" w:rsidR="00082ACE" w:rsidRDefault="00082ACE" w:rsidP="00082ACE">
      <w:pPr>
        <w:spacing w:before="120" w:after="360"/>
        <w:jc w:val="center"/>
      </w:pPr>
    </w:p>
    <w:p w14:paraId="28245F5E" w14:textId="77777777" w:rsidR="00082ACE" w:rsidRDefault="00082ACE" w:rsidP="00082ACE">
      <w:pPr>
        <w:spacing w:before="120" w:after="360"/>
        <w:jc w:val="center"/>
      </w:pPr>
    </w:p>
    <w:p w14:paraId="166B5CD0" w14:textId="77777777" w:rsidR="00082ACE" w:rsidRDefault="00082ACE" w:rsidP="00082ACE">
      <w:pPr>
        <w:spacing w:before="120" w:after="360"/>
        <w:jc w:val="center"/>
      </w:pPr>
    </w:p>
    <w:p w14:paraId="2FD44BDD" w14:textId="77777777" w:rsidR="00082ACE" w:rsidRDefault="00082ACE" w:rsidP="00082ACE">
      <w:pPr>
        <w:spacing w:before="120" w:after="360"/>
        <w:ind w:firstLine="720"/>
        <w:rPr>
          <w:vertAlign w:val="superscript"/>
        </w:rPr>
      </w:pPr>
      <w:r>
        <w:t xml:space="preserve">          Anton Gollwitzer</w:t>
      </w:r>
      <w:r w:rsidRPr="0015237E">
        <w:rPr>
          <w:vertAlign w:val="superscript"/>
        </w:rPr>
        <w:t>1,2</w:t>
      </w:r>
      <w:r>
        <w:tab/>
      </w:r>
      <w:r>
        <w:tab/>
      </w:r>
      <w:r>
        <w:tab/>
      </w:r>
      <w:r>
        <w:tab/>
      </w:r>
      <w:r>
        <w:tab/>
        <w:t xml:space="preserve"> Cameron Martel</w:t>
      </w:r>
      <w:r w:rsidRPr="0015237E">
        <w:rPr>
          <w:vertAlign w:val="superscript"/>
        </w:rPr>
        <w:t>3</w:t>
      </w:r>
    </w:p>
    <w:p w14:paraId="7E6F2EE1" w14:textId="77777777" w:rsidR="00082ACE" w:rsidRPr="005067E9" w:rsidRDefault="00082ACE" w:rsidP="00082ACE">
      <w:pPr>
        <w:spacing w:before="120" w:after="360"/>
        <w:ind w:left="1440" w:firstLine="720"/>
      </w:pPr>
      <w:r>
        <w:rPr>
          <w:rFonts w:eastAsia="Times New Roman"/>
        </w:rPr>
        <w:t>Anna Heinecke</w:t>
      </w:r>
      <w:r w:rsidRPr="00BB352D">
        <w:rPr>
          <w:rFonts w:eastAsia="Times New Roman"/>
          <w:vertAlign w:val="superscript"/>
        </w:rPr>
        <w:t>4</w:t>
      </w:r>
      <w:r>
        <w:t xml:space="preserve"> </w:t>
      </w:r>
      <w:r>
        <w:tab/>
      </w:r>
      <w:r>
        <w:tab/>
      </w:r>
      <w:r>
        <w:tab/>
        <w:t>John A. Bargh</w:t>
      </w:r>
      <w:r>
        <w:rPr>
          <w:vertAlign w:val="superscript"/>
        </w:rPr>
        <w:t>5</w:t>
      </w:r>
    </w:p>
    <w:p w14:paraId="0A666687" w14:textId="77777777" w:rsidR="00082ACE" w:rsidRDefault="00082ACE" w:rsidP="00082ACE">
      <w:pPr>
        <w:spacing w:before="120" w:after="360"/>
        <w:ind w:left="-90" w:firstLine="90"/>
        <w:jc w:val="center"/>
      </w:pPr>
    </w:p>
    <w:p w14:paraId="1577F507" w14:textId="77777777" w:rsidR="00082ACE" w:rsidRDefault="00082ACE" w:rsidP="00082ACE">
      <w:pPr>
        <w:spacing w:before="120" w:after="360"/>
        <w:jc w:val="center"/>
      </w:pPr>
      <w:r w:rsidRPr="004374CD">
        <w:rPr>
          <w:vertAlign w:val="superscript"/>
        </w:rPr>
        <w:t>1</w:t>
      </w:r>
      <w:r>
        <w:t>BI Norwegian Business School</w:t>
      </w:r>
    </w:p>
    <w:p w14:paraId="35FFD8EC" w14:textId="77777777" w:rsidR="00082ACE" w:rsidRDefault="00082ACE" w:rsidP="00082ACE">
      <w:pPr>
        <w:spacing w:before="120" w:after="360"/>
        <w:jc w:val="center"/>
      </w:pPr>
      <w:r w:rsidRPr="004374CD">
        <w:rPr>
          <w:vertAlign w:val="superscript"/>
        </w:rPr>
        <w:t>2</w:t>
      </w:r>
      <w:r>
        <w:t>Max Plank Institute for Human Development</w:t>
      </w:r>
    </w:p>
    <w:p w14:paraId="3331A53C" w14:textId="77777777" w:rsidR="00082ACE" w:rsidRDefault="00082ACE" w:rsidP="00082ACE">
      <w:pPr>
        <w:spacing w:before="120" w:after="360"/>
        <w:jc w:val="center"/>
      </w:pPr>
      <w:r w:rsidRPr="004374CD">
        <w:rPr>
          <w:vertAlign w:val="superscript"/>
        </w:rPr>
        <w:t>3</w:t>
      </w:r>
      <w:r>
        <w:t>Massachusets Institute of Technology</w:t>
      </w:r>
    </w:p>
    <w:p w14:paraId="129CBDED" w14:textId="77777777" w:rsidR="00082ACE" w:rsidRDefault="00082ACE" w:rsidP="00082ACE">
      <w:pPr>
        <w:spacing w:before="120" w:after="360"/>
        <w:jc w:val="center"/>
      </w:pPr>
      <w:r>
        <w:rPr>
          <w:vertAlign w:val="superscript"/>
        </w:rPr>
        <w:t>4</w:t>
      </w:r>
      <w:r w:rsidRPr="006D47CC">
        <w:t xml:space="preserve">AMEOS </w:t>
      </w:r>
      <w:proofErr w:type="spellStart"/>
      <w:r w:rsidRPr="006D47CC">
        <w:t>Klinikum</w:t>
      </w:r>
      <w:proofErr w:type="spellEnd"/>
      <w:r w:rsidRPr="006D47CC">
        <w:t xml:space="preserve"> für </w:t>
      </w:r>
      <w:proofErr w:type="spellStart"/>
      <w:r w:rsidRPr="006D47CC">
        <w:t>Forensische</w:t>
      </w:r>
      <w:proofErr w:type="spellEnd"/>
      <w:r w:rsidRPr="006D47CC">
        <w:t xml:space="preserve"> </w:t>
      </w:r>
      <w:proofErr w:type="spellStart"/>
      <w:r w:rsidRPr="006D47CC">
        <w:t>Psychiatrie</w:t>
      </w:r>
      <w:proofErr w:type="spellEnd"/>
      <w:r w:rsidRPr="006D47CC">
        <w:t xml:space="preserve"> und </w:t>
      </w:r>
      <w:proofErr w:type="spellStart"/>
      <w:r w:rsidRPr="006D47CC">
        <w:t>Psychotherapie</w:t>
      </w:r>
      <w:proofErr w:type="spellEnd"/>
      <w:r w:rsidRPr="006D47CC">
        <w:t xml:space="preserve"> Neustadt</w:t>
      </w:r>
    </w:p>
    <w:p w14:paraId="222ED962" w14:textId="77777777" w:rsidR="00082ACE" w:rsidRDefault="00082ACE" w:rsidP="00082ACE">
      <w:pPr>
        <w:spacing w:before="120" w:after="360"/>
        <w:jc w:val="center"/>
      </w:pPr>
      <w:r>
        <w:rPr>
          <w:vertAlign w:val="superscript"/>
        </w:rPr>
        <w:t>5</w:t>
      </w:r>
      <w:r>
        <w:t>Yale University</w:t>
      </w:r>
    </w:p>
    <w:p w14:paraId="7A56457C" w14:textId="77777777" w:rsidR="00082ACE" w:rsidRDefault="00082ACE" w:rsidP="00082ACE">
      <w:pPr>
        <w:rPr>
          <w:vertAlign w:val="superscript"/>
        </w:rPr>
      </w:pPr>
    </w:p>
    <w:p w14:paraId="5AB4B1C9" w14:textId="77777777" w:rsidR="00082ACE" w:rsidRDefault="00082ACE" w:rsidP="00082ACE">
      <w:pPr>
        <w:rPr>
          <w:lang w:eastAsia="de-DE"/>
        </w:rPr>
      </w:pPr>
      <w:r w:rsidRPr="00C33A42">
        <w:rPr>
          <w:vertAlign w:val="superscript"/>
        </w:rPr>
        <w:t>*</w:t>
      </w:r>
      <w:r w:rsidRPr="00C33A42">
        <w:t>To whom correspondence may be addressed: Anton Gollwitzer,</w:t>
      </w:r>
      <w:r>
        <w:t xml:space="preserve"> BI Norwegian Business School, </w:t>
      </w:r>
      <w:proofErr w:type="spellStart"/>
      <w:r w:rsidRPr="007877E0">
        <w:t>Nydalsveien</w:t>
      </w:r>
      <w:proofErr w:type="spellEnd"/>
      <w:r w:rsidRPr="007877E0">
        <w:t xml:space="preserve"> 37, 0484 Oslo, Norway</w:t>
      </w:r>
      <w:r>
        <w:rPr>
          <w:lang w:eastAsia="de-DE"/>
        </w:rPr>
        <w:t>.</w:t>
      </w:r>
    </w:p>
    <w:p w14:paraId="61156314" w14:textId="77777777" w:rsidR="00082ACE" w:rsidRDefault="00082ACE" w:rsidP="00082ACE">
      <w:r>
        <w:t xml:space="preserve">Email: </w:t>
      </w:r>
      <w:hyperlink r:id="rId7" w:history="1">
        <w:r w:rsidRPr="00CE6A64">
          <w:rPr>
            <w:rStyle w:val="Hyperlink"/>
          </w:rPr>
          <w:t>anton.gollwitzer@gmail.com</w:t>
        </w:r>
      </w:hyperlink>
      <w:r>
        <w:t xml:space="preserve"> </w:t>
      </w:r>
    </w:p>
    <w:p w14:paraId="42F61C54" w14:textId="77777777" w:rsidR="00082ACE" w:rsidRDefault="00082ACE" w:rsidP="00082ACE">
      <w:pPr>
        <w:pStyle w:val="SMSubheading"/>
        <w:spacing w:line="480" w:lineRule="auto"/>
        <w:rPr>
          <w:b/>
          <w:u w:val="none"/>
        </w:rPr>
      </w:pPr>
    </w:p>
    <w:p w14:paraId="07F89967" w14:textId="20A05BFF" w:rsidR="007453B8" w:rsidRPr="006622CA" w:rsidRDefault="007453B8" w:rsidP="007453B8">
      <w:pPr>
        <w:pStyle w:val="SMSubheading"/>
        <w:spacing w:line="480" w:lineRule="auto"/>
        <w:jc w:val="center"/>
        <w:rPr>
          <w:b/>
          <w:u w:val="none"/>
        </w:rPr>
      </w:pPr>
      <w:r w:rsidRPr="006622CA">
        <w:rPr>
          <w:b/>
          <w:u w:val="none"/>
        </w:rPr>
        <w:lastRenderedPageBreak/>
        <w:t>Data Availability</w:t>
      </w:r>
    </w:p>
    <w:p w14:paraId="0D22BD2A" w14:textId="01DB82BB" w:rsidR="007453B8" w:rsidRPr="003C5DF0" w:rsidRDefault="007453B8" w:rsidP="003C5DF0">
      <w:pPr>
        <w:spacing w:line="480" w:lineRule="auto"/>
      </w:pPr>
      <w:r w:rsidRPr="006622CA">
        <w:rPr>
          <w:b/>
        </w:rPr>
        <w:tab/>
      </w:r>
      <w:r w:rsidRPr="00B1781F">
        <w:t xml:space="preserve">The datasets, analysis files, and all verbatim materials of the presented studies are available at the following URL: </w:t>
      </w:r>
      <w:r w:rsidRPr="00B1781F">
        <w:rPr>
          <w:b/>
          <w:color w:val="0563C1" w:themeColor="hyperlink"/>
          <w:u w:val="single"/>
        </w:rPr>
        <w:t>https://osf.io/tzqwy/?view_only=6503ff2c468e4bb691fd4ef184feb531</w:t>
      </w:r>
      <w:r>
        <w:t xml:space="preserve"> </w:t>
      </w:r>
    </w:p>
    <w:p w14:paraId="3DD74ED8" w14:textId="77777777" w:rsidR="007453B8" w:rsidRDefault="007453B8" w:rsidP="00557BE4">
      <w:pPr>
        <w:rPr>
          <w:b/>
        </w:rPr>
      </w:pPr>
    </w:p>
    <w:p w14:paraId="1DF0E8CF" w14:textId="30110DDF" w:rsidR="00557BE4" w:rsidRDefault="00557BE4" w:rsidP="00557BE4">
      <w:pPr>
        <w:jc w:val="center"/>
        <w:rPr>
          <w:b/>
        </w:rPr>
      </w:pPr>
      <w:r>
        <w:rPr>
          <w:b/>
        </w:rPr>
        <w:t>Study 1</w:t>
      </w:r>
    </w:p>
    <w:p w14:paraId="7DC93009" w14:textId="77777777" w:rsidR="00E86C7A" w:rsidRDefault="00E86C7A" w:rsidP="00557BE4">
      <w:pPr>
        <w:pStyle w:val="NoSpacing"/>
        <w:spacing w:line="480" w:lineRule="auto"/>
        <w:ind w:left="-86" w:firstLine="806"/>
        <w:rPr>
          <w:b/>
        </w:rPr>
      </w:pPr>
    </w:p>
    <w:p w14:paraId="74209511" w14:textId="727A9FED" w:rsidR="00B86498" w:rsidRPr="00B86498" w:rsidRDefault="00ED2EA0" w:rsidP="00B86498">
      <w:pPr>
        <w:pStyle w:val="NoSpacing"/>
        <w:spacing w:line="480" w:lineRule="auto"/>
        <w:jc w:val="both"/>
        <w:rPr>
          <w:b/>
        </w:rPr>
      </w:pPr>
      <w:r>
        <w:rPr>
          <w:b/>
        </w:rPr>
        <w:t xml:space="preserve">Supplemental </w:t>
      </w:r>
      <w:r w:rsidR="00B86498">
        <w:rPr>
          <w:b/>
        </w:rPr>
        <w:t>Methods</w:t>
      </w:r>
    </w:p>
    <w:p w14:paraId="1A4F2F66" w14:textId="37BD4C30" w:rsidR="007A4DE5" w:rsidRPr="007A4DE5" w:rsidRDefault="007A4DE5" w:rsidP="00801707">
      <w:pPr>
        <w:pStyle w:val="NoSpacing"/>
        <w:spacing w:line="480" w:lineRule="auto"/>
        <w:ind w:left="-86" w:firstLine="806"/>
        <w:jc w:val="both"/>
        <w:rPr>
          <w:b/>
        </w:rPr>
      </w:pPr>
      <w:r>
        <w:rPr>
          <w:b/>
        </w:rPr>
        <w:t xml:space="preserve">Control Measures. </w:t>
      </w:r>
      <w:r w:rsidR="00EC7653" w:rsidRPr="00EC7653">
        <w:rPr>
          <w:bCs/>
        </w:rPr>
        <w:t xml:space="preserve">Additional control variables included need for closure (Webster &amp; </w:t>
      </w:r>
      <w:proofErr w:type="spellStart"/>
      <w:r w:rsidR="00EC7653" w:rsidRPr="00EC7653">
        <w:rPr>
          <w:bCs/>
        </w:rPr>
        <w:t>Kruglanski</w:t>
      </w:r>
      <w:proofErr w:type="spellEnd"/>
      <w:r w:rsidR="00EC7653" w:rsidRPr="00EC7653">
        <w:rPr>
          <w:bCs/>
        </w:rPr>
        <w:t xml:space="preserve">, 1994), disgust propensity and sensitivity (van </w:t>
      </w:r>
      <w:proofErr w:type="spellStart"/>
      <w:r w:rsidR="00EC7653" w:rsidRPr="00EC7653">
        <w:rPr>
          <w:bCs/>
        </w:rPr>
        <w:t>Overveld</w:t>
      </w:r>
      <w:proofErr w:type="spellEnd"/>
      <w:r w:rsidR="00EC7653" w:rsidRPr="00EC7653">
        <w:rPr>
          <w:bCs/>
        </w:rPr>
        <w:t xml:space="preserve"> et al., 2006), political orientation</w:t>
      </w:r>
      <w:r w:rsidR="00003C08">
        <w:rPr>
          <w:bCs/>
        </w:rPr>
        <w:t xml:space="preserve">, </w:t>
      </w:r>
      <w:r w:rsidR="00EC7653" w:rsidRPr="00EC7653">
        <w:rPr>
          <w:bCs/>
        </w:rPr>
        <w:t>and socially desirable responding (</w:t>
      </w:r>
      <w:proofErr w:type="spellStart"/>
      <w:r w:rsidR="00EC7653" w:rsidRPr="00EC7653">
        <w:rPr>
          <w:bCs/>
        </w:rPr>
        <w:t>Haghighat</w:t>
      </w:r>
      <w:proofErr w:type="spellEnd"/>
      <w:r w:rsidR="00EC7653" w:rsidRPr="00EC7653">
        <w:rPr>
          <w:bCs/>
        </w:rPr>
        <w:t>, 2007).</w:t>
      </w:r>
      <w:r w:rsidR="00921DEB">
        <w:rPr>
          <w:bCs/>
        </w:rPr>
        <w:t xml:space="preserve"> See Verbatim Materials for exact items.</w:t>
      </w:r>
    </w:p>
    <w:p w14:paraId="540B8E11" w14:textId="1233B0BD" w:rsidR="00557BE4" w:rsidRDefault="00557BE4" w:rsidP="00801707">
      <w:pPr>
        <w:pStyle w:val="NoSpacing"/>
        <w:spacing w:line="480" w:lineRule="auto"/>
        <w:ind w:left="-86" w:firstLine="806"/>
        <w:jc w:val="both"/>
      </w:pPr>
      <w:r w:rsidRPr="00EC6419">
        <w:rPr>
          <w:b/>
        </w:rPr>
        <w:t xml:space="preserve">Attention </w:t>
      </w:r>
      <w:r w:rsidR="00742DFD">
        <w:rPr>
          <w:b/>
        </w:rPr>
        <w:t>C</w:t>
      </w:r>
      <w:r w:rsidRPr="00EC6419">
        <w:rPr>
          <w:b/>
        </w:rPr>
        <w:t xml:space="preserve">heck. </w:t>
      </w:r>
      <w:r>
        <w:rPr>
          <w:rFonts w:eastAsiaTheme="minorHAnsi"/>
        </w:rPr>
        <w:t>We</w:t>
      </w:r>
      <w:r w:rsidRPr="00B950B0">
        <w:t xml:space="preserve"> indirectly assessed participants’ attention</w:t>
      </w:r>
      <w:r>
        <w:t xml:space="preserve"> via the following item</w:t>
      </w:r>
      <w:r w:rsidRPr="00B950B0">
        <w:t xml:space="preserve">: “People vary in the amount they pay attention to these kinds of surveys. Some take them seriously and read each question, whereas others go very quickly and barely read the questions at all. If you have read this question carefully, please write the word yes in the blank box below labeled other. There is no need for you to respond to the scale below.” </w:t>
      </w:r>
      <w:r>
        <w:t>P</w:t>
      </w:r>
      <w:r w:rsidRPr="00B950B0">
        <w:t>articipants who failed to write “yes</w:t>
      </w:r>
      <w:r>
        <w:t>”</w:t>
      </w:r>
      <w:r w:rsidRPr="00B950B0">
        <w:t xml:space="preserve"> in </w:t>
      </w:r>
      <w:r>
        <w:t>response</w:t>
      </w:r>
      <w:r w:rsidRPr="00B950B0">
        <w:t xml:space="preserve"> were excluded.</w:t>
      </w:r>
    </w:p>
    <w:p w14:paraId="640FF0AA" w14:textId="788C4D4F" w:rsidR="00743641" w:rsidRPr="00743641" w:rsidRDefault="00743641" w:rsidP="00743641">
      <w:pPr>
        <w:pStyle w:val="NoSpacing"/>
        <w:spacing w:line="480" w:lineRule="auto"/>
        <w:jc w:val="both"/>
        <w:rPr>
          <w:b/>
        </w:rPr>
      </w:pPr>
      <w:r>
        <w:rPr>
          <w:b/>
        </w:rPr>
        <w:t xml:space="preserve">Supplemental </w:t>
      </w:r>
      <w:r w:rsidR="007D27A3">
        <w:rPr>
          <w:b/>
        </w:rPr>
        <w:t>Results</w:t>
      </w:r>
    </w:p>
    <w:p w14:paraId="6AA85A0C" w14:textId="0BAE46C0" w:rsidR="000C26DB" w:rsidRDefault="000C26DB" w:rsidP="00801707">
      <w:pPr>
        <w:pStyle w:val="NoSpacing"/>
        <w:spacing w:line="480" w:lineRule="auto"/>
        <w:ind w:left="-86" w:firstLine="806"/>
        <w:jc w:val="both"/>
        <w:rPr>
          <w:bCs/>
        </w:rPr>
      </w:pPr>
      <w:r>
        <w:rPr>
          <w:b/>
        </w:rPr>
        <w:t xml:space="preserve">Raw Correlations. </w:t>
      </w:r>
      <w:r>
        <w:rPr>
          <w:bCs/>
        </w:rPr>
        <w:t>The raw correlations</w:t>
      </w:r>
      <w:r w:rsidR="00376F91">
        <w:rPr>
          <w:bCs/>
        </w:rPr>
        <w:t xml:space="preserve"> of Study 1</w:t>
      </w:r>
      <w:r>
        <w:rPr>
          <w:bCs/>
        </w:rPr>
        <w:t xml:space="preserve"> can be found below</w:t>
      </w:r>
      <w:r w:rsidR="0066592F">
        <w:rPr>
          <w:bCs/>
        </w:rPr>
        <w:t xml:space="preserve"> (Table S1)</w:t>
      </w:r>
      <w:r>
        <w:rPr>
          <w:bCs/>
        </w:rPr>
        <w:t xml:space="preserve">. </w:t>
      </w:r>
    </w:p>
    <w:p w14:paraId="22098360" w14:textId="6201CB78" w:rsidR="002C2AC6" w:rsidRDefault="002C2AC6" w:rsidP="002C2AC6">
      <w:pPr>
        <w:pStyle w:val="NoSpacing"/>
        <w:spacing w:line="480" w:lineRule="auto"/>
        <w:jc w:val="both"/>
        <w:rPr>
          <w:b/>
        </w:rPr>
      </w:pPr>
    </w:p>
    <w:p w14:paraId="7BDEE282" w14:textId="77777777" w:rsidR="00641261" w:rsidRDefault="00641261" w:rsidP="00641261">
      <w:pPr>
        <w:rPr>
          <w:rFonts w:eastAsia="Times New Roman"/>
          <w:b/>
        </w:rPr>
      </w:pPr>
    </w:p>
    <w:p w14:paraId="343F17B5" w14:textId="77777777" w:rsidR="00641261" w:rsidRDefault="00641261" w:rsidP="00641261">
      <w:pPr>
        <w:rPr>
          <w:rFonts w:eastAsia="Times New Roman"/>
          <w:b/>
        </w:rPr>
      </w:pPr>
    </w:p>
    <w:p w14:paraId="28C74C8A" w14:textId="77777777" w:rsidR="00641261" w:rsidRDefault="00641261" w:rsidP="00641261">
      <w:pPr>
        <w:rPr>
          <w:rFonts w:eastAsia="Times New Roman"/>
          <w:b/>
        </w:rPr>
      </w:pPr>
    </w:p>
    <w:p w14:paraId="61B7EE08" w14:textId="19C417B2" w:rsidR="00641261" w:rsidRPr="000F1904" w:rsidRDefault="00641261" w:rsidP="00641261">
      <w:pPr>
        <w:rPr>
          <w:rFonts w:eastAsia="Times New Roman"/>
          <w:b/>
        </w:rPr>
      </w:pPr>
      <w:r w:rsidRPr="000F1904">
        <w:rPr>
          <w:rFonts w:eastAsia="Times New Roman"/>
          <w:b/>
        </w:rPr>
        <w:t xml:space="preserve">Table </w:t>
      </w:r>
      <w:r>
        <w:rPr>
          <w:rFonts w:eastAsia="Times New Roman"/>
          <w:b/>
        </w:rPr>
        <w:t>S</w:t>
      </w:r>
      <w:r w:rsidR="00F24BE9">
        <w:rPr>
          <w:rFonts w:eastAsia="Times New Roman"/>
          <w:b/>
        </w:rPr>
        <w:t>1</w:t>
      </w:r>
    </w:p>
    <w:p w14:paraId="68338823" w14:textId="11B47730" w:rsidR="00641261" w:rsidRPr="000F1904" w:rsidRDefault="00641261" w:rsidP="00641261">
      <w:pPr>
        <w:rPr>
          <w:rFonts w:eastAsia="Times New Roman"/>
          <w:i/>
        </w:rPr>
      </w:pPr>
      <w:r w:rsidRPr="000F1904">
        <w:rPr>
          <w:rFonts w:eastAsia="Times New Roman"/>
          <w:i/>
        </w:rPr>
        <w:t xml:space="preserve">Output of </w:t>
      </w:r>
      <w:r>
        <w:rPr>
          <w:rFonts w:eastAsia="Times New Roman"/>
          <w:i/>
        </w:rPr>
        <w:t>Linear Regressions</w:t>
      </w:r>
      <w:r w:rsidR="00797358">
        <w:rPr>
          <w:rFonts w:eastAsia="Times New Roman"/>
          <w:i/>
        </w:rPr>
        <w:t xml:space="preserve"> (Raw Links)</w:t>
      </w:r>
      <w:r>
        <w:rPr>
          <w:rFonts w:eastAsia="Times New Roman"/>
          <w:i/>
        </w:rPr>
        <w:t>. Deviancy Aversion Predicted Social Norm Indicators Across Varying Measures.</w:t>
      </w:r>
      <w:r w:rsidRPr="000F1904">
        <w:rPr>
          <w:rFonts w:eastAsia="Times New Roman"/>
          <w:i/>
        </w:rPr>
        <w:t xml:space="preserve">   </w:t>
      </w:r>
      <w:r w:rsidRPr="000F1904">
        <w:rPr>
          <w:rFonts w:eastAsia="Times New Roman"/>
        </w:rPr>
        <w:t xml:space="preserve">   </w:t>
      </w:r>
    </w:p>
    <w:p w14:paraId="1BFAA1C0" w14:textId="77777777" w:rsidR="00641261" w:rsidRPr="000F1904" w:rsidRDefault="00641261" w:rsidP="00641261">
      <w:pPr>
        <w:rPr>
          <w:rFonts w:eastAsia="Times New Roman"/>
          <w:i/>
        </w:rPr>
      </w:pPr>
    </w:p>
    <w:tbl>
      <w:tblPr>
        <w:tblW w:w="11250" w:type="dxa"/>
        <w:jc w:val="center"/>
        <w:tblLayout w:type="fixed"/>
        <w:tblLook w:val="0400" w:firstRow="0" w:lastRow="0" w:firstColumn="0" w:lastColumn="0" w:noHBand="0" w:noVBand="1"/>
      </w:tblPr>
      <w:tblGrid>
        <w:gridCol w:w="2340"/>
        <w:gridCol w:w="1710"/>
        <w:gridCol w:w="1620"/>
        <w:gridCol w:w="1620"/>
        <w:gridCol w:w="1350"/>
        <w:gridCol w:w="1350"/>
        <w:gridCol w:w="1260"/>
      </w:tblGrid>
      <w:tr w:rsidR="00641261" w:rsidRPr="000F1904" w14:paraId="62A51517" w14:textId="77777777" w:rsidTr="00AB3961">
        <w:trPr>
          <w:trHeight w:val="675"/>
          <w:jc w:val="center"/>
        </w:trPr>
        <w:tc>
          <w:tcPr>
            <w:tcW w:w="2340" w:type="dxa"/>
            <w:tcBorders>
              <w:top w:val="single" w:sz="4" w:space="0" w:color="000000"/>
            </w:tcBorders>
            <w:shd w:val="clear" w:color="auto" w:fill="FFFFFF"/>
            <w:vAlign w:val="center"/>
          </w:tcPr>
          <w:p w14:paraId="791BFFF7" w14:textId="77777777" w:rsidR="00641261" w:rsidRPr="000F1904" w:rsidRDefault="00641261" w:rsidP="00AB3961">
            <w:pPr>
              <w:jc w:val="center"/>
              <w:rPr>
                <w:rFonts w:eastAsia="Times New Roman"/>
                <w:sz w:val="20"/>
                <w:szCs w:val="20"/>
              </w:rPr>
            </w:pPr>
          </w:p>
          <w:p w14:paraId="42378FEE" w14:textId="77777777" w:rsidR="00641261" w:rsidRPr="000F1904" w:rsidRDefault="00641261" w:rsidP="00AB3961">
            <w:pPr>
              <w:rPr>
                <w:rFonts w:eastAsia="Times New Roman"/>
                <w:sz w:val="20"/>
                <w:szCs w:val="20"/>
              </w:rPr>
            </w:pPr>
          </w:p>
        </w:tc>
        <w:tc>
          <w:tcPr>
            <w:tcW w:w="8910" w:type="dxa"/>
            <w:gridSpan w:val="6"/>
            <w:tcBorders>
              <w:top w:val="single" w:sz="4" w:space="0" w:color="000000"/>
            </w:tcBorders>
            <w:shd w:val="clear" w:color="auto" w:fill="FFFFFF"/>
            <w:vAlign w:val="center"/>
          </w:tcPr>
          <w:p w14:paraId="68997832" w14:textId="77777777" w:rsidR="00641261" w:rsidRPr="000F1904" w:rsidRDefault="00641261" w:rsidP="00AB3961">
            <w:pPr>
              <w:ind w:left="252"/>
              <w:jc w:val="center"/>
              <w:rPr>
                <w:rFonts w:eastAsia="Times New Roman"/>
                <w:sz w:val="20"/>
                <w:szCs w:val="20"/>
              </w:rPr>
            </w:pPr>
            <w:r>
              <w:rPr>
                <w:rFonts w:eastAsia="Times New Roman"/>
                <w:sz w:val="20"/>
                <w:szCs w:val="20"/>
              </w:rPr>
              <w:t>Dependent Variables</w:t>
            </w:r>
          </w:p>
        </w:tc>
      </w:tr>
      <w:tr w:rsidR="00641261" w:rsidRPr="000F1904" w14:paraId="6C9C9FA7" w14:textId="77777777" w:rsidTr="00AB3961">
        <w:trPr>
          <w:trHeight w:val="1169"/>
          <w:jc w:val="center"/>
        </w:trPr>
        <w:tc>
          <w:tcPr>
            <w:tcW w:w="2340" w:type="dxa"/>
            <w:tcBorders>
              <w:top w:val="single" w:sz="4" w:space="0" w:color="000000"/>
            </w:tcBorders>
            <w:shd w:val="clear" w:color="auto" w:fill="FFFFFF"/>
            <w:vAlign w:val="center"/>
          </w:tcPr>
          <w:p w14:paraId="72270804" w14:textId="77777777" w:rsidR="00641261" w:rsidRPr="00AC58CD" w:rsidRDefault="00641261" w:rsidP="00AB3961">
            <w:pPr>
              <w:widowControl w:val="0"/>
              <w:spacing w:line="276" w:lineRule="auto"/>
              <w:rPr>
                <w:rFonts w:eastAsia="Times New Roman"/>
                <w:sz w:val="20"/>
                <w:szCs w:val="20"/>
              </w:rPr>
            </w:pPr>
            <w:r>
              <w:rPr>
                <w:rFonts w:eastAsia="Times New Roman"/>
                <w:sz w:val="20"/>
                <w:szCs w:val="20"/>
              </w:rPr>
              <w:t>Study 1 (</w:t>
            </w:r>
            <w:r>
              <w:rPr>
                <w:rFonts w:eastAsia="Times New Roman"/>
                <w:i/>
                <w:iCs/>
                <w:sz w:val="20"/>
                <w:szCs w:val="20"/>
              </w:rPr>
              <w:t xml:space="preserve">N = </w:t>
            </w:r>
            <w:r>
              <w:rPr>
                <w:rFonts w:eastAsia="Times New Roman"/>
                <w:sz w:val="20"/>
                <w:szCs w:val="20"/>
              </w:rPr>
              <w:t>243)</w:t>
            </w:r>
          </w:p>
        </w:tc>
        <w:tc>
          <w:tcPr>
            <w:tcW w:w="1710" w:type="dxa"/>
            <w:tcBorders>
              <w:top w:val="single" w:sz="4" w:space="0" w:color="000000"/>
              <w:bottom w:val="single" w:sz="4" w:space="0" w:color="000000"/>
            </w:tcBorders>
            <w:shd w:val="clear" w:color="auto" w:fill="FFFFFF"/>
            <w:vAlign w:val="center"/>
          </w:tcPr>
          <w:p w14:paraId="5E6B7A89" w14:textId="77777777" w:rsidR="00641261" w:rsidRDefault="00641261" w:rsidP="00AB3961">
            <w:pPr>
              <w:jc w:val="center"/>
              <w:rPr>
                <w:rFonts w:eastAsia="Times New Roman"/>
                <w:iCs/>
                <w:sz w:val="20"/>
                <w:szCs w:val="20"/>
              </w:rPr>
            </w:pPr>
            <w:r>
              <w:rPr>
                <w:rFonts w:eastAsia="Times New Roman"/>
                <w:iCs/>
                <w:sz w:val="20"/>
                <w:szCs w:val="20"/>
              </w:rPr>
              <w:t xml:space="preserve">Negative Affect: Fictional </w:t>
            </w:r>
          </w:p>
          <w:p w14:paraId="5C48C7FD" w14:textId="77777777" w:rsidR="00641261" w:rsidRPr="000F1904" w:rsidRDefault="00641261" w:rsidP="00AB3961">
            <w:pPr>
              <w:jc w:val="center"/>
              <w:rPr>
                <w:rFonts w:eastAsia="Times New Roman"/>
                <w:iCs/>
                <w:sz w:val="20"/>
                <w:szCs w:val="20"/>
              </w:rPr>
            </w:pPr>
            <w:r>
              <w:rPr>
                <w:rFonts w:eastAsia="Times New Roman"/>
                <w:iCs/>
                <w:sz w:val="20"/>
                <w:szCs w:val="20"/>
              </w:rPr>
              <w:t xml:space="preserve">Social Norm Violations </w:t>
            </w:r>
          </w:p>
        </w:tc>
        <w:tc>
          <w:tcPr>
            <w:tcW w:w="1620" w:type="dxa"/>
            <w:tcBorders>
              <w:top w:val="single" w:sz="4" w:space="0" w:color="000000"/>
              <w:bottom w:val="single" w:sz="4" w:space="0" w:color="000000"/>
            </w:tcBorders>
            <w:shd w:val="clear" w:color="auto" w:fill="FFFFFF"/>
            <w:vAlign w:val="center"/>
          </w:tcPr>
          <w:p w14:paraId="6F2D162A" w14:textId="77777777" w:rsidR="00641261" w:rsidRDefault="00641261" w:rsidP="00AB3961">
            <w:pPr>
              <w:jc w:val="center"/>
              <w:rPr>
                <w:rFonts w:eastAsia="Times New Roman"/>
                <w:iCs/>
                <w:sz w:val="20"/>
                <w:szCs w:val="20"/>
              </w:rPr>
            </w:pPr>
            <w:r>
              <w:rPr>
                <w:rFonts w:eastAsia="Times New Roman"/>
                <w:iCs/>
                <w:sz w:val="20"/>
                <w:szCs w:val="20"/>
              </w:rPr>
              <w:t>Negative Affect:</w:t>
            </w:r>
          </w:p>
          <w:p w14:paraId="2FB8409F" w14:textId="77777777" w:rsidR="00641261" w:rsidRPr="000F1904" w:rsidRDefault="00641261" w:rsidP="00AB3961">
            <w:pPr>
              <w:jc w:val="center"/>
              <w:rPr>
                <w:rFonts w:eastAsia="Times New Roman"/>
                <w:iCs/>
                <w:sz w:val="20"/>
                <w:szCs w:val="20"/>
              </w:rPr>
            </w:pPr>
            <w:r>
              <w:rPr>
                <w:rFonts w:eastAsia="Times New Roman"/>
                <w:iCs/>
                <w:sz w:val="20"/>
                <w:szCs w:val="20"/>
              </w:rPr>
              <w:t>Non-Fictional Social Norm Violations</w:t>
            </w:r>
          </w:p>
        </w:tc>
        <w:tc>
          <w:tcPr>
            <w:tcW w:w="1620" w:type="dxa"/>
            <w:tcBorders>
              <w:top w:val="single" w:sz="4" w:space="0" w:color="000000"/>
              <w:bottom w:val="single" w:sz="4" w:space="0" w:color="000000"/>
            </w:tcBorders>
            <w:shd w:val="clear" w:color="auto" w:fill="FFFFFF"/>
            <w:vAlign w:val="center"/>
          </w:tcPr>
          <w:p w14:paraId="4A93D4E0" w14:textId="77777777" w:rsidR="00641261" w:rsidRPr="000F1904" w:rsidRDefault="00641261" w:rsidP="00AB3961">
            <w:pPr>
              <w:ind w:left="-22"/>
              <w:jc w:val="center"/>
              <w:rPr>
                <w:rFonts w:eastAsia="Times New Roman"/>
                <w:iCs/>
                <w:sz w:val="20"/>
                <w:szCs w:val="20"/>
              </w:rPr>
            </w:pPr>
            <w:r>
              <w:rPr>
                <w:rFonts w:eastAsia="Times New Roman"/>
                <w:iCs/>
                <w:sz w:val="20"/>
                <w:szCs w:val="20"/>
              </w:rPr>
              <w:t>Negative Affect: Littering</w:t>
            </w:r>
          </w:p>
        </w:tc>
        <w:tc>
          <w:tcPr>
            <w:tcW w:w="1350" w:type="dxa"/>
            <w:tcBorders>
              <w:top w:val="single" w:sz="4" w:space="0" w:color="000000"/>
              <w:bottom w:val="single" w:sz="4" w:space="0" w:color="000000"/>
            </w:tcBorders>
            <w:shd w:val="clear" w:color="auto" w:fill="FFFFFF"/>
            <w:vAlign w:val="center"/>
          </w:tcPr>
          <w:p w14:paraId="245A694C" w14:textId="77777777" w:rsidR="00641261" w:rsidRPr="000F1904" w:rsidRDefault="00641261" w:rsidP="00AB3961">
            <w:pPr>
              <w:jc w:val="center"/>
              <w:rPr>
                <w:rFonts w:eastAsia="Times New Roman"/>
                <w:sz w:val="20"/>
                <w:szCs w:val="20"/>
              </w:rPr>
            </w:pPr>
            <w:r>
              <w:rPr>
                <w:rFonts w:eastAsia="Times New Roman"/>
                <w:sz w:val="20"/>
                <w:szCs w:val="20"/>
              </w:rPr>
              <w:t>Self-Reported Behavior: Following Social Norms</w:t>
            </w:r>
          </w:p>
        </w:tc>
        <w:tc>
          <w:tcPr>
            <w:tcW w:w="1350" w:type="dxa"/>
            <w:tcBorders>
              <w:top w:val="single" w:sz="4" w:space="0" w:color="000000"/>
              <w:bottom w:val="single" w:sz="4" w:space="0" w:color="000000"/>
            </w:tcBorders>
            <w:shd w:val="clear" w:color="auto" w:fill="FFFFFF"/>
            <w:vAlign w:val="center"/>
          </w:tcPr>
          <w:p w14:paraId="3B864CDF" w14:textId="77777777" w:rsidR="00641261" w:rsidRPr="000F1904" w:rsidRDefault="00641261" w:rsidP="00AB3961">
            <w:pPr>
              <w:jc w:val="center"/>
              <w:rPr>
                <w:rFonts w:eastAsia="Times New Roman"/>
                <w:sz w:val="20"/>
                <w:szCs w:val="20"/>
              </w:rPr>
            </w:pPr>
            <w:r>
              <w:rPr>
                <w:rFonts w:eastAsia="Times New Roman"/>
                <w:sz w:val="20"/>
                <w:szCs w:val="20"/>
              </w:rPr>
              <w:t>Self-Reported Behavior: Breaking Social Norms</w:t>
            </w:r>
          </w:p>
        </w:tc>
        <w:tc>
          <w:tcPr>
            <w:tcW w:w="1260" w:type="dxa"/>
            <w:tcBorders>
              <w:top w:val="single" w:sz="4" w:space="0" w:color="000000"/>
              <w:bottom w:val="single" w:sz="4" w:space="0" w:color="000000"/>
            </w:tcBorders>
            <w:shd w:val="clear" w:color="auto" w:fill="FFFFFF"/>
            <w:vAlign w:val="center"/>
          </w:tcPr>
          <w:p w14:paraId="2A3FCCB2" w14:textId="77777777" w:rsidR="00641261" w:rsidRPr="000F1904" w:rsidRDefault="00641261" w:rsidP="00AB3961">
            <w:pPr>
              <w:jc w:val="center"/>
              <w:rPr>
                <w:rFonts w:eastAsia="Times New Roman"/>
                <w:sz w:val="20"/>
                <w:szCs w:val="20"/>
              </w:rPr>
            </w:pPr>
            <w:r>
              <w:rPr>
                <w:rFonts w:eastAsia="Times New Roman"/>
                <w:sz w:val="20"/>
                <w:szCs w:val="20"/>
              </w:rPr>
              <w:t>Social Norm Espousal</w:t>
            </w:r>
          </w:p>
        </w:tc>
      </w:tr>
      <w:tr w:rsidR="00641261" w:rsidRPr="000F1904" w14:paraId="5A723C61" w14:textId="77777777" w:rsidTr="00AB3961">
        <w:trPr>
          <w:trHeight w:val="1061"/>
          <w:jc w:val="center"/>
        </w:trPr>
        <w:tc>
          <w:tcPr>
            <w:tcW w:w="2340" w:type="dxa"/>
            <w:tcBorders>
              <w:top w:val="single" w:sz="4" w:space="0" w:color="000000"/>
              <w:bottom w:val="nil"/>
            </w:tcBorders>
            <w:shd w:val="clear" w:color="auto" w:fill="auto"/>
            <w:vAlign w:val="center"/>
          </w:tcPr>
          <w:p w14:paraId="2197F923" w14:textId="77777777" w:rsidR="00641261" w:rsidRPr="000F1904" w:rsidRDefault="00641261" w:rsidP="00AB3961">
            <w:pPr>
              <w:jc w:val="center"/>
              <w:rPr>
                <w:rFonts w:eastAsia="Times New Roman"/>
                <w:b/>
                <w:sz w:val="6"/>
                <w:szCs w:val="6"/>
              </w:rPr>
            </w:pPr>
          </w:p>
          <w:p w14:paraId="5E3D8310" w14:textId="77777777" w:rsidR="00641261" w:rsidRPr="000F1904" w:rsidRDefault="00641261" w:rsidP="00AB3961">
            <w:pPr>
              <w:jc w:val="center"/>
              <w:rPr>
                <w:rFonts w:eastAsia="Times New Roman"/>
                <w:b/>
                <w:i/>
                <w:sz w:val="20"/>
                <w:szCs w:val="20"/>
              </w:rPr>
            </w:pPr>
            <w:r w:rsidRPr="005D79C1">
              <w:rPr>
                <w:rFonts w:eastAsia="Times New Roman"/>
                <w:b/>
                <w:sz w:val="20"/>
                <w:szCs w:val="20"/>
              </w:rPr>
              <w:t>Deviancy Aversion</w:t>
            </w:r>
          </w:p>
        </w:tc>
        <w:tc>
          <w:tcPr>
            <w:tcW w:w="1710" w:type="dxa"/>
            <w:tcBorders>
              <w:top w:val="single" w:sz="4" w:space="0" w:color="000000"/>
              <w:bottom w:val="nil"/>
              <w:right w:val="nil"/>
            </w:tcBorders>
            <w:vAlign w:val="center"/>
          </w:tcPr>
          <w:p w14:paraId="78D9E45C" w14:textId="6C03E2DA" w:rsidR="00641261" w:rsidRPr="005D79C1" w:rsidRDefault="00641261" w:rsidP="00AB3961">
            <w:pPr>
              <w:jc w:val="center"/>
              <w:rPr>
                <w:rFonts w:eastAsia="Times New Roman"/>
                <w:b/>
                <w:sz w:val="20"/>
                <w:szCs w:val="20"/>
              </w:rPr>
            </w:pPr>
            <w:r w:rsidRPr="000F1904">
              <w:rPr>
                <w:rFonts w:eastAsia="Times New Roman"/>
                <w:b/>
                <w:i/>
                <w:sz w:val="20"/>
                <w:szCs w:val="20"/>
              </w:rPr>
              <w:t xml:space="preserve">B </w:t>
            </w:r>
            <w:r w:rsidRPr="000F1904">
              <w:rPr>
                <w:rFonts w:eastAsia="Times New Roman"/>
                <w:b/>
                <w:sz w:val="20"/>
                <w:szCs w:val="20"/>
              </w:rPr>
              <w:t>= .</w:t>
            </w:r>
            <w:r w:rsidR="000279BB">
              <w:rPr>
                <w:rFonts w:eastAsia="Times New Roman"/>
                <w:b/>
                <w:sz w:val="20"/>
                <w:szCs w:val="20"/>
              </w:rPr>
              <w:t>601</w:t>
            </w:r>
          </w:p>
          <w:p w14:paraId="4A461310" w14:textId="77777777" w:rsidR="00641261" w:rsidRPr="000F1904" w:rsidRDefault="00641261" w:rsidP="00AB3961">
            <w:pPr>
              <w:jc w:val="center"/>
              <w:rPr>
                <w:rFonts w:eastAsia="Times New Roman"/>
                <w:b/>
                <w:sz w:val="20"/>
                <w:szCs w:val="20"/>
              </w:rPr>
            </w:pPr>
            <w:r w:rsidRPr="000F1904">
              <w:rPr>
                <w:rFonts w:eastAsia="Times New Roman"/>
                <w:b/>
                <w:i/>
                <w:sz w:val="20"/>
                <w:szCs w:val="20"/>
              </w:rPr>
              <w:t xml:space="preserve">p </w:t>
            </w:r>
            <w:r w:rsidRPr="005D79C1">
              <w:rPr>
                <w:rFonts w:eastAsia="Times New Roman"/>
                <w:b/>
                <w:sz w:val="20"/>
                <w:szCs w:val="20"/>
              </w:rPr>
              <w:t>&lt;</w:t>
            </w:r>
            <w:r w:rsidRPr="000F1904">
              <w:rPr>
                <w:rFonts w:eastAsia="Times New Roman"/>
                <w:b/>
                <w:sz w:val="20"/>
                <w:szCs w:val="20"/>
              </w:rPr>
              <w:t xml:space="preserve"> .001</w:t>
            </w:r>
          </w:p>
        </w:tc>
        <w:tc>
          <w:tcPr>
            <w:tcW w:w="1620" w:type="dxa"/>
            <w:tcBorders>
              <w:top w:val="single" w:sz="4" w:space="0" w:color="000000"/>
              <w:bottom w:val="nil"/>
              <w:right w:val="nil"/>
            </w:tcBorders>
            <w:vAlign w:val="center"/>
          </w:tcPr>
          <w:p w14:paraId="7D5619D6" w14:textId="610D5303" w:rsidR="00641261" w:rsidRPr="005D79C1" w:rsidRDefault="00641261" w:rsidP="00AB3961">
            <w:pPr>
              <w:jc w:val="center"/>
              <w:rPr>
                <w:rFonts w:eastAsia="Times New Roman"/>
                <w:b/>
                <w:sz w:val="20"/>
                <w:szCs w:val="20"/>
              </w:rPr>
            </w:pPr>
            <w:r w:rsidRPr="000F1904">
              <w:rPr>
                <w:rFonts w:eastAsia="Times New Roman"/>
                <w:b/>
                <w:i/>
                <w:sz w:val="20"/>
                <w:szCs w:val="20"/>
              </w:rPr>
              <w:t xml:space="preserve">B </w:t>
            </w:r>
            <w:r w:rsidRPr="000F1904">
              <w:rPr>
                <w:rFonts w:eastAsia="Times New Roman"/>
                <w:b/>
                <w:sz w:val="20"/>
                <w:szCs w:val="20"/>
              </w:rPr>
              <w:t>= .</w:t>
            </w:r>
            <w:r w:rsidR="00A754F6">
              <w:rPr>
                <w:rFonts w:eastAsia="Times New Roman"/>
                <w:b/>
                <w:sz w:val="20"/>
                <w:szCs w:val="20"/>
              </w:rPr>
              <w:t>437</w:t>
            </w:r>
          </w:p>
          <w:p w14:paraId="499275C4" w14:textId="77777777" w:rsidR="00641261" w:rsidRPr="000F1904" w:rsidRDefault="00641261" w:rsidP="00AB3961">
            <w:pPr>
              <w:jc w:val="center"/>
              <w:rPr>
                <w:rFonts w:eastAsia="Times New Roman"/>
                <w:b/>
                <w:i/>
                <w:sz w:val="20"/>
                <w:szCs w:val="20"/>
              </w:rPr>
            </w:pPr>
            <w:r w:rsidRPr="000F1904">
              <w:rPr>
                <w:rFonts w:eastAsia="Times New Roman"/>
                <w:b/>
                <w:i/>
                <w:sz w:val="20"/>
                <w:szCs w:val="20"/>
              </w:rPr>
              <w:t xml:space="preserve">p </w:t>
            </w:r>
            <w:r>
              <w:rPr>
                <w:rFonts w:eastAsia="Times New Roman"/>
                <w:b/>
                <w:sz w:val="20"/>
                <w:szCs w:val="20"/>
              </w:rPr>
              <w:t>&lt;</w:t>
            </w:r>
            <w:r w:rsidRPr="000F1904">
              <w:rPr>
                <w:rFonts w:eastAsia="Times New Roman"/>
                <w:b/>
                <w:sz w:val="20"/>
                <w:szCs w:val="20"/>
              </w:rPr>
              <w:t xml:space="preserve"> .001</w:t>
            </w:r>
          </w:p>
        </w:tc>
        <w:tc>
          <w:tcPr>
            <w:tcW w:w="1620" w:type="dxa"/>
            <w:tcBorders>
              <w:top w:val="single" w:sz="4" w:space="0" w:color="000000"/>
              <w:bottom w:val="nil"/>
              <w:right w:val="nil"/>
            </w:tcBorders>
            <w:vAlign w:val="center"/>
          </w:tcPr>
          <w:p w14:paraId="12BCC223" w14:textId="1CE24391" w:rsidR="00641261" w:rsidRPr="005D79C1" w:rsidRDefault="00641261" w:rsidP="00AB3961">
            <w:pPr>
              <w:jc w:val="center"/>
              <w:rPr>
                <w:rFonts w:eastAsia="Times New Roman"/>
                <w:b/>
                <w:sz w:val="20"/>
                <w:szCs w:val="20"/>
              </w:rPr>
            </w:pPr>
            <w:r w:rsidRPr="000F1904">
              <w:rPr>
                <w:rFonts w:eastAsia="Times New Roman"/>
                <w:b/>
                <w:i/>
                <w:sz w:val="20"/>
                <w:szCs w:val="20"/>
              </w:rPr>
              <w:t xml:space="preserve">B </w:t>
            </w:r>
            <w:r w:rsidRPr="000F1904">
              <w:rPr>
                <w:rFonts w:eastAsia="Times New Roman"/>
                <w:b/>
                <w:sz w:val="20"/>
                <w:szCs w:val="20"/>
              </w:rPr>
              <w:t>= .</w:t>
            </w:r>
            <w:r w:rsidR="00A754F6">
              <w:rPr>
                <w:rFonts w:eastAsia="Times New Roman"/>
                <w:b/>
                <w:sz w:val="20"/>
                <w:szCs w:val="20"/>
              </w:rPr>
              <w:t>299</w:t>
            </w:r>
          </w:p>
          <w:p w14:paraId="6C466AB3" w14:textId="77777777" w:rsidR="00641261" w:rsidRPr="000F1904" w:rsidRDefault="00641261" w:rsidP="00AB3961">
            <w:pPr>
              <w:jc w:val="center"/>
              <w:rPr>
                <w:rFonts w:eastAsia="Times New Roman"/>
                <w:b/>
                <w:sz w:val="20"/>
                <w:szCs w:val="20"/>
              </w:rPr>
            </w:pPr>
            <w:r w:rsidRPr="000F1904">
              <w:rPr>
                <w:rFonts w:eastAsia="Times New Roman"/>
                <w:b/>
                <w:i/>
                <w:sz w:val="20"/>
                <w:szCs w:val="20"/>
              </w:rPr>
              <w:t xml:space="preserve">p </w:t>
            </w:r>
            <w:r>
              <w:rPr>
                <w:rFonts w:eastAsia="Times New Roman"/>
                <w:b/>
                <w:sz w:val="20"/>
                <w:szCs w:val="20"/>
              </w:rPr>
              <w:t>&lt;</w:t>
            </w:r>
            <w:r w:rsidRPr="000F1904">
              <w:rPr>
                <w:rFonts w:eastAsia="Times New Roman"/>
                <w:b/>
                <w:sz w:val="20"/>
                <w:szCs w:val="20"/>
              </w:rPr>
              <w:t xml:space="preserve"> .001</w:t>
            </w:r>
          </w:p>
        </w:tc>
        <w:tc>
          <w:tcPr>
            <w:tcW w:w="1350" w:type="dxa"/>
            <w:tcBorders>
              <w:top w:val="single" w:sz="4" w:space="0" w:color="000000"/>
              <w:left w:val="nil"/>
              <w:bottom w:val="nil"/>
            </w:tcBorders>
            <w:shd w:val="clear" w:color="auto" w:fill="auto"/>
            <w:vAlign w:val="center"/>
          </w:tcPr>
          <w:p w14:paraId="64784BC9" w14:textId="51FB55BA" w:rsidR="00641261" w:rsidRPr="005D79C1" w:rsidRDefault="00641261" w:rsidP="00AB3961">
            <w:pPr>
              <w:jc w:val="center"/>
              <w:rPr>
                <w:rFonts w:eastAsia="Times New Roman"/>
                <w:b/>
                <w:sz w:val="20"/>
                <w:szCs w:val="20"/>
              </w:rPr>
            </w:pPr>
            <w:r w:rsidRPr="000F1904">
              <w:rPr>
                <w:rFonts w:eastAsia="Times New Roman"/>
                <w:b/>
                <w:i/>
                <w:sz w:val="20"/>
                <w:szCs w:val="20"/>
              </w:rPr>
              <w:t xml:space="preserve">B </w:t>
            </w:r>
            <w:r w:rsidRPr="000F1904">
              <w:rPr>
                <w:rFonts w:eastAsia="Times New Roman"/>
                <w:b/>
                <w:sz w:val="20"/>
                <w:szCs w:val="20"/>
              </w:rPr>
              <w:t>= .</w:t>
            </w:r>
            <w:r w:rsidR="00FF1FD8">
              <w:rPr>
                <w:rFonts w:eastAsia="Times New Roman"/>
                <w:b/>
                <w:sz w:val="20"/>
                <w:szCs w:val="20"/>
              </w:rPr>
              <w:t>414</w:t>
            </w:r>
          </w:p>
          <w:p w14:paraId="069BC8D9" w14:textId="77777777" w:rsidR="00641261" w:rsidRPr="005D79C1" w:rsidRDefault="00641261" w:rsidP="00AB3961">
            <w:pPr>
              <w:jc w:val="center"/>
              <w:rPr>
                <w:rFonts w:eastAsia="Times New Roman"/>
                <w:b/>
                <w:sz w:val="20"/>
                <w:szCs w:val="20"/>
              </w:rPr>
            </w:pPr>
            <w:r w:rsidRPr="000F1904">
              <w:rPr>
                <w:rFonts w:eastAsia="Times New Roman"/>
                <w:b/>
                <w:i/>
                <w:sz w:val="20"/>
                <w:szCs w:val="20"/>
              </w:rPr>
              <w:t xml:space="preserve">p </w:t>
            </w:r>
            <w:r>
              <w:rPr>
                <w:rFonts w:eastAsia="Times New Roman"/>
                <w:b/>
                <w:sz w:val="20"/>
                <w:szCs w:val="20"/>
              </w:rPr>
              <w:t>&lt;</w:t>
            </w:r>
            <w:r w:rsidRPr="000F1904">
              <w:rPr>
                <w:rFonts w:eastAsia="Times New Roman"/>
                <w:b/>
                <w:sz w:val="20"/>
                <w:szCs w:val="20"/>
              </w:rPr>
              <w:t xml:space="preserve"> .001</w:t>
            </w:r>
          </w:p>
        </w:tc>
        <w:tc>
          <w:tcPr>
            <w:tcW w:w="1350" w:type="dxa"/>
            <w:tcBorders>
              <w:top w:val="single" w:sz="4" w:space="0" w:color="000000"/>
              <w:left w:val="nil"/>
              <w:bottom w:val="nil"/>
            </w:tcBorders>
            <w:shd w:val="clear" w:color="auto" w:fill="auto"/>
            <w:vAlign w:val="center"/>
          </w:tcPr>
          <w:p w14:paraId="2174EE19" w14:textId="7D52E5A3" w:rsidR="00641261" w:rsidRPr="005D79C1" w:rsidRDefault="00641261" w:rsidP="00AB3961">
            <w:pPr>
              <w:jc w:val="center"/>
              <w:rPr>
                <w:rFonts w:eastAsia="Times New Roman"/>
                <w:b/>
                <w:sz w:val="20"/>
                <w:szCs w:val="20"/>
              </w:rPr>
            </w:pPr>
            <w:r w:rsidRPr="000F1904">
              <w:rPr>
                <w:rFonts w:eastAsia="Times New Roman"/>
                <w:b/>
                <w:i/>
                <w:sz w:val="20"/>
                <w:szCs w:val="20"/>
              </w:rPr>
              <w:t xml:space="preserve">B </w:t>
            </w:r>
            <w:r w:rsidRPr="000F1904">
              <w:rPr>
                <w:rFonts w:eastAsia="Times New Roman"/>
                <w:b/>
                <w:sz w:val="20"/>
                <w:szCs w:val="20"/>
              </w:rPr>
              <w:t>= -.</w:t>
            </w:r>
            <w:r w:rsidR="00FF1FD8">
              <w:rPr>
                <w:rFonts w:eastAsia="Times New Roman"/>
                <w:b/>
                <w:sz w:val="20"/>
                <w:szCs w:val="20"/>
              </w:rPr>
              <w:t>260</w:t>
            </w:r>
          </w:p>
          <w:p w14:paraId="0CC019C9" w14:textId="7FB785A1" w:rsidR="00641261" w:rsidRPr="005D79C1" w:rsidRDefault="00641261" w:rsidP="00AB3961">
            <w:pPr>
              <w:jc w:val="center"/>
              <w:rPr>
                <w:rFonts w:eastAsia="Times New Roman"/>
                <w:b/>
                <w:sz w:val="20"/>
                <w:szCs w:val="20"/>
              </w:rPr>
            </w:pPr>
            <w:r w:rsidRPr="000F1904">
              <w:rPr>
                <w:rFonts w:eastAsia="Times New Roman"/>
                <w:b/>
                <w:i/>
                <w:sz w:val="20"/>
                <w:szCs w:val="20"/>
              </w:rPr>
              <w:t xml:space="preserve">p </w:t>
            </w:r>
            <w:r w:rsidR="00FF1FD8">
              <w:rPr>
                <w:rFonts w:eastAsia="Times New Roman"/>
                <w:b/>
                <w:sz w:val="20"/>
                <w:szCs w:val="20"/>
              </w:rPr>
              <w:t>&lt;</w:t>
            </w:r>
            <w:r w:rsidRPr="000F1904">
              <w:rPr>
                <w:rFonts w:eastAsia="Times New Roman"/>
                <w:b/>
                <w:sz w:val="20"/>
                <w:szCs w:val="20"/>
              </w:rPr>
              <w:t xml:space="preserve"> .001</w:t>
            </w:r>
          </w:p>
        </w:tc>
        <w:tc>
          <w:tcPr>
            <w:tcW w:w="1260" w:type="dxa"/>
            <w:tcBorders>
              <w:top w:val="single" w:sz="4" w:space="0" w:color="000000"/>
              <w:left w:val="nil"/>
              <w:bottom w:val="nil"/>
            </w:tcBorders>
            <w:shd w:val="clear" w:color="auto" w:fill="auto"/>
            <w:vAlign w:val="center"/>
          </w:tcPr>
          <w:p w14:paraId="40A9FA74" w14:textId="1203BAA9" w:rsidR="00641261" w:rsidRPr="005D79C1" w:rsidRDefault="00641261" w:rsidP="00AB3961">
            <w:pPr>
              <w:jc w:val="center"/>
              <w:rPr>
                <w:rFonts w:eastAsia="Times New Roman"/>
                <w:b/>
                <w:sz w:val="20"/>
                <w:szCs w:val="20"/>
              </w:rPr>
            </w:pPr>
            <w:r w:rsidRPr="000F1904">
              <w:rPr>
                <w:rFonts w:eastAsia="Times New Roman"/>
                <w:b/>
                <w:i/>
                <w:sz w:val="20"/>
                <w:szCs w:val="20"/>
              </w:rPr>
              <w:t xml:space="preserve">B </w:t>
            </w:r>
            <w:r w:rsidRPr="000F1904">
              <w:rPr>
                <w:rFonts w:eastAsia="Times New Roman"/>
                <w:b/>
                <w:sz w:val="20"/>
                <w:szCs w:val="20"/>
              </w:rPr>
              <w:t>= .</w:t>
            </w:r>
            <w:r w:rsidR="00FF1FD8">
              <w:rPr>
                <w:rFonts w:eastAsia="Times New Roman"/>
                <w:b/>
                <w:sz w:val="20"/>
                <w:szCs w:val="20"/>
              </w:rPr>
              <w:t>222</w:t>
            </w:r>
          </w:p>
          <w:p w14:paraId="397BB8ED" w14:textId="0215D8BE" w:rsidR="00641261" w:rsidRPr="000F1904" w:rsidRDefault="00641261" w:rsidP="00AB3961">
            <w:pPr>
              <w:jc w:val="center"/>
              <w:rPr>
                <w:rFonts w:eastAsia="Times New Roman"/>
                <w:b/>
                <w:sz w:val="20"/>
                <w:szCs w:val="20"/>
              </w:rPr>
            </w:pPr>
            <w:r w:rsidRPr="000F1904">
              <w:rPr>
                <w:rFonts w:eastAsia="Times New Roman"/>
                <w:b/>
                <w:i/>
                <w:sz w:val="20"/>
                <w:szCs w:val="20"/>
              </w:rPr>
              <w:t xml:space="preserve">p </w:t>
            </w:r>
            <w:r w:rsidR="00FF1FD8">
              <w:rPr>
                <w:rFonts w:eastAsia="Times New Roman"/>
                <w:b/>
                <w:sz w:val="20"/>
                <w:szCs w:val="20"/>
              </w:rPr>
              <w:t>&lt;</w:t>
            </w:r>
            <w:r w:rsidRPr="000F1904">
              <w:rPr>
                <w:rFonts w:eastAsia="Times New Roman"/>
                <w:b/>
                <w:sz w:val="20"/>
                <w:szCs w:val="20"/>
              </w:rPr>
              <w:t xml:space="preserve"> .0</w:t>
            </w:r>
            <w:r w:rsidR="00FF1FD8">
              <w:rPr>
                <w:rFonts w:eastAsia="Times New Roman"/>
                <w:b/>
                <w:sz w:val="20"/>
                <w:szCs w:val="20"/>
              </w:rPr>
              <w:t>01</w:t>
            </w:r>
          </w:p>
        </w:tc>
      </w:tr>
    </w:tbl>
    <w:p w14:paraId="765CAEC0" w14:textId="77777777" w:rsidR="00641261" w:rsidRDefault="00641261" w:rsidP="00641261">
      <w:pPr>
        <w:rPr>
          <w:rFonts w:eastAsia="Times New Roman"/>
          <w:i/>
          <w:sz w:val="20"/>
          <w:szCs w:val="20"/>
        </w:rPr>
      </w:pPr>
    </w:p>
    <w:p w14:paraId="5CA8E53F" w14:textId="2B4C14A7" w:rsidR="00641261" w:rsidRPr="00A9762B" w:rsidRDefault="00641261" w:rsidP="00641261">
      <w:pPr>
        <w:rPr>
          <w:iCs/>
          <w:lang w:eastAsia="zh-CN"/>
        </w:rPr>
      </w:pPr>
      <w:r w:rsidRPr="000F1904">
        <w:rPr>
          <w:rFonts w:eastAsia="Times New Roman"/>
          <w:i/>
          <w:sz w:val="20"/>
          <w:szCs w:val="20"/>
        </w:rPr>
        <w:t>Note</w:t>
      </w:r>
      <w:r w:rsidRPr="000F1904">
        <w:rPr>
          <w:rFonts w:eastAsia="Times New Roman"/>
          <w:sz w:val="20"/>
          <w:szCs w:val="20"/>
        </w:rPr>
        <w:t xml:space="preserve">. </w:t>
      </w:r>
      <w:r w:rsidRPr="000F1904">
        <w:rPr>
          <w:rFonts w:eastAsia="Times New Roman"/>
          <w:i/>
          <w:sz w:val="20"/>
          <w:szCs w:val="20"/>
        </w:rPr>
        <w:t xml:space="preserve">B </w:t>
      </w:r>
      <w:r>
        <w:rPr>
          <w:rFonts w:eastAsia="Times New Roman"/>
          <w:sz w:val="20"/>
          <w:szCs w:val="20"/>
        </w:rPr>
        <w:t xml:space="preserve">= Unstandardized coefficient. </w:t>
      </w:r>
    </w:p>
    <w:p w14:paraId="79E7B360" w14:textId="77777777" w:rsidR="002C2AC6" w:rsidRPr="000C26DB" w:rsidRDefault="002C2AC6" w:rsidP="002C2AC6">
      <w:pPr>
        <w:pStyle w:val="NoSpacing"/>
        <w:spacing w:line="480" w:lineRule="auto"/>
        <w:jc w:val="both"/>
        <w:rPr>
          <w:bCs/>
        </w:rPr>
      </w:pPr>
    </w:p>
    <w:p w14:paraId="0211CDC3" w14:textId="41D51D21" w:rsidR="00CE2C9A" w:rsidRDefault="00CE2C9A" w:rsidP="00CE2C9A">
      <w:pPr>
        <w:pStyle w:val="NoSpacing"/>
        <w:spacing w:line="480" w:lineRule="auto"/>
        <w:jc w:val="center"/>
        <w:rPr>
          <w:b/>
        </w:rPr>
      </w:pPr>
      <w:r w:rsidRPr="00CE2C9A">
        <w:rPr>
          <w:b/>
        </w:rPr>
        <w:t>Study 2</w:t>
      </w:r>
    </w:p>
    <w:p w14:paraId="27CB5428" w14:textId="442A2508" w:rsidR="00CE2C9A" w:rsidRDefault="003261F1" w:rsidP="00801707">
      <w:pPr>
        <w:pStyle w:val="NoSpacing"/>
        <w:spacing w:line="480" w:lineRule="auto"/>
        <w:jc w:val="both"/>
      </w:pPr>
      <w:r>
        <w:rPr>
          <w:b/>
        </w:rPr>
        <w:t xml:space="preserve">Deviations From </w:t>
      </w:r>
      <w:r w:rsidR="00CF2723">
        <w:rPr>
          <w:b/>
        </w:rPr>
        <w:t xml:space="preserve">Pre-Registration </w:t>
      </w:r>
    </w:p>
    <w:p w14:paraId="56B5CEBD" w14:textId="69EFE8A4" w:rsidR="00CF2723" w:rsidRDefault="00CF2723" w:rsidP="00801707">
      <w:pPr>
        <w:pStyle w:val="NoSpacing"/>
        <w:spacing w:line="480" w:lineRule="auto"/>
        <w:jc w:val="both"/>
      </w:pPr>
      <w:r>
        <w:tab/>
        <w:t>There were several deviations from the pre-registration of Study 2. These are listed below</w:t>
      </w:r>
      <w:r w:rsidR="00E22BC9">
        <w:t>:</w:t>
      </w:r>
    </w:p>
    <w:p w14:paraId="11D8AE40" w14:textId="746F46C8" w:rsidR="00CF2723" w:rsidRDefault="004C6242" w:rsidP="00801707">
      <w:pPr>
        <w:pStyle w:val="NoSpacing"/>
        <w:numPr>
          <w:ilvl w:val="0"/>
          <w:numId w:val="3"/>
        </w:numPr>
        <w:spacing w:line="480" w:lineRule="auto"/>
        <w:jc w:val="both"/>
      </w:pPr>
      <w:r>
        <w:t xml:space="preserve">Political orientation was listed as a control variable in the pre-registration. Unfortunately, due to experimenter, we failed to assess political orientation. </w:t>
      </w:r>
      <w:r w:rsidR="00AC2505">
        <w:t xml:space="preserve">The results, however, are unlikely to have changed given that deviancy aversion predicted norm adherence when controlling for political orientation in the other reported studies. </w:t>
      </w:r>
    </w:p>
    <w:p w14:paraId="66F6FF8A" w14:textId="77777777" w:rsidR="00AE37D1" w:rsidRDefault="00A248FA" w:rsidP="00801707">
      <w:pPr>
        <w:pStyle w:val="NoSpacing"/>
        <w:numPr>
          <w:ilvl w:val="0"/>
          <w:numId w:val="3"/>
        </w:numPr>
        <w:spacing w:line="480" w:lineRule="auto"/>
        <w:jc w:val="both"/>
      </w:pPr>
      <w:r>
        <w:t xml:space="preserve">We forgot to list aversion towards unbroken patterns as a control variable on the pre-registration. </w:t>
      </w:r>
      <w:r w:rsidR="00AE37D1">
        <w:t xml:space="preserve">The results remained consistent when not controlling for aversion towards unbroken patterns, </w:t>
      </w:r>
      <w:r w:rsidR="00AE37D1">
        <w:rPr>
          <w:i/>
        </w:rPr>
        <w:t xml:space="preserve">p </w:t>
      </w:r>
      <w:r w:rsidR="00AE37D1">
        <w:t xml:space="preserve">= .015. We chose to include the control to be consistent with the other reported studies. </w:t>
      </w:r>
    </w:p>
    <w:p w14:paraId="6BFB5C24" w14:textId="39354D0F" w:rsidR="00AC2505" w:rsidRDefault="003C3F93" w:rsidP="00801707">
      <w:pPr>
        <w:pStyle w:val="NoSpacing"/>
        <w:numPr>
          <w:ilvl w:val="0"/>
          <w:numId w:val="3"/>
        </w:numPr>
        <w:spacing w:line="480" w:lineRule="auto"/>
        <w:jc w:val="both"/>
      </w:pPr>
      <w:r>
        <w:t xml:space="preserve">We did not pre-register that we would exclude extreme outliers on the conformity task. </w:t>
      </w:r>
      <w:r w:rsidR="000C342B">
        <w:t>This was necessary</w:t>
      </w:r>
      <w:r w:rsidR="0037497D">
        <w:t xml:space="preserve">, however, </w:t>
      </w:r>
      <w:r w:rsidR="000C342B">
        <w:t>given that four participants respond</w:t>
      </w:r>
      <w:r w:rsidR="0037497D">
        <w:t>ed</w:t>
      </w:r>
      <w:r w:rsidR="000C342B">
        <w:t xml:space="preserve"> </w:t>
      </w:r>
      <w:r w:rsidR="008A5A62">
        <w:t xml:space="preserve">in such a manner </w:t>
      </w:r>
      <w:r w:rsidR="000C342B">
        <w:t>(e.g., the Eiffel Tower is “</w:t>
      </w:r>
      <w:r w:rsidR="000C342B" w:rsidRPr="00725B36">
        <w:t>600000000</w:t>
      </w:r>
      <w:r w:rsidR="000C342B">
        <w:t>” feet tall)</w:t>
      </w:r>
      <w:r w:rsidR="008A5A62">
        <w:t xml:space="preserve"> that their conformity values skewed the distribution to an extreme extent</w:t>
      </w:r>
      <w:r w:rsidR="00821BAD">
        <w:t xml:space="preserve"> (see Figure S1)</w:t>
      </w:r>
      <w:r w:rsidR="000C342B">
        <w:t>.</w:t>
      </w:r>
    </w:p>
    <w:p w14:paraId="39C5D20C" w14:textId="73C0EE7F" w:rsidR="00821BAD" w:rsidRPr="00821BAD" w:rsidRDefault="00821BAD" w:rsidP="00821BAD">
      <w:pPr>
        <w:autoSpaceDE w:val="0"/>
        <w:autoSpaceDN w:val="0"/>
        <w:adjustRightInd w:val="0"/>
        <w:ind w:left="360"/>
        <w:rPr>
          <w:rFonts w:eastAsiaTheme="minorHAnsi"/>
        </w:rPr>
      </w:pPr>
      <w:r>
        <w:rPr>
          <w:rFonts w:eastAsiaTheme="minorHAnsi"/>
          <w:noProof/>
        </w:rPr>
        <w:lastRenderedPageBreak/>
        <w:drawing>
          <wp:inline distT="0" distB="0" distL="0" distR="0" wp14:anchorId="39702D1C" wp14:editId="0600B2B8">
            <wp:extent cx="5943600" cy="3495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14:paraId="3A11254B" w14:textId="477834B3" w:rsidR="00821BAD" w:rsidRDefault="00821BAD" w:rsidP="00821BAD">
      <w:pPr>
        <w:rPr>
          <w:rFonts w:eastAsia="Times New Roman"/>
          <w:b/>
        </w:rPr>
      </w:pPr>
      <w:r w:rsidRPr="003C54E6">
        <w:rPr>
          <w:rFonts w:eastAsia="Times New Roman"/>
          <w:i/>
          <w:lang w:eastAsia="zh-CN"/>
        </w:rPr>
        <w:t xml:space="preserve">Figure </w:t>
      </w:r>
      <w:r>
        <w:rPr>
          <w:rFonts w:eastAsia="Times New Roman"/>
          <w:i/>
          <w:lang w:eastAsia="zh-CN"/>
        </w:rPr>
        <w:t>S1</w:t>
      </w:r>
      <w:r w:rsidRPr="003C54E6">
        <w:rPr>
          <w:rFonts w:eastAsia="Times New Roman"/>
          <w:i/>
          <w:lang w:eastAsia="zh-CN"/>
        </w:rPr>
        <w:t xml:space="preserve">. </w:t>
      </w:r>
      <w:r w:rsidR="00221432">
        <w:rPr>
          <w:iCs/>
        </w:rPr>
        <w:t>Graphical representation of the</w:t>
      </w:r>
      <w:r>
        <w:rPr>
          <w:iCs/>
        </w:rPr>
        <w:t xml:space="preserve"> extreme outliers</w:t>
      </w:r>
      <w:r w:rsidR="00F474E2">
        <w:rPr>
          <w:iCs/>
        </w:rPr>
        <w:t xml:space="preserve"> in Study 2</w:t>
      </w:r>
      <w:r w:rsidRPr="00507E42">
        <w:t>.</w:t>
      </w:r>
      <w:r>
        <w:t xml:space="preserve"> </w:t>
      </w:r>
    </w:p>
    <w:p w14:paraId="4CDA095F" w14:textId="77777777" w:rsidR="00821BAD" w:rsidRDefault="00821BAD" w:rsidP="00821BAD">
      <w:pPr>
        <w:pStyle w:val="NoSpacing"/>
        <w:spacing w:line="480" w:lineRule="auto"/>
      </w:pPr>
    </w:p>
    <w:p w14:paraId="27F6AD22" w14:textId="5ACCC54A" w:rsidR="00430644" w:rsidRDefault="008C7C7F" w:rsidP="00430644">
      <w:pPr>
        <w:pStyle w:val="NoSpacing"/>
        <w:numPr>
          <w:ilvl w:val="0"/>
          <w:numId w:val="3"/>
        </w:numPr>
        <w:spacing w:line="480" w:lineRule="auto"/>
        <w:jc w:val="both"/>
      </w:pPr>
      <w:r>
        <w:t xml:space="preserve">We also planned to examine conformity assessed via the absolute difference between participants’ responses after receiving feedback and the average of this feedback (others’ responses). When calculating these difference scores, however, we found almost no reliability between the three estimation tasks. That is, the measure exhibited little to no internal </w:t>
      </w:r>
      <w:r w:rsidRPr="006E372D">
        <w:t>reliability</w:t>
      </w:r>
      <w:r w:rsidR="00B47001" w:rsidRPr="006E372D">
        <w:t xml:space="preserve">, </w:t>
      </w:r>
      <w:r w:rsidR="00925980" w:rsidRPr="006E372D">
        <w:rPr>
          <w:i/>
        </w:rPr>
        <w:t>ω</w:t>
      </w:r>
      <w:r w:rsidR="00925980" w:rsidRPr="006E372D">
        <w:t xml:space="preserve"> = .</w:t>
      </w:r>
      <w:r w:rsidR="006E372D" w:rsidRPr="006E372D">
        <w:t>39</w:t>
      </w:r>
      <w:r w:rsidRPr="006E372D">
        <w:t xml:space="preserve">. As </w:t>
      </w:r>
      <w:r>
        <w:t xml:space="preserve">such, these analyses were </w:t>
      </w:r>
      <w:r w:rsidR="00B47001">
        <w:t>abandoned</w:t>
      </w:r>
      <w:r>
        <w:t xml:space="preserve">. </w:t>
      </w:r>
    </w:p>
    <w:p w14:paraId="11287972" w14:textId="1C10287B" w:rsidR="00CE76C7" w:rsidRDefault="00CE76C7" w:rsidP="00430644">
      <w:pPr>
        <w:pStyle w:val="NoSpacing"/>
        <w:spacing w:line="480" w:lineRule="auto"/>
        <w:jc w:val="both"/>
        <w:rPr>
          <w:b/>
        </w:rPr>
      </w:pPr>
      <w:r>
        <w:rPr>
          <w:b/>
        </w:rPr>
        <w:t>Supplemental Methods</w:t>
      </w:r>
    </w:p>
    <w:p w14:paraId="32EDB912" w14:textId="0FB69D12" w:rsidR="00CE76C7" w:rsidRPr="00140C67" w:rsidRDefault="00CE76C7" w:rsidP="00140C67">
      <w:pPr>
        <w:spacing w:line="480" w:lineRule="auto"/>
        <w:ind w:firstLine="720"/>
        <w:jc w:val="both"/>
        <w:rPr>
          <w:rFonts w:eastAsia="Times New Roman"/>
          <w:lang w:eastAsia="zh-CN"/>
        </w:rPr>
      </w:pPr>
      <w:r w:rsidRPr="002D430E">
        <w:rPr>
          <w:rFonts w:eastAsia="Times New Roman"/>
          <w:b/>
          <w:iCs/>
          <w:lang w:eastAsia="zh-CN"/>
        </w:rPr>
        <w:t xml:space="preserve">Negative Affect: </w:t>
      </w:r>
      <w:r>
        <w:rPr>
          <w:rFonts w:eastAsia="Times New Roman"/>
          <w:b/>
          <w:iCs/>
          <w:lang w:eastAsia="zh-CN"/>
        </w:rPr>
        <w:t>Non-Fictional</w:t>
      </w:r>
      <w:r w:rsidRPr="002D430E">
        <w:rPr>
          <w:rFonts w:eastAsia="Times New Roman"/>
          <w:b/>
          <w:iCs/>
          <w:lang w:eastAsia="zh-CN"/>
        </w:rPr>
        <w:t xml:space="preserve"> Norm Violations.</w:t>
      </w:r>
      <w:r>
        <w:rPr>
          <w:rFonts w:eastAsia="Times New Roman"/>
          <w:b/>
          <w:lang w:eastAsia="zh-CN"/>
        </w:rPr>
        <w:t xml:space="preserve"> </w:t>
      </w:r>
      <w:r>
        <w:rPr>
          <w:rFonts w:eastAsia="Times New Roman"/>
          <w:bCs/>
          <w:lang w:eastAsia="zh-CN"/>
        </w:rPr>
        <w:t>We also assessed participants’ negative affect in response to non-fictional norm violations. The measure of Study 1 was adapted</w:t>
      </w:r>
      <w:r>
        <w:rPr>
          <w:rFonts w:eastAsia="Times New Roman"/>
          <w:lang w:eastAsia="zh-CN"/>
        </w:rPr>
        <w:t xml:space="preserve"> to include positive response-items: Two response-items per vignette:</w:t>
      </w:r>
      <w:r w:rsidRPr="003C54E6">
        <w:rPr>
          <w:rFonts w:eastAsia="Times New Roman"/>
          <w:lang w:eastAsia="zh-CN"/>
        </w:rPr>
        <w:t xml:space="preserve"> “Negative</w:t>
      </w:r>
      <w:r>
        <w:rPr>
          <w:rFonts w:eastAsia="Times New Roman"/>
          <w:lang w:eastAsia="zh-CN"/>
        </w:rPr>
        <w:t>,</w:t>
      </w:r>
      <w:r w:rsidRPr="003C54E6">
        <w:rPr>
          <w:rFonts w:eastAsia="Times New Roman"/>
          <w:lang w:eastAsia="zh-CN"/>
        </w:rPr>
        <w:t>”</w:t>
      </w:r>
      <w:r>
        <w:rPr>
          <w:rFonts w:eastAsia="Times New Roman"/>
          <w:lang w:eastAsia="zh-CN"/>
        </w:rPr>
        <w:t xml:space="preserve"> and “Positive.”</w:t>
      </w:r>
      <w:r w:rsidRPr="003C54E6">
        <w:rPr>
          <w:rFonts w:eastAsia="Times New Roman"/>
          <w:lang w:eastAsia="zh-CN"/>
        </w:rPr>
        <w:t xml:space="preserve"> </w:t>
      </w:r>
      <w:r w:rsidRPr="003C54E6">
        <w:rPr>
          <w:lang w:eastAsia="zh-CN"/>
        </w:rPr>
        <w:t xml:space="preserve">1 = </w:t>
      </w:r>
      <w:r w:rsidRPr="003C54E6">
        <w:rPr>
          <w:i/>
          <w:lang w:eastAsia="zh-CN"/>
        </w:rPr>
        <w:t>Strongly Disagree</w:t>
      </w:r>
      <w:r w:rsidRPr="003C54E6">
        <w:rPr>
          <w:lang w:eastAsia="zh-CN"/>
        </w:rPr>
        <w:t xml:space="preserve"> to 7 = </w:t>
      </w:r>
      <w:r w:rsidRPr="003C54E6">
        <w:rPr>
          <w:i/>
          <w:lang w:eastAsia="zh-CN"/>
        </w:rPr>
        <w:t>Strongly Agree</w:t>
      </w:r>
      <w:r w:rsidRPr="003C54E6">
        <w:rPr>
          <w:lang w:eastAsia="zh-CN"/>
        </w:rPr>
        <w:t>.</w:t>
      </w:r>
      <w:r>
        <w:rPr>
          <w:lang w:eastAsia="zh-CN"/>
        </w:rPr>
        <w:t xml:space="preserve"> The positive item was reverse-coded.</w:t>
      </w:r>
      <w:r w:rsidRPr="003C54E6">
        <w:rPr>
          <w:rFonts w:eastAsia="Times New Roman"/>
          <w:lang w:eastAsia="zh-CN"/>
        </w:rPr>
        <w:t xml:space="preserve"> </w:t>
      </w:r>
    </w:p>
    <w:p w14:paraId="2BE068FE" w14:textId="1CB1444B" w:rsidR="00430644" w:rsidRDefault="003F43F1" w:rsidP="00430644">
      <w:pPr>
        <w:pStyle w:val="NoSpacing"/>
        <w:spacing w:line="480" w:lineRule="auto"/>
        <w:jc w:val="both"/>
        <w:rPr>
          <w:b/>
        </w:rPr>
      </w:pPr>
      <w:r>
        <w:rPr>
          <w:b/>
        </w:rPr>
        <w:t xml:space="preserve">Supplemental </w:t>
      </w:r>
      <w:r w:rsidR="00FB370A">
        <w:rPr>
          <w:b/>
        </w:rPr>
        <w:t>Results</w:t>
      </w:r>
    </w:p>
    <w:p w14:paraId="27F01865" w14:textId="7B3796FD" w:rsidR="00381B50" w:rsidRDefault="002D45F5" w:rsidP="00430644">
      <w:pPr>
        <w:pStyle w:val="NoSpacing"/>
        <w:spacing w:line="480" w:lineRule="auto"/>
        <w:jc w:val="both"/>
        <w:rPr>
          <w:bCs/>
        </w:rPr>
      </w:pPr>
      <w:r>
        <w:rPr>
          <w:b/>
        </w:rPr>
        <w:tab/>
        <w:t xml:space="preserve">Raw Correlation. </w:t>
      </w:r>
      <w:r>
        <w:rPr>
          <w:bCs/>
        </w:rPr>
        <w:t xml:space="preserve">The raw </w:t>
      </w:r>
      <w:r w:rsidR="008847B5">
        <w:rPr>
          <w:bCs/>
        </w:rPr>
        <w:t>link</w:t>
      </w:r>
      <w:r>
        <w:rPr>
          <w:bCs/>
        </w:rPr>
        <w:t xml:space="preserve"> of Study 2 can be found below (Table S</w:t>
      </w:r>
      <w:r w:rsidR="00A65204">
        <w:rPr>
          <w:bCs/>
        </w:rPr>
        <w:t>2</w:t>
      </w:r>
      <w:r>
        <w:rPr>
          <w:bCs/>
        </w:rPr>
        <w:t>).</w:t>
      </w:r>
    </w:p>
    <w:p w14:paraId="136363E7" w14:textId="3BB5090B" w:rsidR="001E5F6C" w:rsidRPr="000F1904" w:rsidRDefault="001E5F6C" w:rsidP="001E5F6C">
      <w:pPr>
        <w:rPr>
          <w:rFonts w:eastAsia="Times New Roman"/>
          <w:b/>
        </w:rPr>
      </w:pPr>
      <w:r w:rsidRPr="000F1904">
        <w:rPr>
          <w:rFonts w:eastAsia="Times New Roman"/>
          <w:b/>
        </w:rPr>
        <w:lastRenderedPageBreak/>
        <w:t xml:space="preserve">Table </w:t>
      </w:r>
      <w:r>
        <w:rPr>
          <w:rFonts w:eastAsia="Times New Roman"/>
          <w:b/>
        </w:rPr>
        <w:t>S</w:t>
      </w:r>
      <w:r w:rsidR="00A65204">
        <w:rPr>
          <w:rFonts w:eastAsia="Times New Roman"/>
          <w:b/>
        </w:rPr>
        <w:t>2</w:t>
      </w:r>
    </w:p>
    <w:p w14:paraId="66FC5880" w14:textId="3BAB458C" w:rsidR="001E5F6C" w:rsidRPr="000F1904" w:rsidRDefault="001E5F6C" w:rsidP="001E5F6C">
      <w:pPr>
        <w:rPr>
          <w:rFonts w:eastAsia="Times New Roman"/>
          <w:i/>
        </w:rPr>
      </w:pPr>
      <w:r w:rsidRPr="000F1904">
        <w:rPr>
          <w:rFonts w:eastAsia="Times New Roman"/>
          <w:i/>
        </w:rPr>
        <w:t xml:space="preserve">Output of </w:t>
      </w:r>
      <w:r>
        <w:rPr>
          <w:rFonts w:eastAsia="Times New Roman"/>
          <w:i/>
        </w:rPr>
        <w:t>Linear Regression</w:t>
      </w:r>
      <w:r w:rsidR="00C366C8">
        <w:rPr>
          <w:rFonts w:eastAsia="Times New Roman"/>
          <w:i/>
        </w:rPr>
        <w:t xml:space="preserve"> (Raw Link)</w:t>
      </w:r>
      <w:r>
        <w:rPr>
          <w:rFonts w:eastAsia="Times New Roman"/>
          <w:i/>
        </w:rPr>
        <w:t>. Deviancy Aversion Predicted Greater Conformity.</w:t>
      </w:r>
      <w:r w:rsidRPr="000F1904">
        <w:rPr>
          <w:rFonts w:eastAsia="Times New Roman"/>
          <w:i/>
        </w:rPr>
        <w:t xml:space="preserve">   </w:t>
      </w:r>
      <w:r w:rsidRPr="000F1904">
        <w:rPr>
          <w:rFonts w:eastAsia="Times New Roman"/>
        </w:rPr>
        <w:t xml:space="preserve">   </w:t>
      </w:r>
    </w:p>
    <w:p w14:paraId="79DC208E" w14:textId="77777777" w:rsidR="001E5F6C" w:rsidRPr="000F1904" w:rsidRDefault="001E5F6C" w:rsidP="001E5F6C">
      <w:pPr>
        <w:tabs>
          <w:tab w:val="left" w:pos="2548"/>
        </w:tabs>
        <w:rPr>
          <w:rFonts w:eastAsia="Times New Roman"/>
          <w:i/>
        </w:rPr>
      </w:pPr>
    </w:p>
    <w:tbl>
      <w:tblPr>
        <w:tblW w:w="5565" w:type="dxa"/>
        <w:tblLayout w:type="fixed"/>
        <w:tblLook w:val="0400" w:firstRow="0" w:lastRow="0" w:firstColumn="0" w:lastColumn="0" w:noHBand="0" w:noVBand="1"/>
      </w:tblPr>
      <w:tblGrid>
        <w:gridCol w:w="1965"/>
        <w:gridCol w:w="3600"/>
      </w:tblGrid>
      <w:tr w:rsidR="001E5F6C" w:rsidRPr="000F1904" w14:paraId="219D5765" w14:textId="77777777" w:rsidTr="00AB3961">
        <w:trPr>
          <w:trHeight w:val="899"/>
        </w:trPr>
        <w:tc>
          <w:tcPr>
            <w:tcW w:w="1965" w:type="dxa"/>
            <w:tcBorders>
              <w:top w:val="single" w:sz="4" w:space="0" w:color="000000"/>
            </w:tcBorders>
            <w:shd w:val="clear" w:color="auto" w:fill="FFFFFF"/>
            <w:vAlign w:val="center"/>
          </w:tcPr>
          <w:p w14:paraId="0CD9E3AC" w14:textId="77777777" w:rsidR="001E5F6C" w:rsidRPr="00BB14FC" w:rsidRDefault="001E5F6C" w:rsidP="00AB3961">
            <w:pPr>
              <w:widowControl w:val="0"/>
              <w:spacing w:line="276" w:lineRule="auto"/>
              <w:rPr>
                <w:rFonts w:eastAsia="Times New Roman"/>
                <w:sz w:val="20"/>
                <w:szCs w:val="20"/>
              </w:rPr>
            </w:pPr>
            <w:r>
              <w:rPr>
                <w:rFonts w:eastAsia="Times New Roman"/>
                <w:sz w:val="20"/>
                <w:szCs w:val="20"/>
              </w:rPr>
              <w:t>Study 2 (</w:t>
            </w:r>
            <w:r>
              <w:rPr>
                <w:rFonts w:eastAsia="Times New Roman"/>
                <w:i/>
                <w:iCs/>
                <w:sz w:val="20"/>
                <w:szCs w:val="20"/>
              </w:rPr>
              <w:t xml:space="preserve">N </w:t>
            </w:r>
            <w:r>
              <w:rPr>
                <w:rFonts w:eastAsia="Times New Roman"/>
                <w:sz w:val="20"/>
                <w:szCs w:val="20"/>
              </w:rPr>
              <w:t>= 306)</w:t>
            </w:r>
          </w:p>
        </w:tc>
        <w:tc>
          <w:tcPr>
            <w:tcW w:w="3600" w:type="dxa"/>
            <w:tcBorders>
              <w:top w:val="single" w:sz="4" w:space="0" w:color="000000"/>
              <w:bottom w:val="single" w:sz="4" w:space="0" w:color="000000"/>
            </w:tcBorders>
            <w:shd w:val="clear" w:color="auto" w:fill="FFFFFF"/>
            <w:vAlign w:val="center"/>
          </w:tcPr>
          <w:p w14:paraId="1DFFE92C" w14:textId="77777777" w:rsidR="001E5F6C" w:rsidRDefault="001E5F6C" w:rsidP="00AB3961">
            <w:pPr>
              <w:jc w:val="center"/>
              <w:rPr>
                <w:rFonts w:eastAsia="Times New Roman"/>
                <w:iCs/>
                <w:sz w:val="20"/>
                <w:szCs w:val="20"/>
              </w:rPr>
            </w:pPr>
            <w:r>
              <w:rPr>
                <w:rFonts w:eastAsia="Times New Roman"/>
                <w:iCs/>
                <w:sz w:val="20"/>
                <w:szCs w:val="20"/>
              </w:rPr>
              <w:t xml:space="preserve">Conformity </w:t>
            </w:r>
          </w:p>
          <w:p w14:paraId="7DA0EC7C" w14:textId="77777777" w:rsidR="001E5F6C" w:rsidRPr="000F1904" w:rsidRDefault="001E5F6C" w:rsidP="00AB3961">
            <w:pPr>
              <w:jc w:val="center"/>
              <w:rPr>
                <w:rFonts w:eastAsia="Times New Roman"/>
                <w:iCs/>
                <w:sz w:val="20"/>
                <w:szCs w:val="20"/>
              </w:rPr>
            </w:pPr>
            <w:r>
              <w:rPr>
                <w:rFonts w:eastAsia="Times New Roman"/>
                <w:iCs/>
                <w:sz w:val="20"/>
                <w:szCs w:val="20"/>
              </w:rPr>
              <w:t>(Accuracy-Oriented Estimation Task)</w:t>
            </w:r>
          </w:p>
        </w:tc>
      </w:tr>
      <w:tr w:rsidR="001E5F6C" w:rsidRPr="000F1904" w14:paraId="2A97AD11" w14:textId="77777777" w:rsidTr="00AB3961">
        <w:trPr>
          <w:trHeight w:val="665"/>
        </w:trPr>
        <w:tc>
          <w:tcPr>
            <w:tcW w:w="1965" w:type="dxa"/>
            <w:tcBorders>
              <w:top w:val="single" w:sz="4" w:space="0" w:color="000000"/>
              <w:bottom w:val="nil"/>
            </w:tcBorders>
            <w:shd w:val="clear" w:color="auto" w:fill="auto"/>
            <w:vAlign w:val="center"/>
          </w:tcPr>
          <w:p w14:paraId="0E04BB82" w14:textId="77777777" w:rsidR="001E5F6C" w:rsidRPr="000F1904" w:rsidRDefault="001E5F6C" w:rsidP="00AB3961">
            <w:pPr>
              <w:jc w:val="center"/>
              <w:rPr>
                <w:rFonts w:eastAsia="Times New Roman"/>
                <w:b/>
                <w:sz w:val="6"/>
                <w:szCs w:val="6"/>
              </w:rPr>
            </w:pPr>
          </w:p>
          <w:p w14:paraId="669A2604" w14:textId="77777777" w:rsidR="001E5F6C" w:rsidRPr="000F1904" w:rsidRDefault="001E5F6C" w:rsidP="00AB3961">
            <w:pPr>
              <w:jc w:val="center"/>
              <w:rPr>
                <w:rFonts w:eastAsia="Times New Roman"/>
                <w:b/>
                <w:i/>
                <w:sz w:val="20"/>
                <w:szCs w:val="20"/>
              </w:rPr>
            </w:pPr>
            <w:r w:rsidRPr="005D79C1">
              <w:rPr>
                <w:rFonts w:eastAsia="Times New Roman"/>
                <w:b/>
                <w:sz w:val="20"/>
                <w:szCs w:val="20"/>
              </w:rPr>
              <w:t>Deviancy Aversion</w:t>
            </w:r>
          </w:p>
        </w:tc>
        <w:tc>
          <w:tcPr>
            <w:tcW w:w="3600" w:type="dxa"/>
            <w:tcBorders>
              <w:top w:val="single" w:sz="4" w:space="0" w:color="000000"/>
              <w:bottom w:val="nil"/>
              <w:right w:val="nil"/>
            </w:tcBorders>
            <w:vAlign w:val="center"/>
          </w:tcPr>
          <w:p w14:paraId="42B165B5" w14:textId="5CF3B585" w:rsidR="001E5F6C" w:rsidRPr="000F1904" w:rsidRDefault="001E5F6C" w:rsidP="00AB3961">
            <w:pPr>
              <w:jc w:val="center"/>
              <w:rPr>
                <w:rFonts w:eastAsia="Times New Roman"/>
                <w:b/>
                <w:i/>
                <w:sz w:val="20"/>
                <w:szCs w:val="20"/>
              </w:rPr>
            </w:pPr>
            <w:r w:rsidRPr="000F1904">
              <w:rPr>
                <w:rFonts w:eastAsia="Times New Roman"/>
                <w:b/>
                <w:i/>
                <w:sz w:val="20"/>
                <w:szCs w:val="20"/>
              </w:rPr>
              <w:t xml:space="preserve">B </w:t>
            </w:r>
            <w:r w:rsidRPr="000F1904">
              <w:rPr>
                <w:rFonts w:eastAsia="Times New Roman"/>
                <w:b/>
                <w:sz w:val="20"/>
                <w:szCs w:val="20"/>
              </w:rPr>
              <w:t xml:space="preserve">= </w:t>
            </w:r>
            <w:r w:rsidR="00C83AD7">
              <w:rPr>
                <w:rFonts w:eastAsia="Times New Roman"/>
                <w:b/>
                <w:sz w:val="20"/>
                <w:szCs w:val="20"/>
              </w:rPr>
              <w:t>5</w:t>
            </w:r>
            <w:r>
              <w:rPr>
                <w:rFonts w:eastAsia="Times New Roman"/>
                <w:b/>
                <w:sz w:val="20"/>
                <w:szCs w:val="20"/>
              </w:rPr>
              <w:t>.</w:t>
            </w:r>
            <w:r w:rsidR="00C83AD7">
              <w:rPr>
                <w:rFonts w:eastAsia="Times New Roman"/>
                <w:b/>
                <w:sz w:val="20"/>
                <w:szCs w:val="20"/>
              </w:rPr>
              <w:t>12</w:t>
            </w:r>
            <w:r>
              <w:rPr>
                <w:rFonts w:eastAsia="Times New Roman"/>
                <w:b/>
                <w:sz w:val="20"/>
                <w:szCs w:val="20"/>
              </w:rPr>
              <w:t xml:space="preserve">, </w:t>
            </w:r>
            <w:r w:rsidRPr="005D79C1">
              <w:rPr>
                <w:rFonts w:eastAsia="Times New Roman"/>
                <w:b/>
                <w:i/>
                <w:sz w:val="20"/>
                <w:szCs w:val="20"/>
              </w:rPr>
              <w:t xml:space="preserve">β </w:t>
            </w:r>
            <w:r w:rsidRPr="005D79C1">
              <w:rPr>
                <w:rFonts w:eastAsia="Times New Roman"/>
                <w:b/>
                <w:iCs/>
                <w:sz w:val="20"/>
                <w:szCs w:val="20"/>
              </w:rPr>
              <w:t>= .</w:t>
            </w:r>
            <w:r w:rsidR="00A11A84">
              <w:rPr>
                <w:rFonts w:eastAsia="Times New Roman"/>
                <w:b/>
                <w:iCs/>
                <w:sz w:val="20"/>
                <w:szCs w:val="20"/>
              </w:rPr>
              <w:t>171</w:t>
            </w:r>
            <w:r>
              <w:rPr>
                <w:rFonts w:eastAsia="Times New Roman"/>
                <w:b/>
                <w:sz w:val="20"/>
                <w:szCs w:val="20"/>
              </w:rPr>
              <w:t xml:space="preserve">, </w:t>
            </w:r>
            <w:r w:rsidRPr="000F1904">
              <w:rPr>
                <w:rFonts w:eastAsia="Times New Roman"/>
                <w:b/>
                <w:i/>
                <w:sz w:val="20"/>
                <w:szCs w:val="20"/>
              </w:rPr>
              <w:t xml:space="preserve">p </w:t>
            </w:r>
            <w:r>
              <w:rPr>
                <w:rFonts w:eastAsia="Times New Roman"/>
                <w:b/>
                <w:sz w:val="20"/>
                <w:szCs w:val="20"/>
              </w:rPr>
              <w:t>=</w:t>
            </w:r>
            <w:r w:rsidRPr="000F1904">
              <w:rPr>
                <w:rFonts w:eastAsia="Times New Roman"/>
                <w:b/>
                <w:sz w:val="20"/>
                <w:szCs w:val="20"/>
              </w:rPr>
              <w:t xml:space="preserve"> .00</w:t>
            </w:r>
            <w:r w:rsidR="00A11A84">
              <w:rPr>
                <w:rFonts w:eastAsia="Times New Roman"/>
                <w:b/>
                <w:sz w:val="20"/>
                <w:szCs w:val="20"/>
              </w:rPr>
              <w:t>4</w:t>
            </w:r>
          </w:p>
        </w:tc>
      </w:tr>
    </w:tbl>
    <w:p w14:paraId="45543C95" w14:textId="77777777" w:rsidR="001E5F6C" w:rsidRDefault="001E5F6C" w:rsidP="001E5F6C">
      <w:pPr>
        <w:rPr>
          <w:rFonts w:eastAsia="Times New Roman"/>
          <w:i/>
          <w:sz w:val="20"/>
          <w:szCs w:val="20"/>
        </w:rPr>
      </w:pPr>
    </w:p>
    <w:p w14:paraId="4BA50462" w14:textId="7947F6D2" w:rsidR="001E5F6C" w:rsidRPr="00AF1FA6" w:rsidRDefault="001E5F6C" w:rsidP="001E5F6C">
      <w:pPr>
        <w:rPr>
          <w:iCs/>
          <w:lang w:eastAsia="zh-CN"/>
        </w:rPr>
      </w:pPr>
      <w:r w:rsidRPr="000F1904">
        <w:rPr>
          <w:rFonts w:eastAsia="Times New Roman"/>
          <w:i/>
          <w:sz w:val="20"/>
          <w:szCs w:val="20"/>
        </w:rPr>
        <w:t>Note</w:t>
      </w:r>
      <w:r w:rsidRPr="000F1904">
        <w:rPr>
          <w:rFonts w:eastAsia="Times New Roman"/>
          <w:sz w:val="20"/>
          <w:szCs w:val="20"/>
        </w:rPr>
        <w:t xml:space="preserve">. </w:t>
      </w:r>
      <w:r w:rsidRPr="000F1904">
        <w:rPr>
          <w:rFonts w:eastAsia="Times New Roman"/>
          <w:i/>
          <w:sz w:val="20"/>
          <w:szCs w:val="20"/>
        </w:rPr>
        <w:t xml:space="preserve">B </w:t>
      </w:r>
      <w:r>
        <w:rPr>
          <w:rFonts w:eastAsia="Times New Roman"/>
          <w:sz w:val="20"/>
          <w:szCs w:val="20"/>
        </w:rPr>
        <w:t xml:space="preserve">= Unstandardized coefficient. </w:t>
      </w:r>
      <w:r w:rsidR="00FD537B" w:rsidRPr="008F33F3">
        <w:rPr>
          <w:rFonts w:eastAsia="Times New Roman"/>
          <w:i/>
          <w:sz w:val="20"/>
          <w:szCs w:val="20"/>
        </w:rPr>
        <w:t>β</w:t>
      </w:r>
      <w:r w:rsidR="00FD537B">
        <w:rPr>
          <w:rFonts w:eastAsia="Times New Roman"/>
          <w:i/>
          <w:sz w:val="20"/>
          <w:szCs w:val="20"/>
        </w:rPr>
        <w:t xml:space="preserve"> </w:t>
      </w:r>
      <w:r w:rsidR="00FD537B">
        <w:rPr>
          <w:rFonts w:eastAsia="Times New Roman"/>
          <w:iCs/>
          <w:sz w:val="20"/>
          <w:szCs w:val="20"/>
        </w:rPr>
        <w:t xml:space="preserve">= Standardized coefficient. </w:t>
      </w:r>
    </w:p>
    <w:p w14:paraId="7320B3C3" w14:textId="77777777" w:rsidR="00381B50" w:rsidRPr="00381B50" w:rsidRDefault="00381B50" w:rsidP="00430644">
      <w:pPr>
        <w:pStyle w:val="NoSpacing"/>
        <w:spacing w:line="480" w:lineRule="auto"/>
        <w:jc w:val="both"/>
        <w:rPr>
          <w:bCs/>
        </w:rPr>
      </w:pPr>
    </w:p>
    <w:p w14:paraId="4B4B5B7F" w14:textId="28DF61A2" w:rsidR="00FB370A" w:rsidRPr="002D45F5" w:rsidRDefault="00A218EC" w:rsidP="002D45F5">
      <w:pPr>
        <w:spacing w:line="480" w:lineRule="auto"/>
        <w:ind w:firstLine="720"/>
        <w:jc w:val="both"/>
        <w:rPr>
          <w:rFonts w:eastAsia="Times New Roman"/>
          <w:iCs/>
        </w:rPr>
      </w:pPr>
      <w:r>
        <w:rPr>
          <w:b/>
        </w:rPr>
        <w:t xml:space="preserve">Conformity: </w:t>
      </w:r>
      <w:r w:rsidR="00C74D4E">
        <w:rPr>
          <w:b/>
        </w:rPr>
        <w:t xml:space="preserve">Higher Versus Lower Feedback. </w:t>
      </w:r>
      <w:r w:rsidR="00FB370A">
        <w:rPr>
          <w:rFonts w:eastAsia="Times New Roman"/>
          <w:iCs/>
        </w:rPr>
        <w:t>As pre-registered, we examined whether our findings remained consistent across higher and lower feedback (others’ estimations being higher or lower than the ground truth). We conducted a repeated-measures GLM with estimation task (</w:t>
      </w:r>
      <w:r w:rsidR="00FB370A">
        <w:rPr>
          <w:rFonts w:eastAsia="Times New Roman"/>
          <w:lang w:eastAsia="zh-CN"/>
        </w:rPr>
        <w:t>height of the Eiffel tower, weight of a cow, number of marbles) as a within-participants variable</w:t>
      </w:r>
      <w:r w:rsidR="00FB370A">
        <w:rPr>
          <w:rFonts w:eastAsia="Times New Roman"/>
          <w:iCs/>
        </w:rPr>
        <w:t xml:space="preserve">, Feedback (high versus low feedback—depending on the specific participant and estimation task; categorical variable) as a within-participants predictor, and participants’ deviancy aversion, aversion to unbroken patterns, novelty aversion as predictors. Though Feedback did predict conformity in this model—in that high feedback predicted greater conformity, </w:t>
      </w:r>
      <w:r w:rsidR="00FB370A">
        <w:rPr>
          <w:rFonts w:eastAsia="Times New Roman"/>
          <w:i/>
          <w:iCs/>
        </w:rPr>
        <w:t xml:space="preserve">B </w:t>
      </w:r>
      <w:r w:rsidR="00FB370A">
        <w:rPr>
          <w:rFonts w:eastAsia="Times New Roman"/>
          <w:iCs/>
        </w:rPr>
        <w:t xml:space="preserve">= 7.05, </w:t>
      </w:r>
      <w:r w:rsidR="00FB370A">
        <w:rPr>
          <w:rFonts w:eastAsia="Times New Roman"/>
          <w:i/>
          <w:iCs/>
        </w:rPr>
        <w:t xml:space="preserve">p </w:t>
      </w:r>
      <w:r w:rsidR="00FB370A">
        <w:rPr>
          <w:rFonts w:eastAsia="Times New Roman"/>
          <w:iCs/>
        </w:rPr>
        <w:t xml:space="preserve">= .027, accounting for this variance did not change the link between deviancy aversion and conformity, </w:t>
      </w:r>
      <w:r w:rsidR="00FB370A">
        <w:rPr>
          <w:rFonts w:eastAsia="Times New Roman"/>
          <w:i/>
          <w:iCs/>
        </w:rPr>
        <w:t xml:space="preserve">B </w:t>
      </w:r>
      <w:r w:rsidR="00FB370A">
        <w:rPr>
          <w:rFonts w:eastAsia="Times New Roman"/>
          <w:iCs/>
        </w:rPr>
        <w:t xml:space="preserve">= 4.82, </w:t>
      </w:r>
      <w:r w:rsidR="00FB370A">
        <w:rPr>
          <w:rFonts w:eastAsia="Times New Roman"/>
          <w:i/>
          <w:iCs/>
        </w:rPr>
        <w:t xml:space="preserve">p </w:t>
      </w:r>
      <w:r w:rsidR="00FB370A">
        <w:rPr>
          <w:rFonts w:eastAsia="Times New Roman"/>
          <w:iCs/>
        </w:rPr>
        <w:t xml:space="preserve">= .008. Moreover, indicating that our findings are consistent across high and low feedback, an interaction between Feedback (high versus low) and deviancy aversion predicting conformity was not observed, </w:t>
      </w:r>
      <w:r w:rsidR="00FB370A">
        <w:rPr>
          <w:rFonts w:eastAsia="Times New Roman"/>
          <w:i/>
          <w:iCs/>
        </w:rPr>
        <w:t xml:space="preserve">p </w:t>
      </w:r>
      <w:r w:rsidR="00FB370A">
        <w:rPr>
          <w:rFonts w:eastAsia="Times New Roman"/>
          <w:iCs/>
        </w:rPr>
        <w:t xml:space="preserve">= .989.     </w:t>
      </w:r>
      <w:r w:rsidR="00EF3D35">
        <w:rPr>
          <w:bCs/>
        </w:rPr>
        <w:t xml:space="preserve"> </w:t>
      </w:r>
      <w:r w:rsidR="00FB370A">
        <w:rPr>
          <w:rFonts w:eastAsia="Times New Roman"/>
          <w:iCs/>
        </w:rPr>
        <w:t xml:space="preserve">  </w:t>
      </w:r>
    </w:p>
    <w:p w14:paraId="769C8DD7" w14:textId="07DC4DA8" w:rsidR="00600AC7" w:rsidRDefault="003B3B25" w:rsidP="008F35BD">
      <w:pPr>
        <w:spacing w:line="480" w:lineRule="auto"/>
        <w:ind w:firstLine="720"/>
        <w:jc w:val="both"/>
        <w:rPr>
          <w:rFonts w:eastAsia="Times New Roman"/>
          <w:iCs/>
        </w:rPr>
      </w:pPr>
      <w:r w:rsidRPr="002D430E">
        <w:rPr>
          <w:rFonts w:eastAsia="Times New Roman"/>
          <w:b/>
          <w:iCs/>
          <w:lang w:eastAsia="zh-CN"/>
        </w:rPr>
        <w:t xml:space="preserve">Negative Affect: </w:t>
      </w:r>
      <w:r>
        <w:rPr>
          <w:rFonts w:eastAsia="Times New Roman"/>
          <w:b/>
          <w:iCs/>
          <w:lang w:eastAsia="zh-CN"/>
        </w:rPr>
        <w:t>Non-Fictional</w:t>
      </w:r>
      <w:r w:rsidRPr="002D430E">
        <w:rPr>
          <w:rFonts w:eastAsia="Times New Roman"/>
          <w:b/>
          <w:iCs/>
          <w:lang w:eastAsia="zh-CN"/>
        </w:rPr>
        <w:t xml:space="preserve"> Norm Violations</w:t>
      </w:r>
      <w:r>
        <w:rPr>
          <w:lang w:eastAsia="zh-CN"/>
        </w:rPr>
        <w:t xml:space="preserve">. </w:t>
      </w:r>
      <w:r w:rsidR="00A218EC">
        <w:rPr>
          <w:lang w:eastAsia="zh-CN"/>
        </w:rPr>
        <w:t xml:space="preserve">Replicating Study 1, deviancy aversion predicted greater negative affect towards non-fictional norm violations, </w:t>
      </w:r>
      <w:r w:rsidR="00A218EC">
        <w:rPr>
          <w:i/>
          <w:iCs/>
          <w:lang w:eastAsia="zh-CN"/>
        </w:rPr>
        <w:t xml:space="preserve">p </w:t>
      </w:r>
      <w:r w:rsidR="00A218EC">
        <w:rPr>
          <w:lang w:eastAsia="zh-CN"/>
        </w:rPr>
        <w:t xml:space="preserve">&lt; .001 (Table </w:t>
      </w:r>
      <w:r w:rsidR="008C35C5">
        <w:rPr>
          <w:lang w:eastAsia="zh-CN"/>
        </w:rPr>
        <w:t>S</w:t>
      </w:r>
      <w:r w:rsidR="00AB3961">
        <w:rPr>
          <w:lang w:eastAsia="zh-CN"/>
        </w:rPr>
        <w:t>3</w:t>
      </w:r>
      <w:r w:rsidR="00A218EC">
        <w:rPr>
          <w:lang w:eastAsia="zh-CN"/>
        </w:rPr>
        <w:t xml:space="preserve">; Figure </w:t>
      </w:r>
      <w:r w:rsidR="008C35C5">
        <w:rPr>
          <w:lang w:eastAsia="zh-CN"/>
        </w:rPr>
        <w:t>S</w:t>
      </w:r>
      <w:r w:rsidR="001C701B">
        <w:rPr>
          <w:lang w:eastAsia="zh-CN"/>
        </w:rPr>
        <w:t>2</w:t>
      </w:r>
      <w:r w:rsidR="00A218EC">
        <w:rPr>
          <w:lang w:eastAsia="zh-CN"/>
        </w:rPr>
        <w:t xml:space="preserve">). Notably, the observed effect-size was similar to Study 1 despite that Study 2’s measures included reverse-coded items, Study 1: </w:t>
      </w:r>
      <w:r w:rsidR="00A218EC" w:rsidRPr="00F4773E">
        <w:rPr>
          <w:rFonts w:eastAsia="Times New Roman"/>
          <w:i/>
        </w:rPr>
        <w:t xml:space="preserve">β </w:t>
      </w:r>
      <w:r w:rsidR="00A218EC" w:rsidRPr="00F4773E">
        <w:rPr>
          <w:rFonts w:eastAsia="Times New Roman"/>
          <w:iCs/>
        </w:rPr>
        <w:t>= .</w:t>
      </w:r>
      <w:r w:rsidR="00A218EC">
        <w:rPr>
          <w:rFonts w:eastAsia="Times New Roman"/>
          <w:iCs/>
        </w:rPr>
        <w:t xml:space="preserve">38 </w:t>
      </w:r>
      <w:r w:rsidR="00A218EC" w:rsidRPr="00F4773E">
        <w:rPr>
          <w:rFonts w:eastAsia="Times New Roman"/>
          <w:iCs/>
        </w:rPr>
        <w:t>ver</w:t>
      </w:r>
      <w:r w:rsidR="00A218EC">
        <w:rPr>
          <w:rFonts w:eastAsia="Times New Roman"/>
          <w:iCs/>
        </w:rPr>
        <w:t xml:space="preserve">sus Study 2: </w:t>
      </w:r>
      <w:r w:rsidR="00A218EC" w:rsidRPr="00F4773E">
        <w:rPr>
          <w:rFonts w:eastAsia="Times New Roman"/>
          <w:i/>
        </w:rPr>
        <w:t xml:space="preserve">β </w:t>
      </w:r>
      <w:r w:rsidR="00A218EC" w:rsidRPr="00F4773E">
        <w:rPr>
          <w:rFonts w:eastAsia="Times New Roman"/>
          <w:iCs/>
        </w:rPr>
        <w:t>= .</w:t>
      </w:r>
      <w:r w:rsidR="00A218EC">
        <w:rPr>
          <w:rFonts w:eastAsia="Times New Roman"/>
          <w:iCs/>
        </w:rPr>
        <w:t>42 (</w:t>
      </w:r>
      <w:r w:rsidR="00B24185">
        <w:rPr>
          <w:rFonts w:eastAsia="Times New Roman"/>
          <w:iCs/>
        </w:rPr>
        <w:t xml:space="preserve">see </w:t>
      </w:r>
      <w:r w:rsidR="00A218EC">
        <w:rPr>
          <w:rFonts w:eastAsia="Times New Roman"/>
          <w:iCs/>
        </w:rPr>
        <w:t>Tabl</w:t>
      </w:r>
      <w:r w:rsidR="00B24185">
        <w:rPr>
          <w:rFonts w:eastAsia="Times New Roman"/>
          <w:iCs/>
        </w:rPr>
        <w:t>e</w:t>
      </w:r>
      <w:r w:rsidR="00A218EC">
        <w:rPr>
          <w:rFonts w:eastAsia="Times New Roman"/>
          <w:iCs/>
        </w:rPr>
        <w:t xml:space="preserve"> 1</w:t>
      </w:r>
      <w:r w:rsidR="00E56601">
        <w:rPr>
          <w:rFonts w:eastAsia="Times New Roman"/>
          <w:iCs/>
        </w:rPr>
        <w:t xml:space="preserve"> and Table S</w:t>
      </w:r>
      <w:r w:rsidR="00AB3961">
        <w:rPr>
          <w:rFonts w:eastAsia="Times New Roman"/>
          <w:iCs/>
        </w:rPr>
        <w:t>3</w:t>
      </w:r>
      <w:r w:rsidR="00A218EC" w:rsidRPr="003C54E6">
        <w:rPr>
          <w:lang w:eastAsia="zh-CN"/>
        </w:rPr>
        <w:t>)</w:t>
      </w:r>
      <w:r w:rsidR="00A218EC">
        <w:rPr>
          <w:lang w:eastAsia="zh-CN"/>
        </w:rPr>
        <w:t>. Furthermore, when separately examining the “negative” and “positive” norm response-</w:t>
      </w:r>
      <w:r w:rsidR="00A218EC">
        <w:rPr>
          <w:lang w:eastAsia="zh-CN"/>
        </w:rPr>
        <w:lastRenderedPageBreak/>
        <w:t xml:space="preserve">items, deviancy aversion predicted increased negative affect towards norm violations, </w:t>
      </w:r>
      <w:r w:rsidR="00A218EC" w:rsidRPr="00F4773E">
        <w:rPr>
          <w:rFonts w:eastAsia="Times New Roman"/>
          <w:i/>
        </w:rPr>
        <w:t xml:space="preserve">β </w:t>
      </w:r>
      <w:r w:rsidR="00A218EC" w:rsidRPr="00F4773E">
        <w:rPr>
          <w:rFonts w:eastAsia="Times New Roman"/>
          <w:iCs/>
        </w:rPr>
        <w:t xml:space="preserve">= </w:t>
      </w:r>
      <w:r w:rsidR="00A218EC">
        <w:rPr>
          <w:rFonts w:eastAsia="Times New Roman"/>
          <w:iCs/>
        </w:rPr>
        <w:t xml:space="preserve">.318, </w:t>
      </w:r>
      <w:r w:rsidR="00A218EC">
        <w:rPr>
          <w:rFonts w:eastAsia="Times New Roman"/>
          <w:i/>
        </w:rPr>
        <w:t xml:space="preserve">p </w:t>
      </w:r>
      <w:r w:rsidR="00A218EC">
        <w:rPr>
          <w:rFonts w:eastAsia="Times New Roman"/>
          <w:iCs/>
        </w:rPr>
        <w:t>&lt; .001,</w:t>
      </w:r>
      <w:r w:rsidR="00A218EC">
        <w:rPr>
          <w:lang w:eastAsia="zh-CN"/>
        </w:rPr>
        <w:t xml:space="preserve"> and decreased positive affect towards norm violations, </w:t>
      </w:r>
      <w:r w:rsidR="00A218EC" w:rsidRPr="00F4773E">
        <w:rPr>
          <w:rFonts w:eastAsia="Times New Roman"/>
          <w:i/>
        </w:rPr>
        <w:t xml:space="preserve">β </w:t>
      </w:r>
      <w:r w:rsidR="00A218EC" w:rsidRPr="00F4773E">
        <w:rPr>
          <w:rFonts w:eastAsia="Times New Roman"/>
          <w:iCs/>
        </w:rPr>
        <w:t xml:space="preserve">= </w:t>
      </w:r>
      <w:r w:rsidR="00A218EC">
        <w:rPr>
          <w:rFonts w:eastAsia="Times New Roman"/>
          <w:iCs/>
        </w:rPr>
        <w:t xml:space="preserve">-.393, </w:t>
      </w:r>
      <w:r w:rsidR="00A218EC">
        <w:rPr>
          <w:rFonts w:eastAsia="Times New Roman"/>
          <w:i/>
        </w:rPr>
        <w:t xml:space="preserve">p </w:t>
      </w:r>
      <w:r w:rsidR="00A218EC">
        <w:rPr>
          <w:rFonts w:eastAsia="Times New Roman"/>
          <w:iCs/>
        </w:rPr>
        <w:t>&lt; .001, as expected.</w:t>
      </w:r>
      <w:r w:rsidR="00A218EC">
        <w:rPr>
          <w:lang w:eastAsia="zh-CN"/>
        </w:rPr>
        <w:t xml:space="preserve"> </w:t>
      </w:r>
      <w:r w:rsidR="00A218EC">
        <w:rPr>
          <w:rFonts w:eastAsia="Times New Roman"/>
          <w:iCs/>
        </w:rPr>
        <w:t>Finally, neither aversion towards unbroken pattern nor novelty aversion</w:t>
      </w:r>
      <w:r w:rsidR="00A218EC">
        <w:rPr>
          <w:lang w:eastAsia="zh-CN"/>
        </w:rPr>
        <w:t>—which entailed identical response items as deviancy aversion</w:t>
      </w:r>
      <w:r w:rsidR="00A218EC">
        <w:rPr>
          <w:rFonts w:eastAsia="Times New Roman"/>
          <w:iCs/>
        </w:rPr>
        <w:t xml:space="preserve">—predicted participants’ responses to norm violations, </w:t>
      </w:r>
      <w:proofErr w:type="spellStart"/>
      <w:r w:rsidR="00A218EC">
        <w:rPr>
          <w:rFonts w:eastAsia="Times New Roman"/>
          <w:i/>
        </w:rPr>
        <w:t>p</w:t>
      </w:r>
      <w:r w:rsidR="00A218EC">
        <w:rPr>
          <w:rFonts w:eastAsia="Times New Roman"/>
          <w:iCs/>
        </w:rPr>
        <w:t>s</w:t>
      </w:r>
      <w:proofErr w:type="spellEnd"/>
      <w:r w:rsidR="00A218EC">
        <w:rPr>
          <w:rFonts w:eastAsia="Times New Roman"/>
          <w:iCs/>
        </w:rPr>
        <w:t xml:space="preserve"> &gt; .058 (Table </w:t>
      </w:r>
      <w:r w:rsidR="008F35BD">
        <w:rPr>
          <w:rFonts w:eastAsia="Times New Roman"/>
          <w:iCs/>
        </w:rPr>
        <w:t>S</w:t>
      </w:r>
      <w:r w:rsidR="00AB3961">
        <w:rPr>
          <w:rFonts w:eastAsia="Times New Roman"/>
          <w:iCs/>
        </w:rPr>
        <w:t>3</w:t>
      </w:r>
      <w:r w:rsidR="00A218EC">
        <w:rPr>
          <w:rFonts w:eastAsia="Times New Roman"/>
          <w:iCs/>
        </w:rPr>
        <w:t xml:space="preserve">). </w:t>
      </w:r>
    </w:p>
    <w:p w14:paraId="4D7F29B5" w14:textId="5978B2F8" w:rsidR="00600AC7" w:rsidRPr="000F1904" w:rsidRDefault="00600AC7" w:rsidP="00600AC7">
      <w:pPr>
        <w:rPr>
          <w:rFonts w:eastAsia="Times New Roman"/>
          <w:b/>
        </w:rPr>
      </w:pPr>
      <w:r w:rsidRPr="000F1904">
        <w:rPr>
          <w:rFonts w:eastAsia="Times New Roman"/>
          <w:b/>
        </w:rPr>
        <w:t xml:space="preserve">Table </w:t>
      </w:r>
      <w:r w:rsidR="00B764CB">
        <w:rPr>
          <w:rFonts w:eastAsia="Times New Roman"/>
          <w:b/>
        </w:rPr>
        <w:t>S</w:t>
      </w:r>
      <w:r w:rsidR="00AB3961">
        <w:rPr>
          <w:rFonts w:eastAsia="Times New Roman"/>
          <w:b/>
        </w:rPr>
        <w:t>3</w:t>
      </w:r>
    </w:p>
    <w:p w14:paraId="226FF406" w14:textId="6F7BE79C" w:rsidR="00600AC7" w:rsidRPr="000F1904" w:rsidRDefault="00600AC7" w:rsidP="00600AC7">
      <w:pPr>
        <w:rPr>
          <w:rFonts w:eastAsia="Times New Roman"/>
          <w:i/>
        </w:rPr>
      </w:pPr>
      <w:r w:rsidRPr="000F1904">
        <w:rPr>
          <w:rFonts w:eastAsia="Times New Roman"/>
          <w:i/>
        </w:rPr>
        <w:t xml:space="preserve">Output of </w:t>
      </w:r>
      <w:r>
        <w:rPr>
          <w:rFonts w:eastAsia="Times New Roman"/>
          <w:i/>
        </w:rPr>
        <w:t>Multivariate Linear Regressions. Deviancy Aversion Predicted Greater Negative Affect Towards Non-Fictional Norm Violations.</w:t>
      </w:r>
      <w:r w:rsidRPr="000F1904">
        <w:rPr>
          <w:rFonts w:eastAsia="Times New Roman"/>
          <w:i/>
        </w:rPr>
        <w:t xml:space="preserve">   </w:t>
      </w:r>
      <w:r w:rsidRPr="000F1904">
        <w:rPr>
          <w:rFonts w:eastAsia="Times New Roman"/>
        </w:rPr>
        <w:t xml:space="preserve">   </w:t>
      </w:r>
    </w:p>
    <w:p w14:paraId="3BF159E7" w14:textId="77777777" w:rsidR="00600AC7" w:rsidRPr="000F1904" w:rsidRDefault="00600AC7" w:rsidP="00600AC7">
      <w:pPr>
        <w:tabs>
          <w:tab w:val="left" w:pos="2548"/>
        </w:tabs>
        <w:rPr>
          <w:rFonts w:eastAsia="Times New Roman"/>
          <w:i/>
        </w:rPr>
      </w:pPr>
    </w:p>
    <w:tbl>
      <w:tblPr>
        <w:tblW w:w="5580" w:type="dxa"/>
        <w:tblLayout w:type="fixed"/>
        <w:tblLook w:val="0400" w:firstRow="0" w:lastRow="0" w:firstColumn="0" w:lastColumn="0" w:noHBand="0" w:noVBand="1"/>
      </w:tblPr>
      <w:tblGrid>
        <w:gridCol w:w="1965"/>
        <w:gridCol w:w="3615"/>
      </w:tblGrid>
      <w:tr w:rsidR="00AE323A" w:rsidRPr="000F1904" w14:paraId="325187E2" w14:textId="77777777" w:rsidTr="00AE323A">
        <w:trPr>
          <w:trHeight w:val="899"/>
        </w:trPr>
        <w:tc>
          <w:tcPr>
            <w:tcW w:w="1965" w:type="dxa"/>
            <w:tcBorders>
              <w:top w:val="single" w:sz="4" w:space="0" w:color="000000"/>
            </w:tcBorders>
            <w:shd w:val="clear" w:color="auto" w:fill="FFFFFF"/>
            <w:vAlign w:val="center"/>
          </w:tcPr>
          <w:p w14:paraId="3512D6F3" w14:textId="77777777" w:rsidR="00AE323A" w:rsidRPr="000F1904" w:rsidRDefault="00AE323A" w:rsidP="00AB3961">
            <w:pPr>
              <w:widowControl w:val="0"/>
              <w:spacing w:line="276" w:lineRule="auto"/>
              <w:rPr>
                <w:rFonts w:eastAsia="Times New Roman"/>
                <w:sz w:val="20"/>
                <w:szCs w:val="20"/>
              </w:rPr>
            </w:pPr>
          </w:p>
        </w:tc>
        <w:tc>
          <w:tcPr>
            <w:tcW w:w="3615" w:type="dxa"/>
            <w:tcBorders>
              <w:top w:val="single" w:sz="4" w:space="0" w:color="000000"/>
              <w:bottom w:val="single" w:sz="4" w:space="0" w:color="000000"/>
            </w:tcBorders>
            <w:shd w:val="clear" w:color="auto" w:fill="FFFFFF"/>
            <w:vAlign w:val="center"/>
          </w:tcPr>
          <w:p w14:paraId="2ECCEE90" w14:textId="77777777" w:rsidR="00AE323A" w:rsidRDefault="00AE323A" w:rsidP="00AB3961">
            <w:pPr>
              <w:jc w:val="center"/>
              <w:rPr>
                <w:rFonts w:eastAsia="Times New Roman"/>
                <w:iCs/>
                <w:sz w:val="20"/>
                <w:szCs w:val="20"/>
              </w:rPr>
            </w:pPr>
            <w:r>
              <w:rPr>
                <w:rFonts w:eastAsia="Times New Roman"/>
                <w:iCs/>
                <w:sz w:val="20"/>
                <w:szCs w:val="20"/>
              </w:rPr>
              <w:t xml:space="preserve">Negative Affect in Response to </w:t>
            </w:r>
          </w:p>
          <w:p w14:paraId="06E8CC54" w14:textId="77777777" w:rsidR="00AE323A" w:rsidRPr="000F1904" w:rsidRDefault="00AE323A" w:rsidP="00AB3961">
            <w:pPr>
              <w:jc w:val="center"/>
              <w:rPr>
                <w:rFonts w:eastAsia="Times New Roman"/>
                <w:iCs/>
                <w:sz w:val="20"/>
                <w:szCs w:val="20"/>
              </w:rPr>
            </w:pPr>
            <w:r>
              <w:rPr>
                <w:rFonts w:eastAsia="Times New Roman"/>
                <w:iCs/>
                <w:sz w:val="20"/>
                <w:szCs w:val="20"/>
              </w:rPr>
              <w:t>Non-Fictional Norm Violations</w:t>
            </w:r>
          </w:p>
        </w:tc>
      </w:tr>
      <w:tr w:rsidR="00AE323A" w:rsidRPr="000F1904" w14:paraId="5E7A200F" w14:textId="77777777" w:rsidTr="00AE323A">
        <w:trPr>
          <w:trHeight w:val="440"/>
        </w:trPr>
        <w:tc>
          <w:tcPr>
            <w:tcW w:w="1965" w:type="dxa"/>
            <w:tcBorders>
              <w:top w:val="single" w:sz="4" w:space="0" w:color="000000"/>
              <w:bottom w:val="nil"/>
            </w:tcBorders>
            <w:shd w:val="clear" w:color="auto" w:fill="auto"/>
            <w:vAlign w:val="center"/>
          </w:tcPr>
          <w:p w14:paraId="7CD6BC32" w14:textId="77777777" w:rsidR="00AE323A" w:rsidRPr="00216B75" w:rsidRDefault="00AE323A" w:rsidP="00AB3961">
            <w:pPr>
              <w:jc w:val="center"/>
              <w:rPr>
                <w:rFonts w:eastAsia="Times New Roman"/>
                <w:bCs/>
                <w:i/>
                <w:iCs/>
                <w:sz w:val="20"/>
                <w:szCs w:val="20"/>
              </w:rPr>
            </w:pPr>
            <w:r>
              <w:rPr>
                <w:rFonts w:eastAsia="Times New Roman"/>
                <w:bCs/>
                <w:i/>
                <w:iCs/>
                <w:sz w:val="20"/>
                <w:szCs w:val="20"/>
              </w:rPr>
              <w:t>Descriptive Statistics</w:t>
            </w:r>
          </w:p>
        </w:tc>
        <w:tc>
          <w:tcPr>
            <w:tcW w:w="3615" w:type="dxa"/>
            <w:tcBorders>
              <w:top w:val="single" w:sz="4" w:space="0" w:color="000000"/>
              <w:bottom w:val="nil"/>
              <w:right w:val="nil"/>
            </w:tcBorders>
            <w:vAlign w:val="center"/>
          </w:tcPr>
          <w:p w14:paraId="54FEB4DC" w14:textId="77777777" w:rsidR="00AE323A" w:rsidRPr="000F1904" w:rsidRDefault="00AE323A" w:rsidP="00AB3961">
            <w:pPr>
              <w:jc w:val="center"/>
              <w:rPr>
                <w:rFonts w:eastAsia="Times New Roman"/>
                <w:bCs/>
                <w:i/>
                <w:sz w:val="20"/>
                <w:szCs w:val="20"/>
              </w:rPr>
            </w:pPr>
            <w:r>
              <w:rPr>
                <w:i/>
                <w:sz w:val="20"/>
                <w:szCs w:val="20"/>
              </w:rPr>
              <w:t xml:space="preserve">M </w:t>
            </w:r>
            <w:r>
              <w:rPr>
                <w:iCs/>
                <w:sz w:val="20"/>
                <w:szCs w:val="20"/>
              </w:rPr>
              <w:t xml:space="preserve">= 5.03, </w:t>
            </w:r>
            <w:r>
              <w:rPr>
                <w:i/>
                <w:sz w:val="20"/>
                <w:szCs w:val="20"/>
              </w:rPr>
              <w:t xml:space="preserve">SD </w:t>
            </w:r>
            <w:r>
              <w:rPr>
                <w:iCs/>
                <w:sz w:val="20"/>
                <w:szCs w:val="20"/>
              </w:rPr>
              <w:t xml:space="preserve">= 1.05, </w:t>
            </w:r>
            <w:r w:rsidRPr="004B21F2">
              <w:rPr>
                <w:i/>
                <w:sz w:val="20"/>
                <w:szCs w:val="20"/>
              </w:rPr>
              <w:t>ω</w:t>
            </w:r>
            <w:r w:rsidRPr="004B21F2">
              <w:rPr>
                <w:sz w:val="20"/>
                <w:szCs w:val="20"/>
              </w:rPr>
              <w:t xml:space="preserve"> = .</w:t>
            </w:r>
            <w:r>
              <w:rPr>
                <w:sz w:val="20"/>
                <w:szCs w:val="20"/>
              </w:rPr>
              <w:t>87</w:t>
            </w:r>
          </w:p>
        </w:tc>
      </w:tr>
      <w:tr w:rsidR="00AE323A" w:rsidRPr="000F1904" w14:paraId="0BB3BF19" w14:textId="77777777" w:rsidTr="00AE323A">
        <w:trPr>
          <w:trHeight w:val="530"/>
        </w:trPr>
        <w:tc>
          <w:tcPr>
            <w:tcW w:w="1965" w:type="dxa"/>
            <w:tcBorders>
              <w:top w:val="single" w:sz="4" w:space="0" w:color="000000"/>
              <w:bottom w:val="nil"/>
            </w:tcBorders>
            <w:shd w:val="clear" w:color="auto" w:fill="auto"/>
            <w:vAlign w:val="center"/>
          </w:tcPr>
          <w:p w14:paraId="0E2CB53F" w14:textId="77777777" w:rsidR="00AE323A" w:rsidRPr="000F1904" w:rsidRDefault="00AE323A" w:rsidP="00AB3961">
            <w:pPr>
              <w:jc w:val="center"/>
              <w:rPr>
                <w:rFonts w:eastAsia="Times New Roman"/>
                <w:bCs/>
                <w:sz w:val="6"/>
                <w:szCs w:val="6"/>
              </w:rPr>
            </w:pPr>
            <w:r w:rsidRPr="00216B75">
              <w:rPr>
                <w:rFonts w:eastAsia="Times New Roman"/>
                <w:bCs/>
                <w:i/>
                <w:iCs/>
                <w:sz w:val="20"/>
                <w:szCs w:val="20"/>
              </w:rPr>
              <w:t>Variance Explained</w:t>
            </w:r>
          </w:p>
        </w:tc>
        <w:tc>
          <w:tcPr>
            <w:tcW w:w="3615" w:type="dxa"/>
            <w:tcBorders>
              <w:top w:val="single" w:sz="4" w:space="0" w:color="000000"/>
              <w:bottom w:val="nil"/>
              <w:right w:val="nil"/>
            </w:tcBorders>
            <w:vAlign w:val="center"/>
          </w:tcPr>
          <w:p w14:paraId="6431E489" w14:textId="77777777" w:rsidR="00AE323A" w:rsidRPr="000F1904" w:rsidRDefault="00AE323A" w:rsidP="00AB3961">
            <w:pPr>
              <w:jc w:val="center"/>
              <w:rPr>
                <w:rFonts w:eastAsia="Times New Roman"/>
                <w:bCs/>
                <w:i/>
                <w:sz w:val="20"/>
                <w:szCs w:val="20"/>
              </w:rPr>
            </w:pPr>
            <w:r w:rsidRPr="00DB435C">
              <w:rPr>
                <w:i/>
                <w:iCs/>
                <w:sz w:val="20"/>
                <w:szCs w:val="20"/>
              </w:rPr>
              <w:t>R</w:t>
            </w:r>
            <w:r>
              <w:rPr>
                <w:sz w:val="20"/>
                <w:szCs w:val="20"/>
                <w:vertAlign w:val="superscript"/>
              </w:rPr>
              <w:t>2</w:t>
            </w:r>
            <w:r>
              <w:rPr>
                <w:sz w:val="20"/>
                <w:szCs w:val="20"/>
              </w:rPr>
              <w:t xml:space="preserve"> = .46</w:t>
            </w:r>
          </w:p>
        </w:tc>
      </w:tr>
      <w:tr w:rsidR="00AE323A" w:rsidRPr="000F1904" w14:paraId="51A342E1" w14:textId="77777777" w:rsidTr="00AE323A">
        <w:trPr>
          <w:trHeight w:val="665"/>
        </w:trPr>
        <w:tc>
          <w:tcPr>
            <w:tcW w:w="1965" w:type="dxa"/>
            <w:tcBorders>
              <w:top w:val="single" w:sz="4" w:space="0" w:color="000000"/>
              <w:bottom w:val="nil"/>
            </w:tcBorders>
            <w:shd w:val="clear" w:color="auto" w:fill="auto"/>
            <w:vAlign w:val="center"/>
          </w:tcPr>
          <w:p w14:paraId="09B6EC31" w14:textId="77777777" w:rsidR="00AE323A" w:rsidRPr="000F1904" w:rsidRDefault="00AE323A" w:rsidP="00AB3961">
            <w:pPr>
              <w:jc w:val="center"/>
              <w:rPr>
                <w:rFonts w:eastAsia="Times New Roman"/>
                <w:b/>
                <w:sz w:val="6"/>
                <w:szCs w:val="6"/>
              </w:rPr>
            </w:pPr>
          </w:p>
          <w:p w14:paraId="498FB990" w14:textId="77777777" w:rsidR="00AE323A" w:rsidRPr="000F1904" w:rsidRDefault="00AE323A" w:rsidP="00AB3961">
            <w:pPr>
              <w:jc w:val="center"/>
              <w:rPr>
                <w:rFonts w:eastAsia="Times New Roman"/>
                <w:b/>
                <w:i/>
                <w:sz w:val="20"/>
                <w:szCs w:val="20"/>
              </w:rPr>
            </w:pPr>
            <w:r w:rsidRPr="005D79C1">
              <w:rPr>
                <w:rFonts w:eastAsia="Times New Roman"/>
                <w:b/>
                <w:sz w:val="20"/>
                <w:szCs w:val="20"/>
              </w:rPr>
              <w:t>Deviancy Aversion</w:t>
            </w:r>
          </w:p>
        </w:tc>
        <w:tc>
          <w:tcPr>
            <w:tcW w:w="3615" w:type="dxa"/>
            <w:tcBorders>
              <w:top w:val="single" w:sz="4" w:space="0" w:color="000000"/>
              <w:bottom w:val="nil"/>
              <w:right w:val="nil"/>
            </w:tcBorders>
            <w:vAlign w:val="center"/>
          </w:tcPr>
          <w:p w14:paraId="29CEB822" w14:textId="77777777" w:rsidR="00AE323A" w:rsidRPr="000F1904" w:rsidRDefault="00AE323A" w:rsidP="00AB3961">
            <w:pPr>
              <w:jc w:val="center"/>
              <w:rPr>
                <w:rFonts w:eastAsia="Times New Roman"/>
                <w:b/>
                <w:sz w:val="20"/>
                <w:szCs w:val="20"/>
              </w:rPr>
            </w:pPr>
            <w:r w:rsidRPr="000F1904">
              <w:rPr>
                <w:rFonts w:eastAsia="Times New Roman"/>
                <w:b/>
                <w:i/>
                <w:sz w:val="20"/>
                <w:szCs w:val="20"/>
              </w:rPr>
              <w:t xml:space="preserve">B </w:t>
            </w:r>
            <w:r w:rsidRPr="000F1904">
              <w:rPr>
                <w:rFonts w:eastAsia="Times New Roman"/>
                <w:b/>
                <w:sz w:val="20"/>
                <w:szCs w:val="20"/>
              </w:rPr>
              <w:t>= .</w:t>
            </w:r>
            <w:r>
              <w:rPr>
                <w:rFonts w:eastAsia="Times New Roman"/>
                <w:b/>
                <w:sz w:val="20"/>
                <w:szCs w:val="20"/>
              </w:rPr>
              <w:t xml:space="preserve">376, </w:t>
            </w:r>
            <w:r w:rsidRPr="005D79C1">
              <w:rPr>
                <w:rFonts w:eastAsia="Times New Roman"/>
                <w:b/>
                <w:i/>
                <w:sz w:val="20"/>
                <w:szCs w:val="20"/>
              </w:rPr>
              <w:t xml:space="preserve">β </w:t>
            </w:r>
            <w:r w:rsidRPr="005D79C1">
              <w:rPr>
                <w:rFonts w:eastAsia="Times New Roman"/>
                <w:b/>
                <w:iCs/>
                <w:sz w:val="20"/>
                <w:szCs w:val="20"/>
              </w:rPr>
              <w:t>= .</w:t>
            </w:r>
            <w:r>
              <w:rPr>
                <w:rFonts w:eastAsia="Times New Roman"/>
                <w:b/>
                <w:iCs/>
                <w:sz w:val="20"/>
                <w:szCs w:val="20"/>
              </w:rPr>
              <w:t>417</w:t>
            </w:r>
            <w:r>
              <w:rPr>
                <w:rFonts w:eastAsia="Times New Roman"/>
                <w:b/>
                <w:sz w:val="20"/>
                <w:szCs w:val="20"/>
              </w:rPr>
              <w:t xml:space="preserve">, </w:t>
            </w:r>
            <w:r w:rsidRPr="000F1904">
              <w:rPr>
                <w:rFonts w:eastAsia="Times New Roman"/>
                <w:b/>
                <w:i/>
                <w:sz w:val="20"/>
                <w:szCs w:val="20"/>
              </w:rPr>
              <w:t xml:space="preserve">p </w:t>
            </w:r>
            <w:r w:rsidRPr="005D79C1">
              <w:rPr>
                <w:rFonts w:eastAsia="Times New Roman"/>
                <w:b/>
                <w:sz w:val="20"/>
                <w:szCs w:val="20"/>
              </w:rPr>
              <w:t>&lt;</w:t>
            </w:r>
            <w:r w:rsidRPr="000F1904">
              <w:rPr>
                <w:rFonts w:eastAsia="Times New Roman"/>
                <w:b/>
                <w:sz w:val="20"/>
                <w:szCs w:val="20"/>
              </w:rPr>
              <w:t xml:space="preserve"> .001</w:t>
            </w:r>
          </w:p>
        </w:tc>
      </w:tr>
      <w:tr w:rsidR="00AE323A" w:rsidRPr="000F1904" w14:paraId="7E829271" w14:textId="77777777" w:rsidTr="00AE323A">
        <w:trPr>
          <w:trHeight w:val="630"/>
        </w:trPr>
        <w:tc>
          <w:tcPr>
            <w:tcW w:w="1965" w:type="dxa"/>
            <w:tcBorders>
              <w:top w:val="nil"/>
            </w:tcBorders>
            <w:shd w:val="clear" w:color="auto" w:fill="auto"/>
            <w:vAlign w:val="center"/>
          </w:tcPr>
          <w:p w14:paraId="7F499C35" w14:textId="77777777" w:rsidR="00AE323A" w:rsidRPr="000F1904" w:rsidRDefault="00AE323A" w:rsidP="00AB3961">
            <w:pPr>
              <w:jc w:val="center"/>
              <w:rPr>
                <w:rFonts w:eastAsia="Times New Roman"/>
                <w:sz w:val="6"/>
                <w:szCs w:val="6"/>
              </w:rPr>
            </w:pPr>
          </w:p>
          <w:p w14:paraId="45FAA1BA" w14:textId="77777777" w:rsidR="00AE323A" w:rsidRPr="000F1904" w:rsidRDefault="00AE323A" w:rsidP="00AB3961">
            <w:pPr>
              <w:jc w:val="center"/>
              <w:rPr>
                <w:rFonts w:eastAsia="Times New Roman"/>
                <w:sz w:val="20"/>
                <w:szCs w:val="20"/>
              </w:rPr>
            </w:pPr>
            <w:r w:rsidRPr="006D39D0">
              <w:rPr>
                <w:rFonts w:eastAsia="Times New Roman"/>
                <w:sz w:val="20"/>
                <w:szCs w:val="20"/>
              </w:rPr>
              <w:t>Aversion to Unbroken Patterns</w:t>
            </w:r>
          </w:p>
        </w:tc>
        <w:tc>
          <w:tcPr>
            <w:tcW w:w="3615" w:type="dxa"/>
            <w:tcBorders>
              <w:right w:val="nil"/>
            </w:tcBorders>
            <w:vAlign w:val="center"/>
          </w:tcPr>
          <w:p w14:paraId="3B1B3BCE" w14:textId="77777777" w:rsidR="00AE323A" w:rsidRPr="000F1904" w:rsidRDefault="00AE323A" w:rsidP="00AB3961">
            <w:pPr>
              <w:jc w:val="center"/>
              <w:rPr>
                <w:rFonts w:eastAsia="Times New Roman"/>
                <w:sz w:val="20"/>
                <w:szCs w:val="20"/>
              </w:rPr>
            </w:pPr>
            <w:r w:rsidRPr="000F1904">
              <w:rPr>
                <w:rFonts w:eastAsia="Times New Roman"/>
                <w:i/>
                <w:sz w:val="20"/>
                <w:szCs w:val="20"/>
              </w:rPr>
              <w:t xml:space="preserve">B </w:t>
            </w:r>
            <w:r w:rsidRPr="000F1904">
              <w:rPr>
                <w:rFonts w:eastAsia="Times New Roman"/>
                <w:sz w:val="20"/>
                <w:szCs w:val="20"/>
              </w:rPr>
              <w:t>= .</w:t>
            </w:r>
            <w:r>
              <w:rPr>
                <w:rFonts w:eastAsia="Times New Roman"/>
                <w:sz w:val="20"/>
                <w:szCs w:val="20"/>
              </w:rPr>
              <w:t>010</w:t>
            </w:r>
            <w:r w:rsidRPr="006D39D0">
              <w:rPr>
                <w:rFonts w:eastAsia="Times New Roman"/>
                <w:sz w:val="20"/>
                <w:szCs w:val="20"/>
              </w:rPr>
              <w:t xml:space="preserve">, </w:t>
            </w:r>
            <w:r w:rsidRPr="006D39D0">
              <w:rPr>
                <w:rFonts w:eastAsia="Times New Roman"/>
                <w:i/>
                <w:sz w:val="20"/>
                <w:szCs w:val="20"/>
              </w:rPr>
              <w:t xml:space="preserve">β </w:t>
            </w:r>
            <w:r w:rsidRPr="006D39D0">
              <w:rPr>
                <w:rFonts w:eastAsia="Times New Roman"/>
                <w:iCs/>
                <w:sz w:val="20"/>
                <w:szCs w:val="20"/>
              </w:rPr>
              <w:t>= .</w:t>
            </w:r>
            <w:r>
              <w:rPr>
                <w:rFonts w:eastAsia="Times New Roman"/>
                <w:iCs/>
                <w:sz w:val="20"/>
                <w:szCs w:val="20"/>
              </w:rPr>
              <w:t>011</w:t>
            </w:r>
            <w:r w:rsidRPr="006D39D0">
              <w:rPr>
                <w:rFonts w:eastAsia="Times New Roman"/>
                <w:sz w:val="20"/>
                <w:szCs w:val="20"/>
              </w:rPr>
              <w:t xml:space="preserve">, </w:t>
            </w:r>
            <w:r w:rsidRPr="000F1904">
              <w:rPr>
                <w:rFonts w:eastAsia="Times New Roman"/>
                <w:i/>
                <w:sz w:val="20"/>
                <w:szCs w:val="20"/>
              </w:rPr>
              <w:t xml:space="preserve">p </w:t>
            </w:r>
            <w:r>
              <w:rPr>
                <w:rFonts w:eastAsia="Times New Roman"/>
                <w:sz w:val="20"/>
                <w:szCs w:val="20"/>
              </w:rPr>
              <w:t>=</w:t>
            </w:r>
            <w:r w:rsidRPr="000F1904">
              <w:rPr>
                <w:rFonts w:eastAsia="Times New Roman"/>
                <w:sz w:val="20"/>
                <w:szCs w:val="20"/>
              </w:rPr>
              <w:t xml:space="preserve"> .</w:t>
            </w:r>
            <w:r>
              <w:rPr>
                <w:rFonts w:eastAsia="Times New Roman"/>
                <w:sz w:val="20"/>
                <w:szCs w:val="20"/>
              </w:rPr>
              <w:t>840</w:t>
            </w:r>
          </w:p>
        </w:tc>
      </w:tr>
      <w:tr w:rsidR="00AE323A" w:rsidRPr="000F1904" w14:paraId="29251760" w14:textId="77777777" w:rsidTr="00AE323A">
        <w:trPr>
          <w:trHeight w:val="630"/>
        </w:trPr>
        <w:tc>
          <w:tcPr>
            <w:tcW w:w="1965" w:type="dxa"/>
            <w:shd w:val="clear" w:color="auto" w:fill="auto"/>
            <w:vAlign w:val="center"/>
          </w:tcPr>
          <w:p w14:paraId="7238E23F" w14:textId="77777777" w:rsidR="00AE323A" w:rsidRPr="000F1904" w:rsidRDefault="00AE323A" w:rsidP="00AB3961">
            <w:pPr>
              <w:jc w:val="center"/>
              <w:rPr>
                <w:rFonts w:eastAsia="Times New Roman"/>
                <w:sz w:val="6"/>
                <w:szCs w:val="6"/>
              </w:rPr>
            </w:pPr>
          </w:p>
          <w:p w14:paraId="0B4C8BFE" w14:textId="77777777" w:rsidR="00AE323A" w:rsidRPr="000F1904" w:rsidRDefault="00AE323A" w:rsidP="00AB3961">
            <w:pPr>
              <w:jc w:val="center"/>
              <w:rPr>
                <w:rFonts w:eastAsia="Times New Roman"/>
                <w:sz w:val="20"/>
                <w:szCs w:val="20"/>
              </w:rPr>
            </w:pPr>
            <w:r w:rsidRPr="006D39D0">
              <w:rPr>
                <w:rFonts w:eastAsia="Times New Roman"/>
                <w:sz w:val="20"/>
                <w:szCs w:val="20"/>
              </w:rPr>
              <w:t>Novelty Aversion</w:t>
            </w:r>
          </w:p>
        </w:tc>
        <w:tc>
          <w:tcPr>
            <w:tcW w:w="3615" w:type="dxa"/>
            <w:tcBorders>
              <w:right w:val="nil"/>
            </w:tcBorders>
            <w:vAlign w:val="center"/>
          </w:tcPr>
          <w:p w14:paraId="12A3418E" w14:textId="77777777" w:rsidR="00AE323A" w:rsidRPr="000F1904" w:rsidRDefault="00AE323A" w:rsidP="00AB3961">
            <w:pPr>
              <w:jc w:val="center"/>
              <w:rPr>
                <w:rFonts w:eastAsia="Times New Roman"/>
                <w:sz w:val="20"/>
                <w:szCs w:val="20"/>
              </w:rPr>
            </w:pPr>
            <w:r w:rsidRPr="000F1904">
              <w:rPr>
                <w:rFonts w:eastAsia="Times New Roman"/>
                <w:i/>
                <w:sz w:val="20"/>
                <w:szCs w:val="20"/>
              </w:rPr>
              <w:t xml:space="preserve">B </w:t>
            </w:r>
            <w:r w:rsidRPr="000F1904">
              <w:rPr>
                <w:rFonts w:eastAsia="Times New Roman"/>
                <w:sz w:val="20"/>
                <w:szCs w:val="20"/>
              </w:rPr>
              <w:t>= .</w:t>
            </w:r>
            <w:r>
              <w:rPr>
                <w:rFonts w:eastAsia="Times New Roman"/>
                <w:sz w:val="20"/>
                <w:szCs w:val="20"/>
              </w:rPr>
              <w:t>099</w:t>
            </w:r>
            <w:r w:rsidRPr="006D39D0">
              <w:rPr>
                <w:rFonts w:eastAsia="Times New Roman"/>
                <w:sz w:val="20"/>
                <w:szCs w:val="20"/>
              </w:rPr>
              <w:t xml:space="preserve">, </w:t>
            </w:r>
            <w:r w:rsidRPr="006D39D0">
              <w:rPr>
                <w:rFonts w:eastAsia="Times New Roman"/>
                <w:i/>
                <w:sz w:val="20"/>
                <w:szCs w:val="20"/>
              </w:rPr>
              <w:t xml:space="preserve">β </w:t>
            </w:r>
            <w:r w:rsidRPr="006D39D0">
              <w:rPr>
                <w:rFonts w:eastAsia="Times New Roman"/>
                <w:iCs/>
                <w:sz w:val="20"/>
                <w:szCs w:val="20"/>
              </w:rPr>
              <w:t>= .</w:t>
            </w:r>
            <w:r>
              <w:rPr>
                <w:rFonts w:eastAsia="Times New Roman"/>
                <w:iCs/>
                <w:sz w:val="20"/>
                <w:szCs w:val="20"/>
              </w:rPr>
              <w:t>102</w:t>
            </w:r>
            <w:r w:rsidRPr="006D39D0">
              <w:rPr>
                <w:rFonts w:eastAsia="Times New Roman"/>
                <w:sz w:val="20"/>
                <w:szCs w:val="20"/>
              </w:rPr>
              <w:t xml:space="preserve">, </w:t>
            </w:r>
            <w:r w:rsidRPr="000F1904">
              <w:rPr>
                <w:rFonts w:eastAsia="Times New Roman"/>
                <w:i/>
                <w:sz w:val="20"/>
                <w:szCs w:val="20"/>
              </w:rPr>
              <w:t xml:space="preserve">p </w:t>
            </w:r>
            <w:r>
              <w:rPr>
                <w:rFonts w:eastAsia="Times New Roman"/>
                <w:sz w:val="20"/>
                <w:szCs w:val="20"/>
              </w:rPr>
              <w:t>=</w:t>
            </w:r>
            <w:r w:rsidRPr="000F1904">
              <w:rPr>
                <w:rFonts w:eastAsia="Times New Roman"/>
                <w:sz w:val="20"/>
                <w:szCs w:val="20"/>
              </w:rPr>
              <w:t xml:space="preserve"> .</w:t>
            </w:r>
            <w:r>
              <w:rPr>
                <w:rFonts w:eastAsia="Times New Roman"/>
                <w:sz w:val="20"/>
                <w:szCs w:val="20"/>
              </w:rPr>
              <w:t>059</w:t>
            </w:r>
          </w:p>
        </w:tc>
      </w:tr>
    </w:tbl>
    <w:p w14:paraId="0EFE861C" w14:textId="77777777" w:rsidR="00600AC7" w:rsidRDefault="00600AC7" w:rsidP="00600AC7">
      <w:pPr>
        <w:rPr>
          <w:rFonts w:eastAsia="Times New Roman"/>
          <w:i/>
          <w:sz w:val="20"/>
          <w:szCs w:val="20"/>
        </w:rPr>
      </w:pPr>
    </w:p>
    <w:p w14:paraId="556B978B" w14:textId="77777777" w:rsidR="00600AC7" w:rsidRPr="00AF1FA6" w:rsidRDefault="00600AC7" w:rsidP="00600AC7">
      <w:pPr>
        <w:rPr>
          <w:iCs/>
          <w:lang w:eastAsia="zh-CN"/>
        </w:rPr>
      </w:pPr>
      <w:r w:rsidRPr="000F1904">
        <w:rPr>
          <w:rFonts w:eastAsia="Times New Roman"/>
          <w:i/>
          <w:sz w:val="20"/>
          <w:szCs w:val="20"/>
        </w:rPr>
        <w:t>Note</w:t>
      </w:r>
      <w:r w:rsidRPr="000F1904">
        <w:rPr>
          <w:rFonts w:eastAsia="Times New Roman"/>
          <w:sz w:val="20"/>
          <w:szCs w:val="20"/>
        </w:rPr>
        <w:t xml:space="preserve">. </w:t>
      </w:r>
      <w:r w:rsidRPr="000F1904">
        <w:rPr>
          <w:rFonts w:eastAsia="Times New Roman"/>
          <w:i/>
          <w:sz w:val="20"/>
          <w:szCs w:val="20"/>
        </w:rPr>
        <w:t xml:space="preserve">B </w:t>
      </w:r>
      <w:r>
        <w:rPr>
          <w:rFonts w:eastAsia="Times New Roman"/>
          <w:sz w:val="20"/>
          <w:szCs w:val="20"/>
        </w:rPr>
        <w:t xml:space="preserve">= Unstandardized coefficient. </w:t>
      </w:r>
      <w:r w:rsidRPr="008F33F3">
        <w:rPr>
          <w:rFonts w:eastAsia="Times New Roman"/>
          <w:i/>
          <w:sz w:val="20"/>
          <w:szCs w:val="20"/>
        </w:rPr>
        <w:t>β</w:t>
      </w:r>
      <w:r>
        <w:rPr>
          <w:rFonts w:eastAsia="Times New Roman"/>
          <w:i/>
          <w:sz w:val="20"/>
          <w:szCs w:val="20"/>
        </w:rPr>
        <w:t xml:space="preserve"> </w:t>
      </w:r>
      <w:r>
        <w:rPr>
          <w:rFonts w:eastAsia="Times New Roman"/>
          <w:iCs/>
          <w:sz w:val="20"/>
          <w:szCs w:val="20"/>
        </w:rPr>
        <w:t xml:space="preserve">= Standardized coefficient. </w:t>
      </w:r>
    </w:p>
    <w:p w14:paraId="1BA19241" w14:textId="77777777" w:rsidR="00600AC7" w:rsidRDefault="00600AC7" w:rsidP="00600AC7">
      <w:pPr>
        <w:rPr>
          <w:lang w:eastAsia="zh-CN"/>
        </w:rPr>
      </w:pPr>
    </w:p>
    <w:p w14:paraId="20748A87" w14:textId="77777777" w:rsidR="00600AC7" w:rsidRDefault="00600AC7" w:rsidP="00600AC7">
      <w:pPr>
        <w:rPr>
          <w:rFonts w:eastAsia="Times New Roman"/>
          <w:i/>
          <w:lang w:eastAsia="zh-CN"/>
        </w:rPr>
      </w:pPr>
    </w:p>
    <w:p w14:paraId="31F31863" w14:textId="0325FEC9" w:rsidR="00600AC7" w:rsidRPr="00E67DF3" w:rsidRDefault="00CE1D3A" w:rsidP="00600AC7">
      <w:pPr>
        <w:rPr>
          <w:rFonts w:eastAsia="Times New Roman"/>
          <w:lang w:eastAsia="zh-CN"/>
        </w:rPr>
      </w:pPr>
      <w:r>
        <w:rPr>
          <w:rFonts w:eastAsia="Times New Roman"/>
          <w:noProof/>
          <w:lang w:eastAsia="zh-CN"/>
        </w:rPr>
        <w:lastRenderedPageBreak/>
        <w:drawing>
          <wp:inline distT="0" distB="0" distL="0" distR="0" wp14:anchorId="2CCEAA3C" wp14:editId="50142367">
            <wp:extent cx="3498574" cy="34985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2669" cy="3502669"/>
                    </a:xfrm>
                    <a:prstGeom prst="rect">
                      <a:avLst/>
                    </a:prstGeom>
                    <a:noFill/>
                    <a:ln>
                      <a:noFill/>
                    </a:ln>
                  </pic:spPr>
                </pic:pic>
              </a:graphicData>
            </a:graphic>
          </wp:inline>
        </w:drawing>
      </w:r>
    </w:p>
    <w:p w14:paraId="55FB6268" w14:textId="77777777" w:rsidR="00600AC7" w:rsidRDefault="00600AC7" w:rsidP="00600AC7">
      <w:pPr>
        <w:rPr>
          <w:rFonts w:eastAsia="Times New Roman"/>
          <w:i/>
          <w:lang w:eastAsia="zh-CN"/>
        </w:rPr>
      </w:pPr>
    </w:p>
    <w:p w14:paraId="7AA8E765" w14:textId="2AD05A4B" w:rsidR="00EF3D35" w:rsidRDefault="00600AC7" w:rsidP="00600AC7">
      <w:pPr>
        <w:jc w:val="both"/>
      </w:pPr>
      <w:r w:rsidRPr="003C54E6">
        <w:rPr>
          <w:rFonts w:eastAsia="Times New Roman"/>
          <w:i/>
          <w:lang w:eastAsia="zh-CN"/>
        </w:rPr>
        <w:t xml:space="preserve">Figure </w:t>
      </w:r>
      <w:r w:rsidR="00206C8A">
        <w:rPr>
          <w:rFonts w:eastAsia="Times New Roman"/>
          <w:i/>
          <w:lang w:eastAsia="zh-CN"/>
        </w:rPr>
        <w:t>S</w:t>
      </w:r>
      <w:r w:rsidR="005C2C88">
        <w:rPr>
          <w:rFonts w:eastAsia="Times New Roman"/>
          <w:i/>
          <w:lang w:eastAsia="zh-CN"/>
        </w:rPr>
        <w:t>2</w:t>
      </w:r>
      <w:r w:rsidRPr="003C54E6">
        <w:rPr>
          <w:rFonts w:eastAsia="Times New Roman"/>
          <w:i/>
          <w:lang w:eastAsia="zh-CN"/>
        </w:rPr>
        <w:t xml:space="preserve">. </w:t>
      </w:r>
      <w:r>
        <w:rPr>
          <w:iCs/>
        </w:rPr>
        <w:t>Partial residual effect plot. D</w:t>
      </w:r>
      <w:r>
        <w:t xml:space="preserve">eviancy aversion predicted greater negative affect towards </w:t>
      </w:r>
      <w:r w:rsidR="0030212F">
        <w:t xml:space="preserve">non-fictional </w:t>
      </w:r>
      <w:r>
        <w:t>norm violations</w:t>
      </w:r>
      <w:r w:rsidRPr="00507E42">
        <w:t>.</w:t>
      </w:r>
      <w:r>
        <w:t xml:space="preserve"> Error bands</w:t>
      </w:r>
      <w:r w:rsidRPr="00507E42">
        <w:t xml:space="preserve">: </w:t>
      </w:r>
      <w:r>
        <w:rPr>
          <w:i/>
          <w:iCs/>
        </w:rPr>
        <w:t>CI</w:t>
      </w:r>
      <w:r w:rsidRPr="00192084">
        <w:t>s</w:t>
      </w:r>
      <w:r>
        <w:t xml:space="preserve"> (using </w:t>
      </w:r>
      <w:proofErr w:type="spellStart"/>
      <w:r>
        <w:t>geom_ribbon</w:t>
      </w:r>
      <w:proofErr w:type="spellEnd"/>
      <w:r>
        <w:t xml:space="preserve"> in R)</w:t>
      </w:r>
      <w:r w:rsidRPr="00507E42">
        <w:t>.</w:t>
      </w:r>
    </w:p>
    <w:p w14:paraId="32F2F33A" w14:textId="4288A058" w:rsidR="00FB370A" w:rsidRPr="008F35BD" w:rsidRDefault="00FB370A" w:rsidP="00CE1D3A">
      <w:pPr>
        <w:spacing w:line="480" w:lineRule="auto"/>
        <w:jc w:val="both"/>
        <w:rPr>
          <w:lang w:eastAsia="zh-CN"/>
        </w:rPr>
      </w:pPr>
    </w:p>
    <w:p w14:paraId="49228FF2" w14:textId="565845A4" w:rsidR="009A681E" w:rsidRDefault="009A681E" w:rsidP="009A681E">
      <w:pPr>
        <w:pStyle w:val="NoSpacing"/>
        <w:spacing w:line="480" w:lineRule="auto"/>
        <w:jc w:val="center"/>
        <w:rPr>
          <w:b/>
        </w:rPr>
      </w:pPr>
      <w:r>
        <w:rPr>
          <w:b/>
        </w:rPr>
        <w:t>Study 3</w:t>
      </w:r>
    </w:p>
    <w:p w14:paraId="4F6C8614" w14:textId="5C27B33F" w:rsidR="00456E4C" w:rsidRPr="00456E4C" w:rsidRDefault="00853B7B" w:rsidP="00456E4C">
      <w:pPr>
        <w:spacing w:line="480" w:lineRule="auto"/>
        <w:jc w:val="both"/>
        <w:rPr>
          <w:rFonts w:eastAsia="Times New Roman"/>
          <w:b/>
          <w:iCs/>
          <w:lang w:eastAsia="zh-CN"/>
        </w:rPr>
      </w:pPr>
      <w:r>
        <w:rPr>
          <w:rFonts w:eastAsia="Times New Roman"/>
          <w:b/>
          <w:iCs/>
          <w:lang w:eastAsia="zh-CN"/>
        </w:rPr>
        <w:t xml:space="preserve">Supplemental </w:t>
      </w:r>
      <w:r w:rsidR="00456E4C">
        <w:rPr>
          <w:rFonts w:eastAsia="Times New Roman"/>
          <w:b/>
          <w:iCs/>
          <w:lang w:eastAsia="zh-CN"/>
        </w:rPr>
        <w:t>Method</w:t>
      </w:r>
      <w:r w:rsidR="006E3BF1">
        <w:rPr>
          <w:rFonts w:eastAsia="Times New Roman"/>
          <w:b/>
          <w:iCs/>
          <w:lang w:eastAsia="zh-CN"/>
        </w:rPr>
        <w:t>s</w:t>
      </w:r>
    </w:p>
    <w:p w14:paraId="39CE9245" w14:textId="4EDEABAA" w:rsidR="00456E4C" w:rsidRDefault="009A681E" w:rsidP="009A681E">
      <w:pPr>
        <w:spacing w:line="480" w:lineRule="auto"/>
        <w:ind w:firstLine="720"/>
        <w:jc w:val="both"/>
        <w:rPr>
          <w:rFonts w:eastAsia="Times New Roman"/>
          <w:bCs/>
          <w:color w:val="FF0000"/>
          <w:lang w:eastAsia="zh-CN"/>
        </w:rPr>
      </w:pPr>
      <w:r w:rsidRPr="00522DF9">
        <w:rPr>
          <w:rFonts w:eastAsia="Times New Roman"/>
          <w:b/>
          <w:iCs/>
          <w:lang w:eastAsia="zh-CN"/>
        </w:rPr>
        <w:t>COVID-19 Knowledge Quiz.</w:t>
      </w:r>
      <w:r w:rsidRPr="00522DF9">
        <w:rPr>
          <w:rFonts w:eastAsia="Times New Roman"/>
          <w:b/>
          <w:lang w:eastAsia="zh-CN"/>
        </w:rPr>
        <w:t xml:space="preserve"> </w:t>
      </w:r>
      <w:r w:rsidRPr="00522DF9">
        <w:rPr>
          <w:rFonts w:eastAsia="Times New Roman"/>
          <w:bCs/>
          <w:lang w:eastAsia="zh-CN"/>
        </w:rPr>
        <w:t>We</w:t>
      </w:r>
      <w:r w:rsidR="0047216D">
        <w:rPr>
          <w:rFonts w:eastAsia="Times New Roman"/>
          <w:bCs/>
          <w:lang w:eastAsia="zh-CN"/>
        </w:rPr>
        <w:t xml:space="preserve"> also</w:t>
      </w:r>
      <w:r w:rsidRPr="00522DF9">
        <w:rPr>
          <w:rFonts w:eastAsia="Times New Roman"/>
          <w:bCs/>
          <w:lang w:eastAsia="zh-CN"/>
        </w:rPr>
        <w:t xml:space="preserve"> included a 15-item multiple choice quiz on facts about COVID-19 (Gollwitzer et al., 2021). Participants were asked a series of questions such as “The virus stays on plastic surfaces for a longer time than cardboard surfaces” (1 = </w:t>
      </w:r>
      <w:r w:rsidRPr="00522DF9">
        <w:rPr>
          <w:rFonts w:eastAsia="Times New Roman"/>
          <w:bCs/>
          <w:i/>
          <w:lang w:eastAsia="zh-CN"/>
        </w:rPr>
        <w:t>True</w:t>
      </w:r>
      <w:r w:rsidRPr="00522DF9">
        <w:rPr>
          <w:rFonts w:eastAsia="Times New Roman"/>
          <w:bCs/>
          <w:lang w:eastAsia="zh-CN"/>
        </w:rPr>
        <w:t xml:space="preserve">, 2 = </w:t>
      </w:r>
      <w:r w:rsidRPr="00522DF9">
        <w:rPr>
          <w:rFonts w:eastAsia="Times New Roman"/>
          <w:bCs/>
          <w:i/>
          <w:lang w:eastAsia="zh-CN"/>
        </w:rPr>
        <w:t>False</w:t>
      </w:r>
      <w:r w:rsidRPr="00522DF9">
        <w:rPr>
          <w:rFonts w:eastAsia="Times New Roman"/>
          <w:bCs/>
          <w:lang w:eastAsia="zh-CN"/>
        </w:rPr>
        <w:t xml:space="preserve">), and “Which virus has killed more people? (1 = </w:t>
      </w:r>
      <w:r w:rsidRPr="00522DF9">
        <w:rPr>
          <w:rFonts w:eastAsia="Times New Roman"/>
          <w:bCs/>
          <w:i/>
          <w:lang w:eastAsia="zh-CN"/>
        </w:rPr>
        <w:t>SARS</w:t>
      </w:r>
      <w:r w:rsidRPr="00522DF9">
        <w:rPr>
          <w:rFonts w:eastAsia="Times New Roman"/>
          <w:bCs/>
          <w:lang w:eastAsia="zh-CN"/>
        </w:rPr>
        <w:t xml:space="preserve">, 2 = </w:t>
      </w:r>
      <w:r w:rsidRPr="00522DF9">
        <w:rPr>
          <w:rFonts w:eastAsia="Times New Roman"/>
          <w:bCs/>
          <w:i/>
          <w:lang w:eastAsia="zh-CN"/>
        </w:rPr>
        <w:t xml:space="preserve">H5N1 (“Bird Flu”), </w:t>
      </w:r>
      <w:r w:rsidRPr="00522DF9">
        <w:rPr>
          <w:rFonts w:eastAsia="Times New Roman"/>
          <w:bCs/>
          <w:lang w:eastAsia="zh-CN"/>
        </w:rPr>
        <w:t xml:space="preserve">3 = </w:t>
      </w:r>
      <w:r w:rsidRPr="00522DF9">
        <w:rPr>
          <w:rFonts w:eastAsia="Times New Roman"/>
          <w:bCs/>
          <w:i/>
          <w:lang w:eastAsia="zh-CN"/>
        </w:rPr>
        <w:t>Covid-19</w:t>
      </w:r>
      <w:r w:rsidRPr="00522DF9">
        <w:rPr>
          <w:rFonts w:eastAsia="Times New Roman"/>
          <w:bCs/>
          <w:lang w:eastAsia="zh-CN"/>
        </w:rPr>
        <w:t xml:space="preserve">. Correct answers were given one point and incorrect answers zero points; participants’ final score was the sum of their points. If deviancy aversion predicts social distancing, it may also predict knowing more information about COVID-19. </w:t>
      </w:r>
      <w:r w:rsidRPr="00343FDD">
        <w:rPr>
          <w:rFonts w:eastAsia="Times New Roman"/>
          <w:bCs/>
          <w:color w:val="FF0000"/>
          <w:lang w:eastAsia="zh-CN"/>
        </w:rPr>
        <w:t xml:space="preserve"> </w:t>
      </w:r>
    </w:p>
    <w:p w14:paraId="767EC7E9" w14:textId="56B6F5AD" w:rsidR="009A681E" w:rsidRDefault="00E52CCB" w:rsidP="00456E4C">
      <w:pPr>
        <w:spacing w:line="480" w:lineRule="auto"/>
        <w:jc w:val="both"/>
        <w:rPr>
          <w:rFonts w:eastAsia="Times New Roman"/>
          <w:lang w:eastAsia="zh-CN"/>
        </w:rPr>
      </w:pPr>
      <w:r>
        <w:rPr>
          <w:rFonts w:eastAsia="Times New Roman"/>
          <w:b/>
          <w:lang w:eastAsia="zh-CN"/>
        </w:rPr>
        <w:t xml:space="preserve">Supplemental </w:t>
      </w:r>
      <w:r w:rsidR="00456E4C">
        <w:rPr>
          <w:rFonts w:eastAsia="Times New Roman"/>
          <w:b/>
          <w:lang w:eastAsia="zh-CN"/>
        </w:rPr>
        <w:t>Results</w:t>
      </w:r>
      <w:r w:rsidR="009A681E" w:rsidRPr="003C54E6">
        <w:rPr>
          <w:rFonts w:eastAsia="Times New Roman"/>
          <w:lang w:eastAsia="zh-CN"/>
        </w:rPr>
        <w:t xml:space="preserve"> </w:t>
      </w:r>
    </w:p>
    <w:p w14:paraId="7775068C" w14:textId="7FFA47BC" w:rsidR="006F28A6" w:rsidRDefault="007677F2" w:rsidP="009A681E">
      <w:pPr>
        <w:spacing w:line="480" w:lineRule="auto"/>
        <w:ind w:firstLine="720"/>
        <w:jc w:val="both"/>
        <w:rPr>
          <w:rFonts w:eastAsia="Times New Roman"/>
          <w:bCs/>
          <w:lang w:eastAsia="zh-CN"/>
        </w:rPr>
      </w:pPr>
      <w:r>
        <w:rPr>
          <w:rFonts w:eastAsia="Times New Roman"/>
          <w:b/>
          <w:bCs/>
          <w:lang w:eastAsia="zh-CN"/>
        </w:rPr>
        <w:lastRenderedPageBreak/>
        <w:t>Raw Correlation</w:t>
      </w:r>
      <w:r w:rsidR="00D74CCD">
        <w:rPr>
          <w:rFonts w:eastAsia="Times New Roman"/>
          <w:b/>
          <w:bCs/>
          <w:lang w:eastAsia="zh-CN"/>
        </w:rPr>
        <w:t xml:space="preserve">. </w:t>
      </w:r>
      <w:r w:rsidR="00456E4C">
        <w:rPr>
          <w:rFonts w:eastAsia="Times New Roman"/>
          <w:bCs/>
          <w:lang w:eastAsia="zh-CN"/>
        </w:rPr>
        <w:t xml:space="preserve">As pre-registered, we also examined the raw correlation between deviancy aversion and social distancing. Consistent with the findings reported in the main text, deviancy aversion predicted greater social distancing, </w:t>
      </w:r>
      <w:proofErr w:type="gramStart"/>
      <w:r w:rsidR="00456E4C">
        <w:rPr>
          <w:rFonts w:eastAsia="Times New Roman"/>
          <w:bCs/>
          <w:i/>
          <w:lang w:eastAsia="zh-CN"/>
        </w:rPr>
        <w:t>r</w:t>
      </w:r>
      <w:r w:rsidR="00456E4C">
        <w:rPr>
          <w:rFonts w:eastAsia="Times New Roman"/>
          <w:bCs/>
          <w:lang w:eastAsia="zh-CN"/>
        </w:rPr>
        <w:t>(</w:t>
      </w:r>
      <w:proofErr w:type="gramEnd"/>
      <w:r w:rsidR="00456E4C">
        <w:rPr>
          <w:rFonts w:eastAsia="Times New Roman"/>
          <w:bCs/>
          <w:lang w:eastAsia="zh-CN"/>
        </w:rPr>
        <w:t xml:space="preserve">282) = .21, </w:t>
      </w:r>
      <w:r w:rsidR="00456E4C">
        <w:rPr>
          <w:rFonts w:eastAsia="Times New Roman"/>
          <w:bCs/>
          <w:i/>
          <w:lang w:eastAsia="zh-CN"/>
        </w:rPr>
        <w:t xml:space="preserve">p </w:t>
      </w:r>
      <w:r w:rsidR="00456E4C">
        <w:rPr>
          <w:rFonts w:eastAsia="Times New Roman"/>
          <w:bCs/>
          <w:lang w:eastAsia="zh-CN"/>
        </w:rPr>
        <w:t xml:space="preserve">&lt; .001.  </w:t>
      </w:r>
    </w:p>
    <w:p w14:paraId="67F2AF8B" w14:textId="12F2B061" w:rsidR="005F7E4C" w:rsidRDefault="005F7E4C" w:rsidP="005F7E4C">
      <w:pPr>
        <w:spacing w:line="480" w:lineRule="auto"/>
        <w:ind w:firstLine="720"/>
        <w:jc w:val="both"/>
        <w:rPr>
          <w:lang w:eastAsia="zh-CN"/>
        </w:rPr>
      </w:pPr>
      <w:r>
        <w:rPr>
          <w:b/>
          <w:lang w:eastAsia="zh-CN"/>
        </w:rPr>
        <w:t>COVID-19 Knowledge</w:t>
      </w:r>
      <w:r w:rsidR="004215CA">
        <w:rPr>
          <w:b/>
          <w:lang w:eastAsia="zh-CN"/>
        </w:rPr>
        <w:t xml:space="preserve"> Quiz</w:t>
      </w:r>
      <w:r>
        <w:rPr>
          <w:b/>
          <w:lang w:eastAsia="zh-CN"/>
        </w:rPr>
        <w:t xml:space="preserve">. </w:t>
      </w:r>
      <w:r>
        <w:rPr>
          <w:lang w:eastAsia="zh-CN"/>
        </w:rPr>
        <w:t xml:space="preserve">In line with the social distancing results, deviancy aversion also predicted greater knowledge about COVID-19 as assessed by our COVID-19 quiz, </w:t>
      </w:r>
      <w:r>
        <w:rPr>
          <w:i/>
          <w:iCs/>
          <w:lang w:eastAsia="zh-CN"/>
        </w:rPr>
        <w:t xml:space="preserve">p </w:t>
      </w:r>
      <w:r>
        <w:rPr>
          <w:lang w:eastAsia="zh-CN"/>
        </w:rPr>
        <w:t>&lt; .001.</w:t>
      </w:r>
      <w:r>
        <w:rPr>
          <w:rStyle w:val="FootnoteReference"/>
          <w:lang w:eastAsia="zh-CN"/>
        </w:rPr>
        <w:footnoteReference w:id="1"/>
      </w:r>
      <w:r>
        <w:rPr>
          <w:lang w:eastAsia="zh-CN"/>
        </w:rPr>
        <w:t xml:space="preserve"> And again, none of the other included variables positively predicted COVID-19 knowledge. Arguing against demand bias, the COVID-19 quiz was a performance rather than self-report measure. Additionally, and as was the cased for distancing norms, aversion to unbroken patterns and novelty aversion (which were both measured similarly to deviancy aversion) did not predict COVID-19 knowledge, </w:t>
      </w:r>
      <w:proofErr w:type="spellStart"/>
      <w:r>
        <w:rPr>
          <w:i/>
          <w:iCs/>
          <w:lang w:eastAsia="zh-CN"/>
        </w:rPr>
        <w:t>p</w:t>
      </w:r>
      <w:r>
        <w:rPr>
          <w:lang w:eastAsia="zh-CN"/>
        </w:rPr>
        <w:t>s</w:t>
      </w:r>
      <w:proofErr w:type="spellEnd"/>
      <w:r>
        <w:rPr>
          <w:lang w:eastAsia="zh-CN"/>
        </w:rPr>
        <w:t xml:space="preserve"> &gt; .216</w:t>
      </w:r>
      <w:r w:rsidR="00B04ED4">
        <w:rPr>
          <w:lang w:eastAsia="zh-CN"/>
        </w:rPr>
        <w:t xml:space="preserve"> (Table S</w:t>
      </w:r>
      <w:r w:rsidR="00AB3961">
        <w:rPr>
          <w:lang w:eastAsia="zh-CN"/>
        </w:rPr>
        <w:t>4</w:t>
      </w:r>
      <w:r w:rsidR="00B04ED4">
        <w:rPr>
          <w:lang w:eastAsia="zh-CN"/>
        </w:rPr>
        <w:t>)</w:t>
      </w:r>
      <w:r>
        <w:rPr>
          <w:lang w:eastAsia="zh-CN"/>
        </w:rPr>
        <w:t xml:space="preserve">. </w:t>
      </w:r>
    </w:p>
    <w:p w14:paraId="290B199B" w14:textId="3AC2F939" w:rsidR="00B83ACD" w:rsidRPr="000F1904" w:rsidRDefault="00B83ACD" w:rsidP="00B83ACD">
      <w:pPr>
        <w:rPr>
          <w:rFonts w:eastAsia="Times New Roman"/>
          <w:b/>
        </w:rPr>
      </w:pPr>
      <w:r w:rsidRPr="000F1904">
        <w:rPr>
          <w:rFonts w:eastAsia="Times New Roman"/>
          <w:b/>
        </w:rPr>
        <w:t xml:space="preserve">Table </w:t>
      </w:r>
      <w:r>
        <w:rPr>
          <w:rFonts w:eastAsia="Times New Roman"/>
          <w:b/>
        </w:rPr>
        <w:t>S</w:t>
      </w:r>
      <w:r w:rsidR="00AB3961">
        <w:rPr>
          <w:rFonts w:eastAsia="Times New Roman"/>
          <w:b/>
        </w:rPr>
        <w:t>4</w:t>
      </w:r>
    </w:p>
    <w:p w14:paraId="29E214D8" w14:textId="1E7D89BD" w:rsidR="00B83ACD" w:rsidRPr="000F1904" w:rsidRDefault="00B83ACD" w:rsidP="00B83ACD">
      <w:pPr>
        <w:rPr>
          <w:rFonts w:eastAsia="Times New Roman"/>
          <w:i/>
        </w:rPr>
      </w:pPr>
      <w:r w:rsidRPr="000F1904">
        <w:rPr>
          <w:rFonts w:eastAsia="Times New Roman"/>
          <w:i/>
        </w:rPr>
        <w:t xml:space="preserve">Output of </w:t>
      </w:r>
      <w:r>
        <w:rPr>
          <w:rFonts w:eastAsia="Times New Roman"/>
          <w:i/>
        </w:rPr>
        <w:t xml:space="preserve">Linear Regressions. Deviancy Aversion Predicted </w:t>
      </w:r>
      <w:r w:rsidR="002A4DC4">
        <w:rPr>
          <w:rFonts w:eastAsia="Times New Roman"/>
          <w:i/>
        </w:rPr>
        <w:t>Greater</w:t>
      </w:r>
      <w:r>
        <w:rPr>
          <w:rFonts w:eastAsia="Times New Roman"/>
          <w:i/>
        </w:rPr>
        <w:t xml:space="preserve"> Knowledge About COVID-19.</w:t>
      </w:r>
      <w:r w:rsidRPr="000F1904">
        <w:rPr>
          <w:rFonts w:eastAsia="Times New Roman"/>
          <w:i/>
        </w:rPr>
        <w:t xml:space="preserve">   </w:t>
      </w:r>
      <w:r w:rsidRPr="000F1904">
        <w:rPr>
          <w:rFonts w:eastAsia="Times New Roman"/>
        </w:rPr>
        <w:t xml:space="preserve">   </w:t>
      </w:r>
    </w:p>
    <w:p w14:paraId="61466B86" w14:textId="77777777" w:rsidR="00B83ACD" w:rsidRPr="000F1904" w:rsidRDefault="00B83ACD" w:rsidP="00B83ACD">
      <w:pPr>
        <w:rPr>
          <w:rFonts w:eastAsia="Times New Roman"/>
          <w:i/>
        </w:rPr>
      </w:pPr>
    </w:p>
    <w:tbl>
      <w:tblPr>
        <w:tblW w:w="5565" w:type="dxa"/>
        <w:tblLayout w:type="fixed"/>
        <w:tblLook w:val="0400" w:firstRow="0" w:lastRow="0" w:firstColumn="0" w:lastColumn="0" w:noHBand="0" w:noVBand="1"/>
      </w:tblPr>
      <w:tblGrid>
        <w:gridCol w:w="1965"/>
        <w:gridCol w:w="3600"/>
      </w:tblGrid>
      <w:tr w:rsidR="00BF46E2" w:rsidRPr="000F1904" w14:paraId="621E8319" w14:textId="77777777" w:rsidTr="00BF46E2">
        <w:trPr>
          <w:trHeight w:val="899"/>
        </w:trPr>
        <w:tc>
          <w:tcPr>
            <w:tcW w:w="1965" w:type="dxa"/>
            <w:tcBorders>
              <w:top w:val="single" w:sz="4" w:space="0" w:color="000000"/>
            </w:tcBorders>
            <w:shd w:val="clear" w:color="auto" w:fill="FFFFFF"/>
            <w:vAlign w:val="center"/>
          </w:tcPr>
          <w:p w14:paraId="6597D157" w14:textId="77777777" w:rsidR="00BF46E2" w:rsidRPr="000F1904" w:rsidRDefault="00BF46E2" w:rsidP="00AB3961">
            <w:pPr>
              <w:widowControl w:val="0"/>
              <w:spacing w:line="276" w:lineRule="auto"/>
              <w:rPr>
                <w:rFonts w:eastAsia="Times New Roman"/>
                <w:sz w:val="20"/>
                <w:szCs w:val="20"/>
              </w:rPr>
            </w:pPr>
          </w:p>
        </w:tc>
        <w:tc>
          <w:tcPr>
            <w:tcW w:w="3600" w:type="dxa"/>
            <w:tcBorders>
              <w:top w:val="single" w:sz="4" w:space="0" w:color="000000"/>
              <w:bottom w:val="single" w:sz="4" w:space="0" w:color="000000"/>
            </w:tcBorders>
            <w:shd w:val="clear" w:color="auto" w:fill="FFFFFF"/>
            <w:vAlign w:val="center"/>
          </w:tcPr>
          <w:p w14:paraId="3387218A" w14:textId="77777777" w:rsidR="00BF46E2" w:rsidRPr="000F1904" w:rsidRDefault="00BF46E2" w:rsidP="00AB3961">
            <w:pPr>
              <w:jc w:val="center"/>
              <w:rPr>
                <w:rFonts w:eastAsia="Times New Roman"/>
                <w:iCs/>
                <w:sz w:val="20"/>
                <w:szCs w:val="20"/>
              </w:rPr>
            </w:pPr>
            <w:r>
              <w:rPr>
                <w:rFonts w:eastAsia="Times New Roman"/>
                <w:iCs/>
                <w:sz w:val="20"/>
                <w:szCs w:val="20"/>
              </w:rPr>
              <w:t>COVID-19 Knowledge Performance</w:t>
            </w:r>
          </w:p>
        </w:tc>
      </w:tr>
      <w:tr w:rsidR="00BF46E2" w:rsidRPr="000F1904" w14:paraId="50AA04C2" w14:textId="77777777" w:rsidTr="00BF46E2">
        <w:trPr>
          <w:trHeight w:val="440"/>
        </w:trPr>
        <w:tc>
          <w:tcPr>
            <w:tcW w:w="1965" w:type="dxa"/>
            <w:tcBorders>
              <w:top w:val="single" w:sz="4" w:space="0" w:color="000000"/>
              <w:bottom w:val="nil"/>
            </w:tcBorders>
            <w:shd w:val="clear" w:color="auto" w:fill="auto"/>
            <w:vAlign w:val="center"/>
          </w:tcPr>
          <w:p w14:paraId="4798395D" w14:textId="77777777" w:rsidR="00BF46E2" w:rsidRPr="00216B75" w:rsidRDefault="00BF46E2" w:rsidP="00AB3961">
            <w:pPr>
              <w:jc w:val="center"/>
              <w:rPr>
                <w:rFonts w:eastAsia="Times New Roman"/>
                <w:bCs/>
                <w:i/>
                <w:iCs/>
                <w:sz w:val="20"/>
                <w:szCs w:val="20"/>
              </w:rPr>
            </w:pPr>
            <w:r>
              <w:rPr>
                <w:rFonts w:eastAsia="Times New Roman"/>
                <w:bCs/>
                <w:i/>
                <w:iCs/>
                <w:sz w:val="20"/>
                <w:szCs w:val="20"/>
              </w:rPr>
              <w:t>Descriptive Statistics</w:t>
            </w:r>
          </w:p>
        </w:tc>
        <w:tc>
          <w:tcPr>
            <w:tcW w:w="3600" w:type="dxa"/>
            <w:tcBorders>
              <w:top w:val="single" w:sz="4" w:space="0" w:color="000000"/>
              <w:bottom w:val="nil"/>
              <w:right w:val="nil"/>
            </w:tcBorders>
            <w:vAlign w:val="center"/>
          </w:tcPr>
          <w:p w14:paraId="0B6F8766" w14:textId="77777777" w:rsidR="00BF46E2" w:rsidRPr="000F1904" w:rsidRDefault="00BF46E2" w:rsidP="00AB3961">
            <w:pPr>
              <w:jc w:val="center"/>
              <w:rPr>
                <w:rFonts w:eastAsia="Times New Roman"/>
                <w:bCs/>
                <w:i/>
                <w:sz w:val="20"/>
                <w:szCs w:val="20"/>
              </w:rPr>
            </w:pPr>
            <w:r>
              <w:rPr>
                <w:i/>
                <w:sz w:val="20"/>
                <w:szCs w:val="20"/>
              </w:rPr>
              <w:t xml:space="preserve">M </w:t>
            </w:r>
            <w:r>
              <w:rPr>
                <w:iCs/>
                <w:sz w:val="20"/>
                <w:szCs w:val="20"/>
              </w:rPr>
              <w:t xml:space="preserve">= 11.13, </w:t>
            </w:r>
            <w:r>
              <w:rPr>
                <w:i/>
                <w:sz w:val="20"/>
                <w:szCs w:val="20"/>
              </w:rPr>
              <w:t xml:space="preserve">SD </w:t>
            </w:r>
            <w:r>
              <w:rPr>
                <w:iCs/>
                <w:sz w:val="20"/>
                <w:szCs w:val="20"/>
              </w:rPr>
              <w:t xml:space="preserve">= 2.32, </w:t>
            </w:r>
            <w:r w:rsidRPr="004B21F2">
              <w:rPr>
                <w:i/>
                <w:sz w:val="20"/>
                <w:szCs w:val="20"/>
              </w:rPr>
              <w:t>ω</w:t>
            </w:r>
            <w:r w:rsidRPr="004B21F2">
              <w:rPr>
                <w:sz w:val="20"/>
                <w:szCs w:val="20"/>
              </w:rPr>
              <w:t xml:space="preserve"> = .</w:t>
            </w:r>
            <w:r>
              <w:rPr>
                <w:sz w:val="20"/>
                <w:szCs w:val="20"/>
              </w:rPr>
              <w:t>70</w:t>
            </w:r>
          </w:p>
        </w:tc>
      </w:tr>
      <w:tr w:rsidR="00BF46E2" w:rsidRPr="000F1904" w14:paraId="63ED0C13" w14:textId="77777777" w:rsidTr="00BF46E2">
        <w:trPr>
          <w:trHeight w:val="530"/>
        </w:trPr>
        <w:tc>
          <w:tcPr>
            <w:tcW w:w="1965" w:type="dxa"/>
            <w:tcBorders>
              <w:top w:val="single" w:sz="4" w:space="0" w:color="000000"/>
              <w:bottom w:val="nil"/>
            </w:tcBorders>
            <w:shd w:val="clear" w:color="auto" w:fill="auto"/>
            <w:vAlign w:val="center"/>
          </w:tcPr>
          <w:p w14:paraId="258562DD" w14:textId="77777777" w:rsidR="00BF46E2" w:rsidRPr="000F1904" w:rsidRDefault="00BF46E2" w:rsidP="00AB3961">
            <w:pPr>
              <w:jc w:val="center"/>
              <w:rPr>
                <w:rFonts w:eastAsia="Times New Roman"/>
                <w:bCs/>
                <w:sz w:val="6"/>
                <w:szCs w:val="6"/>
              </w:rPr>
            </w:pPr>
            <w:r w:rsidRPr="00216B75">
              <w:rPr>
                <w:rFonts w:eastAsia="Times New Roman"/>
                <w:bCs/>
                <w:i/>
                <w:iCs/>
                <w:sz w:val="20"/>
                <w:szCs w:val="20"/>
              </w:rPr>
              <w:t>Variance Explained</w:t>
            </w:r>
          </w:p>
        </w:tc>
        <w:tc>
          <w:tcPr>
            <w:tcW w:w="3600" w:type="dxa"/>
            <w:tcBorders>
              <w:top w:val="single" w:sz="4" w:space="0" w:color="000000"/>
              <w:bottom w:val="nil"/>
              <w:right w:val="nil"/>
            </w:tcBorders>
            <w:vAlign w:val="center"/>
          </w:tcPr>
          <w:p w14:paraId="5A7209C1" w14:textId="77777777" w:rsidR="00BF46E2" w:rsidRPr="000F1904" w:rsidRDefault="00BF46E2" w:rsidP="00AB3961">
            <w:pPr>
              <w:jc w:val="center"/>
              <w:rPr>
                <w:rFonts w:eastAsia="Times New Roman"/>
                <w:bCs/>
                <w:i/>
                <w:sz w:val="20"/>
                <w:szCs w:val="20"/>
              </w:rPr>
            </w:pPr>
            <w:r w:rsidRPr="00DB435C">
              <w:rPr>
                <w:i/>
                <w:iCs/>
                <w:sz w:val="20"/>
                <w:szCs w:val="20"/>
              </w:rPr>
              <w:t>R</w:t>
            </w:r>
            <w:r>
              <w:rPr>
                <w:sz w:val="20"/>
                <w:szCs w:val="20"/>
                <w:vertAlign w:val="superscript"/>
              </w:rPr>
              <w:t>2</w:t>
            </w:r>
            <w:r>
              <w:rPr>
                <w:sz w:val="20"/>
                <w:szCs w:val="20"/>
              </w:rPr>
              <w:t xml:space="preserve"> = .34</w:t>
            </w:r>
          </w:p>
        </w:tc>
      </w:tr>
      <w:tr w:rsidR="00BF46E2" w:rsidRPr="000F1904" w14:paraId="17B0347F" w14:textId="77777777" w:rsidTr="00BF46E2">
        <w:trPr>
          <w:trHeight w:val="665"/>
        </w:trPr>
        <w:tc>
          <w:tcPr>
            <w:tcW w:w="1965" w:type="dxa"/>
            <w:tcBorders>
              <w:top w:val="single" w:sz="4" w:space="0" w:color="000000"/>
              <w:bottom w:val="nil"/>
            </w:tcBorders>
            <w:shd w:val="clear" w:color="auto" w:fill="auto"/>
            <w:vAlign w:val="center"/>
          </w:tcPr>
          <w:p w14:paraId="17F52260" w14:textId="77777777" w:rsidR="00BF46E2" w:rsidRPr="000F1904" w:rsidRDefault="00BF46E2" w:rsidP="00AB3961">
            <w:pPr>
              <w:jc w:val="center"/>
              <w:rPr>
                <w:rFonts w:eastAsia="Times New Roman"/>
                <w:b/>
                <w:sz w:val="6"/>
                <w:szCs w:val="6"/>
              </w:rPr>
            </w:pPr>
          </w:p>
          <w:p w14:paraId="32347ED0" w14:textId="77777777" w:rsidR="00BF46E2" w:rsidRPr="000F1904" w:rsidRDefault="00BF46E2" w:rsidP="00AB3961">
            <w:pPr>
              <w:jc w:val="center"/>
              <w:rPr>
                <w:rFonts w:eastAsia="Times New Roman"/>
                <w:b/>
                <w:i/>
                <w:sz w:val="20"/>
                <w:szCs w:val="20"/>
              </w:rPr>
            </w:pPr>
            <w:r w:rsidRPr="005D79C1">
              <w:rPr>
                <w:rFonts w:eastAsia="Times New Roman"/>
                <w:b/>
                <w:sz w:val="20"/>
                <w:szCs w:val="20"/>
              </w:rPr>
              <w:t>Deviancy Aversion</w:t>
            </w:r>
          </w:p>
        </w:tc>
        <w:tc>
          <w:tcPr>
            <w:tcW w:w="3600" w:type="dxa"/>
            <w:tcBorders>
              <w:top w:val="single" w:sz="4" w:space="0" w:color="000000"/>
              <w:bottom w:val="nil"/>
              <w:right w:val="nil"/>
            </w:tcBorders>
            <w:vAlign w:val="center"/>
          </w:tcPr>
          <w:p w14:paraId="302F0A70" w14:textId="77777777" w:rsidR="00BF46E2" w:rsidRPr="000F1904" w:rsidRDefault="00BF46E2" w:rsidP="00AB3961">
            <w:pPr>
              <w:jc w:val="center"/>
              <w:rPr>
                <w:rFonts w:eastAsia="Times New Roman"/>
                <w:b/>
                <w:i/>
                <w:sz w:val="20"/>
                <w:szCs w:val="20"/>
              </w:rPr>
            </w:pPr>
            <w:r w:rsidRPr="000F1904">
              <w:rPr>
                <w:rFonts w:eastAsia="Times New Roman"/>
                <w:b/>
                <w:i/>
                <w:sz w:val="20"/>
                <w:szCs w:val="20"/>
              </w:rPr>
              <w:t xml:space="preserve">B </w:t>
            </w:r>
            <w:r w:rsidRPr="000F1904">
              <w:rPr>
                <w:rFonts w:eastAsia="Times New Roman"/>
                <w:b/>
                <w:sz w:val="20"/>
                <w:szCs w:val="20"/>
              </w:rPr>
              <w:t xml:space="preserve">= </w:t>
            </w:r>
            <w:r>
              <w:rPr>
                <w:rFonts w:eastAsia="Times New Roman"/>
                <w:b/>
                <w:sz w:val="20"/>
                <w:szCs w:val="20"/>
              </w:rPr>
              <w:t xml:space="preserve">.386, </w:t>
            </w:r>
            <w:r w:rsidRPr="005D79C1">
              <w:rPr>
                <w:rFonts w:eastAsia="Times New Roman"/>
                <w:b/>
                <w:i/>
                <w:sz w:val="20"/>
                <w:szCs w:val="20"/>
              </w:rPr>
              <w:t xml:space="preserve">β </w:t>
            </w:r>
            <w:r w:rsidRPr="005D79C1">
              <w:rPr>
                <w:rFonts w:eastAsia="Times New Roman"/>
                <w:b/>
                <w:iCs/>
                <w:sz w:val="20"/>
                <w:szCs w:val="20"/>
              </w:rPr>
              <w:t>= .</w:t>
            </w:r>
            <w:r>
              <w:rPr>
                <w:rFonts w:eastAsia="Times New Roman"/>
                <w:b/>
                <w:iCs/>
                <w:sz w:val="20"/>
                <w:szCs w:val="20"/>
              </w:rPr>
              <w:t>254</w:t>
            </w:r>
            <w:r>
              <w:rPr>
                <w:rFonts w:eastAsia="Times New Roman"/>
                <w:b/>
                <w:sz w:val="20"/>
                <w:szCs w:val="20"/>
              </w:rPr>
              <w:t xml:space="preserve">, </w:t>
            </w:r>
            <w:r w:rsidRPr="000F1904">
              <w:rPr>
                <w:rFonts w:eastAsia="Times New Roman"/>
                <w:b/>
                <w:i/>
                <w:sz w:val="20"/>
                <w:szCs w:val="20"/>
              </w:rPr>
              <w:t xml:space="preserve">p </w:t>
            </w:r>
            <w:r w:rsidRPr="005D79C1">
              <w:rPr>
                <w:rFonts w:eastAsia="Times New Roman"/>
                <w:b/>
                <w:sz w:val="20"/>
                <w:szCs w:val="20"/>
              </w:rPr>
              <w:t>&lt;</w:t>
            </w:r>
            <w:r w:rsidRPr="000F1904">
              <w:rPr>
                <w:rFonts w:eastAsia="Times New Roman"/>
                <w:b/>
                <w:sz w:val="20"/>
                <w:szCs w:val="20"/>
              </w:rPr>
              <w:t xml:space="preserve"> .001</w:t>
            </w:r>
          </w:p>
        </w:tc>
      </w:tr>
      <w:tr w:rsidR="00BF46E2" w:rsidRPr="000F1904" w14:paraId="13249C03" w14:textId="77777777" w:rsidTr="00BF46E2">
        <w:trPr>
          <w:trHeight w:val="630"/>
        </w:trPr>
        <w:tc>
          <w:tcPr>
            <w:tcW w:w="1965" w:type="dxa"/>
            <w:tcBorders>
              <w:top w:val="nil"/>
            </w:tcBorders>
            <w:shd w:val="clear" w:color="auto" w:fill="auto"/>
            <w:vAlign w:val="center"/>
          </w:tcPr>
          <w:p w14:paraId="5DDA9C64" w14:textId="77777777" w:rsidR="00BF46E2" w:rsidRPr="000F1904" w:rsidRDefault="00BF46E2" w:rsidP="00AB3961">
            <w:pPr>
              <w:jc w:val="center"/>
              <w:rPr>
                <w:rFonts w:eastAsia="Times New Roman"/>
                <w:sz w:val="6"/>
                <w:szCs w:val="6"/>
              </w:rPr>
            </w:pPr>
          </w:p>
          <w:p w14:paraId="26AE8145" w14:textId="77777777" w:rsidR="00BF46E2" w:rsidRPr="000F1904" w:rsidRDefault="00BF46E2" w:rsidP="00AB3961">
            <w:pPr>
              <w:jc w:val="center"/>
              <w:rPr>
                <w:rFonts w:eastAsia="Times New Roman"/>
                <w:sz w:val="20"/>
                <w:szCs w:val="20"/>
              </w:rPr>
            </w:pPr>
            <w:r w:rsidRPr="006D39D0">
              <w:rPr>
                <w:rFonts w:eastAsia="Times New Roman"/>
                <w:sz w:val="20"/>
                <w:szCs w:val="20"/>
              </w:rPr>
              <w:t>Aversion to Unbroken Patterns</w:t>
            </w:r>
          </w:p>
        </w:tc>
        <w:tc>
          <w:tcPr>
            <w:tcW w:w="3600" w:type="dxa"/>
            <w:tcBorders>
              <w:right w:val="nil"/>
            </w:tcBorders>
            <w:vAlign w:val="center"/>
          </w:tcPr>
          <w:p w14:paraId="54BA88F2" w14:textId="77777777" w:rsidR="00BF46E2" w:rsidRPr="000F1904" w:rsidRDefault="00BF46E2" w:rsidP="00AB3961">
            <w:pPr>
              <w:jc w:val="center"/>
              <w:rPr>
                <w:rFonts w:eastAsia="Times New Roman"/>
                <w:i/>
                <w:sz w:val="20"/>
                <w:szCs w:val="20"/>
              </w:rPr>
            </w:pPr>
            <w:r w:rsidRPr="000F1904">
              <w:rPr>
                <w:rFonts w:eastAsia="Times New Roman"/>
                <w:i/>
                <w:sz w:val="20"/>
                <w:szCs w:val="20"/>
              </w:rPr>
              <w:t xml:space="preserve">B </w:t>
            </w:r>
            <w:r w:rsidRPr="000F1904">
              <w:rPr>
                <w:rFonts w:eastAsia="Times New Roman"/>
                <w:sz w:val="20"/>
                <w:szCs w:val="20"/>
              </w:rPr>
              <w:t>= .</w:t>
            </w:r>
            <w:r>
              <w:rPr>
                <w:rFonts w:eastAsia="Times New Roman"/>
                <w:sz w:val="20"/>
                <w:szCs w:val="20"/>
              </w:rPr>
              <w:t>125</w:t>
            </w:r>
            <w:r w:rsidRPr="006D39D0">
              <w:rPr>
                <w:rFonts w:eastAsia="Times New Roman"/>
                <w:sz w:val="20"/>
                <w:szCs w:val="20"/>
              </w:rPr>
              <w:t xml:space="preserve">, </w:t>
            </w:r>
            <w:r w:rsidRPr="006D39D0">
              <w:rPr>
                <w:rFonts w:eastAsia="Times New Roman"/>
                <w:i/>
                <w:sz w:val="20"/>
                <w:szCs w:val="20"/>
              </w:rPr>
              <w:t xml:space="preserve">β </w:t>
            </w:r>
            <w:r w:rsidRPr="006D39D0">
              <w:rPr>
                <w:rFonts w:eastAsia="Times New Roman"/>
                <w:iCs/>
                <w:sz w:val="20"/>
                <w:szCs w:val="20"/>
              </w:rPr>
              <w:t>= .</w:t>
            </w:r>
            <w:r>
              <w:rPr>
                <w:rFonts w:eastAsia="Times New Roman"/>
                <w:iCs/>
                <w:sz w:val="20"/>
                <w:szCs w:val="20"/>
              </w:rPr>
              <w:t>075</w:t>
            </w:r>
            <w:r w:rsidRPr="006D39D0">
              <w:rPr>
                <w:rFonts w:eastAsia="Times New Roman"/>
                <w:sz w:val="20"/>
                <w:szCs w:val="20"/>
              </w:rPr>
              <w:t xml:space="preserve">, </w:t>
            </w:r>
            <w:r w:rsidRPr="000F1904">
              <w:rPr>
                <w:rFonts w:eastAsia="Times New Roman"/>
                <w:i/>
                <w:sz w:val="20"/>
                <w:szCs w:val="20"/>
              </w:rPr>
              <w:t xml:space="preserve">p </w:t>
            </w:r>
            <w:r>
              <w:rPr>
                <w:rFonts w:eastAsia="Times New Roman"/>
                <w:sz w:val="20"/>
                <w:szCs w:val="20"/>
              </w:rPr>
              <w:t>=</w:t>
            </w:r>
            <w:r w:rsidRPr="000F1904">
              <w:rPr>
                <w:rFonts w:eastAsia="Times New Roman"/>
                <w:sz w:val="20"/>
                <w:szCs w:val="20"/>
              </w:rPr>
              <w:t xml:space="preserve"> .</w:t>
            </w:r>
            <w:r>
              <w:rPr>
                <w:rFonts w:eastAsia="Times New Roman"/>
                <w:sz w:val="20"/>
                <w:szCs w:val="20"/>
              </w:rPr>
              <w:t>217</w:t>
            </w:r>
          </w:p>
        </w:tc>
      </w:tr>
      <w:tr w:rsidR="00BF46E2" w:rsidRPr="000F1904" w14:paraId="2DC3F7AD" w14:textId="77777777" w:rsidTr="00BF46E2">
        <w:trPr>
          <w:trHeight w:val="630"/>
        </w:trPr>
        <w:tc>
          <w:tcPr>
            <w:tcW w:w="1965" w:type="dxa"/>
            <w:shd w:val="clear" w:color="auto" w:fill="auto"/>
            <w:vAlign w:val="center"/>
          </w:tcPr>
          <w:p w14:paraId="7E81C85F" w14:textId="77777777" w:rsidR="00BF46E2" w:rsidRPr="000F1904" w:rsidRDefault="00BF46E2" w:rsidP="00AB3961">
            <w:pPr>
              <w:jc w:val="center"/>
              <w:rPr>
                <w:rFonts w:eastAsia="Times New Roman"/>
                <w:sz w:val="6"/>
                <w:szCs w:val="6"/>
              </w:rPr>
            </w:pPr>
          </w:p>
          <w:p w14:paraId="53F0E7EF" w14:textId="77777777" w:rsidR="00BF46E2" w:rsidRPr="000F1904" w:rsidRDefault="00BF46E2" w:rsidP="00AB3961">
            <w:pPr>
              <w:jc w:val="center"/>
              <w:rPr>
                <w:rFonts w:eastAsia="Times New Roman"/>
                <w:sz w:val="20"/>
                <w:szCs w:val="20"/>
              </w:rPr>
            </w:pPr>
            <w:r w:rsidRPr="006D39D0">
              <w:rPr>
                <w:rFonts w:eastAsia="Times New Roman"/>
                <w:sz w:val="20"/>
                <w:szCs w:val="20"/>
              </w:rPr>
              <w:t>Novelty Aversion</w:t>
            </w:r>
          </w:p>
        </w:tc>
        <w:tc>
          <w:tcPr>
            <w:tcW w:w="3600" w:type="dxa"/>
            <w:tcBorders>
              <w:right w:val="nil"/>
            </w:tcBorders>
            <w:vAlign w:val="center"/>
          </w:tcPr>
          <w:p w14:paraId="5435C499" w14:textId="77777777" w:rsidR="00BF46E2" w:rsidRPr="000F1904" w:rsidRDefault="00BF46E2" w:rsidP="00AB3961">
            <w:pPr>
              <w:jc w:val="center"/>
              <w:rPr>
                <w:rFonts w:eastAsia="Times New Roman"/>
                <w:i/>
                <w:sz w:val="20"/>
                <w:szCs w:val="20"/>
              </w:rPr>
            </w:pPr>
            <w:r w:rsidRPr="000F1904">
              <w:rPr>
                <w:rFonts w:eastAsia="Times New Roman"/>
                <w:i/>
                <w:sz w:val="20"/>
                <w:szCs w:val="20"/>
              </w:rPr>
              <w:t xml:space="preserve">B </w:t>
            </w:r>
            <w:r w:rsidRPr="000F1904">
              <w:rPr>
                <w:rFonts w:eastAsia="Times New Roman"/>
                <w:sz w:val="20"/>
                <w:szCs w:val="20"/>
              </w:rPr>
              <w:t>= .</w:t>
            </w:r>
            <w:r>
              <w:rPr>
                <w:rFonts w:eastAsia="Times New Roman"/>
                <w:sz w:val="20"/>
                <w:szCs w:val="20"/>
              </w:rPr>
              <w:t>077</w:t>
            </w:r>
            <w:r w:rsidRPr="006D39D0">
              <w:rPr>
                <w:rFonts w:eastAsia="Times New Roman"/>
                <w:sz w:val="20"/>
                <w:szCs w:val="20"/>
              </w:rPr>
              <w:t xml:space="preserve">, </w:t>
            </w:r>
            <w:r w:rsidRPr="006D39D0">
              <w:rPr>
                <w:rFonts w:eastAsia="Times New Roman"/>
                <w:i/>
                <w:sz w:val="20"/>
                <w:szCs w:val="20"/>
              </w:rPr>
              <w:t xml:space="preserve">β </w:t>
            </w:r>
            <w:r w:rsidRPr="006D39D0">
              <w:rPr>
                <w:rFonts w:eastAsia="Times New Roman"/>
                <w:iCs/>
                <w:sz w:val="20"/>
                <w:szCs w:val="20"/>
              </w:rPr>
              <w:t>= .</w:t>
            </w:r>
            <w:r>
              <w:rPr>
                <w:rFonts w:eastAsia="Times New Roman"/>
                <w:iCs/>
                <w:sz w:val="20"/>
                <w:szCs w:val="20"/>
              </w:rPr>
              <w:t>057</w:t>
            </w:r>
            <w:r w:rsidRPr="006D39D0">
              <w:rPr>
                <w:rFonts w:eastAsia="Times New Roman"/>
                <w:sz w:val="20"/>
                <w:szCs w:val="20"/>
              </w:rPr>
              <w:t xml:space="preserve">, </w:t>
            </w:r>
            <w:r w:rsidRPr="000F1904">
              <w:rPr>
                <w:rFonts w:eastAsia="Times New Roman"/>
                <w:i/>
                <w:sz w:val="20"/>
                <w:szCs w:val="20"/>
              </w:rPr>
              <w:t xml:space="preserve">p </w:t>
            </w:r>
            <w:r>
              <w:rPr>
                <w:rFonts w:eastAsia="Times New Roman"/>
                <w:sz w:val="20"/>
                <w:szCs w:val="20"/>
              </w:rPr>
              <w:t>=</w:t>
            </w:r>
            <w:r w:rsidRPr="000F1904">
              <w:rPr>
                <w:rFonts w:eastAsia="Times New Roman"/>
                <w:sz w:val="20"/>
                <w:szCs w:val="20"/>
              </w:rPr>
              <w:t xml:space="preserve"> .</w:t>
            </w:r>
            <w:r>
              <w:rPr>
                <w:rFonts w:eastAsia="Times New Roman"/>
                <w:sz w:val="20"/>
                <w:szCs w:val="20"/>
              </w:rPr>
              <w:t>371</w:t>
            </w:r>
          </w:p>
        </w:tc>
      </w:tr>
      <w:tr w:rsidR="00BF46E2" w:rsidRPr="000F1904" w14:paraId="4F92F56B" w14:textId="77777777" w:rsidTr="00BF46E2">
        <w:trPr>
          <w:trHeight w:val="630"/>
        </w:trPr>
        <w:tc>
          <w:tcPr>
            <w:tcW w:w="1965" w:type="dxa"/>
            <w:shd w:val="clear" w:color="auto" w:fill="auto"/>
            <w:vAlign w:val="center"/>
          </w:tcPr>
          <w:p w14:paraId="5201765F" w14:textId="1CCD2E75" w:rsidR="00BF46E2" w:rsidRPr="000F1904" w:rsidRDefault="00BF46E2" w:rsidP="00AB3961">
            <w:pPr>
              <w:jc w:val="center"/>
              <w:rPr>
                <w:rFonts w:eastAsia="Times New Roman"/>
                <w:sz w:val="20"/>
                <w:szCs w:val="20"/>
              </w:rPr>
            </w:pPr>
            <w:r w:rsidRPr="006D39D0">
              <w:rPr>
                <w:rFonts w:eastAsia="Times New Roman"/>
                <w:sz w:val="20"/>
                <w:szCs w:val="20"/>
              </w:rPr>
              <w:t xml:space="preserve">Intolerance </w:t>
            </w:r>
            <w:r>
              <w:rPr>
                <w:rFonts w:eastAsia="Times New Roman"/>
                <w:sz w:val="20"/>
                <w:szCs w:val="20"/>
              </w:rPr>
              <w:t>of</w:t>
            </w:r>
            <w:r w:rsidRPr="006D39D0">
              <w:rPr>
                <w:rFonts w:eastAsia="Times New Roman"/>
                <w:sz w:val="20"/>
                <w:szCs w:val="20"/>
              </w:rPr>
              <w:t xml:space="preserve"> Ambiguity</w:t>
            </w:r>
          </w:p>
        </w:tc>
        <w:tc>
          <w:tcPr>
            <w:tcW w:w="3600" w:type="dxa"/>
            <w:tcBorders>
              <w:right w:val="nil"/>
            </w:tcBorders>
            <w:vAlign w:val="center"/>
          </w:tcPr>
          <w:p w14:paraId="7C89DA91" w14:textId="77777777" w:rsidR="00BF46E2" w:rsidRPr="000F1904" w:rsidRDefault="00BF46E2" w:rsidP="00AB3961">
            <w:pPr>
              <w:jc w:val="center"/>
              <w:rPr>
                <w:rFonts w:eastAsia="Times New Roman"/>
                <w:sz w:val="20"/>
                <w:szCs w:val="20"/>
              </w:rPr>
            </w:pPr>
            <w:r w:rsidRPr="000F1904">
              <w:rPr>
                <w:rFonts w:eastAsia="Times New Roman"/>
                <w:i/>
                <w:sz w:val="20"/>
                <w:szCs w:val="20"/>
              </w:rPr>
              <w:t xml:space="preserve">B </w:t>
            </w:r>
            <w:r w:rsidRPr="000F1904">
              <w:rPr>
                <w:rFonts w:eastAsia="Times New Roman"/>
                <w:sz w:val="20"/>
                <w:szCs w:val="20"/>
              </w:rPr>
              <w:t xml:space="preserve">= </w:t>
            </w:r>
            <w:r>
              <w:rPr>
                <w:rFonts w:eastAsia="Times New Roman"/>
                <w:sz w:val="20"/>
                <w:szCs w:val="20"/>
              </w:rPr>
              <w:t>-</w:t>
            </w:r>
            <w:r w:rsidRPr="000F1904">
              <w:rPr>
                <w:rFonts w:eastAsia="Times New Roman"/>
                <w:sz w:val="20"/>
                <w:szCs w:val="20"/>
              </w:rPr>
              <w:t>.</w:t>
            </w:r>
            <w:r>
              <w:rPr>
                <w:rFonts w:eastAsia="Times New Roman"/>
                <w:sz w:val="20"/>
                <w:szCs w:val="20"/>
              </w:rPr>
              <w:t>421</w:t>
            </w:r>
            <w:r w:rsidRPr="006D39D0">
              <w:rPr>
                <w:rFonts w:eastAsia="Times New Roman"/>
                <w:sz w:val="20"/>
                <w:szCs w:val="20"/>
              </w:rPr>
              <w:t xml:space="preserve">, </w:t>
            </w:r>
            <w:r w:rsidRPr="006D39D0">
              <w:rPr>
                <w:rFonts w:eastAsia="Times New Roman"/>
                <w:i/>
                <w:sz w:val="20"/>
                <w:szCs w:val="20"/>
              </w:rPr>
              <w:t xml:space="preserve">β </w:t>
            </w:r>
            <w:r w:rsidRPr="006D39D0">
              <w:rPr>
                <w:rFonts w:eastAsia="Times New Roman"/>
                <w:iCs/>
                <w:sz w:val="20"/>
                <w:szCs w:val="20"/>
              </w:rPr>
              <w:t xml:space="preserve">= </w:t>
            </w:r>
            <w:r>
              <w:rPr>
                <w:rFonts w:eastAsia="Times New Roman"/>
                <w:iCs/>
                <w:sz w:val="20"/>
                <w:szCs w:val="20"/>
              </w:rPr>
              <w:t>-</w:t>
            </w:r>
            <w:r w:rsidRPr="006D39D0">
              <w:rPr>
                <w:rFonts w:eastAsia="Times New Roman"/>
                <w:iCs/>
                <w:sz w:val="20"/>
                <w:szCs w:val="20"/>
              </w:rPr>
              <w:t>.</w:t>
            </w:r>
            <w:r>
              <w:rPr>
                <w:rFonts w:eastAsia="Times New Roman"/>
                <w:iCs/>
                <w:sz w:val="20"/>
                <w:szCs w:val="20"/>
              </w:rPr>
              <w:t>148</w:t>
            </w:r>
            <w:r w:rsidRPr="006D39D0">
              <w:rPr>
                <w:rFonts w:eastAsia="Times New Roman"/>
                <w:sz w:val="20"/>
                <w:szCs w:val="20"/>
              </w:rPr>
              <w:t xml:space="preserve">, </w:t>
            </w:r>
            <w:r w:rsidRPr="000F1904">
              <w:rPr>
                <w:rFonts w:eastAsia="Times New Roman"/>
                <w:i/>
                <w:sz w:val="20"/>
                <w:szCs w:val="20"/>
              </w:rPr>
              <w:t xml:space="preserve">p </w:t>
            </w:r>
            <w:r>
              <w:rPr>
                <w:rFonts w:eastAsia="Times New Roman"/>
                <w:sz w:val="20"/>
                <w:szCs w:val="20"/>
              </w:rPr>
              <w:t>=</w:t>
            </w:r>
            <w:r w:rsidRPr="000F1904">
              <w:rPr>
                <w:rFonts w:eastAsia="Times New Roman"/>
                <w:sz w:val="20"/>
                <w:szCs w:val="20"/>
              </w:rPr>
              <w:t xml:space="preserve"> .0</w:t>
            </w:r>
            <w:r>
              <w:rPr>
                <w:rFonts w:eastAsia="Times New Roman"/>
                <w:sz w:val="20"/>
                <w:szCs w:val="20"/>
              </w:rPr>
              <w:t>19</w:t>
            </w:r>
          </w:p>
        </w:tc>
      </w:tr>
      <w:tr w:rsidR="00BF46E2" w:rsidRPr="000F1904" w14:paraId="546F2002" w14:textId="77777777" w:rsidTr="00BF46E2">
        <w:trPr>
          <w:trHeight w:val="630"/>
        </w:trPr>
        <w:tc>
          <w:tcPr>
            <w:tcW w:w="1965" w:type="dxa"/>
            <w:tcBorders>
              <w:bottom w:val="nil"/>
            </w:tcBorders>
            <w:shd w:val="clear" w:color="auto" w:fill="auto"/>
            <w:vAlign w:val="center"/>
          </w:tcPr>
          <w:p w14:paraId="53DDF6BE" w14:textId="77777777" w:rsidR="00BF46E2" w:rsidRPr="000F1904" w:rsidRDefault="00BF46E2" w:rsidP="00AB3961">
            <w:pPr>
              <w:jc w:val="center"/>
              <w:rPr>
                <w:rFonts w:eastAsia="Times New Roman"/>
                <w:sz w:val="6"/>
                <w:szCs w:val="6"/>
              </w:rPr>
            </w:pPr>
          </w:p>
          <w:p w14:paraId="054FADF2" w14:textId="77777777" w:rsidR="00BF46E2" w:rsidRPr="000F1904" w:rsidRDefault="00BF46E2" w:rsidP="00AB3961">
            <w:pPr>
              <w:jc w:val="center"/>
              <w:rPr>
                <w:rFonts w:eastAsia="Times New Roman"/>
                <w:i/>
                <w:sz w:val="20"/>
                <w:szCs w:val="20"/>
              </w:rPr>
            </w:pPr>
            <w:r w:rsidRPr="006D39D0">
              <w:rPr>
                <w:rFonts w:eastAsia="Times New Roman"/>
                <w:sz w:val="20"/>
                <w:szCs w:val="20"/>
              </w:rPr>
              <w:t>Political Orientation</w:t>
            </w:r>
          </w:p>
        </w:tc>
        <w:tc>
          <w:tcPr>
            <w:tcW w:w="3600" w:type="dxa"/>
            <w:tcBorders>
              <w:bottom w:val="nil"/>
              <w:right w:val="nil"/>
            </w:tcBorders>
            <w:vAlign w:val="center"/>
          </w:tcPr>
          <w:p w14:paraId="502271A8" w14:textId="77777777" w:rsidR="00BF46E2" w:rsidRPr="000F1904" w:rsidRDefault="00BF46E2" w:rsidP="00AB3961">
            <w:pPr>
              <w:jc w:val="center"/>
              <w:rPr>
                <w:rFonts w:eastAsia="Times New Roman"/>
                <w:i/>
                <w:sz w:val="20"/>
                <w:szCs w:val="20"/>
              </w:rPr>
            </w:pPr>
            <w:r w:rsidRPr="000F1904">
              <w:rPr>
                <w:rFonts w:eastAsia="Times New Roman"/>
                <w:i/>
                <w:sz w:val="20"/>
                <w:szCs w:val="20"/>
              </w:rPr>
              <w:t xml:space="preserve">B </w:t>
            </w:r>
            <w:r w:rsidRPr="000F1904">
              <w:rPr>
                <w:rFonts w:eastAsia="Times New Roman"/>
                <w:sz w:val="20"/>
                <w:szCs w:val="20"/>
              </w:rPr>
              <w:t xml:space="preserve">= </w:t>
            </w:r>
            <w:r>
              <w:rPr>
                <w:rFonts w:eastAsia="Times New Roman"/>
                <w:sz w:val="20"/>
                <w:szCs w:val="20"/>
              </w:rPr>
              <w:t>-</w:t>
            </w:r>
            <w:r w:rsidRPr="000F1904">
              <w:rPr>
                <w:rFonts w:eastAsia="Times New Roman"/>
                <w:sz w:val="20"/>
                <w:szCs w:val="20"/>
              </w:rPr>
              <w:t>.</w:t>
            </w:r>
            <w:r>
              <w:rPr>
                <w:rFonts w:eastAsia="Times New Roman"/>
                <w:sz w:val="20"/>
                <w:szCs w:val="20"/>
              </w:rPr>
              <w:t>148</w:t>
            </w:r>
            <w:r w:rsidRPr="006D39D0">
              <w:rPr>
                <w:rFonts w:eastAsia="Times New Roman"/>
                <w:sz w:val="20"/>
                <w:szCs w:val="20"/>
              </w:rPr>
              <w:t xml:space="preserve">, </w:t>
            </w:r>
            <w:r w:rsidRPr="006D39D0">
              <w:rPr>
                <w:rFonts w:eastAsia="Times New Roman"/>
                <w:i/>
                <w:sz w:val="20"/>
                <w:szCs w:val="20"/>
              </w:rPr>
              <w:t xml:space="preserve">β </w:t>
            </w:r>
            <w:r w:rsidRPr="006D39D0">
              <w:rPr>
                <w:rFonts w:eastAsia="Times New Roman"/>
                <w:iCs/>
                <w:sz w:val="20"/>
                <w:szCs w:val="20"/>
              </w:rPr>
              <w:t xml:space="preserve">= </w:t>
            </w:r>
            <w:r>
              <w:rPr>
                <w:rFonts w:eastAsia="Times New Roman"/>
                <w:iCs/>
                <w:sz w:val="20"/>
                <w:szCs w:val="20"/>
              </w:rPr>
              <w:t>-</w:t>
            </w:r>
            <w:r w:rsidRPr="006D39D0">
              <w:rPr>
                <w:rFonts w:eastAsia="Times New Roman"/>
                <w:iCs/>
                <w:sz w:val="20"/>
                <w:szCs w:val="20"/>
              </w:rPr>
              <w:t>.</w:t>
            </w:r>
            <w:r>
              <w:rPr>
                <w:rFonts w:eastAsia="Times New Roman"/>
                <w:iCs/>
                <w:sz w:val="20"/>
                <w:szCs w:val="20"/>
              </w:rPr>
              <w:t>155</w:t>
            </w:r>
            <w:r w:rsidRPr="006D39D0">
              <w:rPr>
                <w:rFonts w:eastAsia="Times New Roman"/>
                <w:sz w:val="20"/>
                <w:szCs w:val="20"/>
              </w:rPr>
              <w:t xml:space="preserve">, </w:t>
            </w:r>
            <w:r w:rsidRPr="000F1904">
              <w:rPr>
                <w:rFonts w:eastAsia="Times New Roman"/>
                <w:i/>
                <w:sz w:val="20"/>
                <w:szCs w:val="20"/>
              </w:rPr>
              <w:t xml:space="preserve">p </w:t>
            </w:r>
            <w:r>
              <w:rPr>
                <w:rFonts w:eastAsia="Times New Roman"/>
                <w:sz w:val="20"/>
                <w:szCs w:val="20"/>
              </w:rPr>
              <w:t>=</w:t>
            </w:r>
            <w:r w:rsidRPr="000F1904">
              <w:rPr>
                <w:rFonts w:eastAsia="Times New Roman"/>
                <w:sz w:val="20"/>
                <w:szCs w:val="20"/>
              </w:rPr>
              <w:t xml:space="preserve"> .00</w:t>
            </w:r>
            <w:r>
              <w:rPr>
                <w:rFonts w:eastAsia="Times New Roman"/>
                <w:sz w:val="20"/>
                <w:szCs w:val="20"/>
              </w:rPr>
              <w:t>9</w:t>
            </w:r>
          </w:p>
        </w:tc>
      </w:tr>
    </w:tbl>
    <w:p w14:paraId="462BCEBC" w14:textId="77777777" w:rsidR="00B83ACD" w:rsidRDefault="00B83ACD" w:rsidP="00B83ACD">
      <w:pPr>
        <w:rPr>
          <w:rFonts w:eastAsia="Times New Roman"/>
          <w:i/>
          <w:sz w:val="20"/>
          <w:szCs w:val="20"/>
        </w:rPr>
      </w:pPr>
    </w:p>
    <w:p w14:paraId="13747A26" w14:textId="458F7027" w:rsidR="009A681E" w:rsidRPr="0010105C" w:rsidRDefault="00B83ACD" w:rsidP="0010105C">
      <w:pPr>
        <w:rPr>
          <w:iCs/>
          <w:lang w:eastAsia="zh-CN"/>
        </w:rPr>
      </w:pPr>
      <w:r w:rsidRPr="000F1904">
        <w:rPr>
          <w:rFonts w:eastAsia="Times New Roman"/>
          <w:i/>
          <w:sz w:val="20"/>
          <w:szCs w:val="20"/>
        </w:rPr>
        <w:t>Note</w:t>
      </w:r>
      <w:r w:rsidRPr="000F1904">
        <w:rPr>
          <w:rFonts w:eastAsia="Times New Roman"/>
          <w:sz w:val="20"/>
          <w:szCs w:val="20"/>
        </w:rPr>
        <w:t xml:space="preserve">. </w:t>
      </w:r>
      <w:r w:rsidRPr="000F1904">
        <w:rPr>
          <w:rFonts w:eastAsia="Times New Roman"/>
          <w:i/>
          <w:sz w:val="20"/>
          <w:szCs w:val="20"/>
        </w:rPr>
        <w:t xml:space="preserve">B </w:t>
      </w:r>
      <w:r>
        <w:rPr>
          <w:rFonts w:eastAsia="Times New Roman"/>
          <w:sz w:val="20"/>
          <w:szCs w:val="20"/>
        </w:rPr>
        <w:t xml:space="preserve">= Unstandardized coefficient. </w:t>
      </w:r>
      <w:r w:rsidRPr="008F33F3">
        <w:rPr>
          <w:rFonts w:eastAsia="Times New Roman"/>
          <w:i/>
          <w:sz w:val="20"/>
          <w:szCs w:val="20"/>
        </w:rPr>
        <w:t>β</w:t>
      </w:r>
      <w:r>
        <w:rPr>
          <w:rFonts w:eastAsia="Times New Roman"/>
          <w:i/>
          <w:sz w:val="20"/>
          <w:szCs w:val="20"/>
        </w:rPr>
        <w:t xml:space="preserve"> </w:t>
      </w:r>
      <w:r>
        <w:rPr>
          <w:rFonts w:eastAsia="Times New Roman"/>
          <w:iCs/>
          <w:sz w:val="20"/>
          <w:szCs w:val="20"/>
        </w:rPr>
        <w:t xml:space="preserve">= Standardized coefficient. </w:t>
      </w:r>
    </w:p>
    <w:p w14:paraId="7E0BEDA4" w14:textId="6D2CEFF7" w:rsidR="00F87321" w:rsidRDefault="00F87321" w:rsidP="00E76C4E">
      <w:pPr>
        <w:spacing w:line="480" w:lineRule="auto"/>
        <w:jc w:val="center"/>
        <w:rPr>
          <w:b/>
        </w:rPr>
      </w:pPr>
      <w:r>
        <w:rPr>
          <w:b/>
        </w:rPr>
        <w:lastRenderedPageBreak/>
        <w:t>Study 4</w:t>
      </w:r>
    </w:p>
    <w:p w14:paraId="1B25DE69" w14:textId="0FBA635E" w:rsidR="00F87321" w:rsidRPr="00F87321" w:rsidRDefault="00D31093" w:rsidP="00F87321">
      <w:pPr>
        <w:spacing w:line="480" w:lineRule="auto"/>
        <w:rPr>
          <w:b/>
          <w:bCs/>
          <w:lang w:eastAsia="zh-CN"/>
        </w:rPr>
      </w:pPr>
      <w:r>
        <w:rPr>
          <w:b/>
        </w:rPr>
        <w:t xml:space="preserve">Supplemental </w:t>
      </w:r>
      <w:r w:rsidR="00F87321">
        <w:rPr>
          <w:b/>
          <w:bCs/>
          <w:lang w:eastAsia="zh-CN"/>
        </w:rPr>
        <w:t>Methods</w:t>
      </w:r>
    </w:p>
    <w:p w14:paraId="6FFEB73C" w14:textId="4C940657" w:rsidR="00F87321" w:rsidRDefault="00F87321" w:rsidP="0069707C">
      <w:pPr>
        <w:spacing w:line="480" w:lineRule="auto"/>
        <w:ind w:firstLine="720"/>
        <w:rPr>
          <w:lang w:eastAsia="zh-CN"/>
        </w:rPr>
      </w:pPr>
      <w:r w:rsidRPr="0069707C">
        <w:rPr>
          <w:b/>
          <w:bCs/>
          <w:lang w:eastAsia="zh-CN"/>
        </w:rPr>
        <w:t>Identifying</w:t>
      </w:r>
      <w:r w:rsidR="0069707C">
        <w:rPr>
          <w:b/>
          <w:bCs/>
          <w:lang w:eastAsia="zh-CN"/>
        </w:rPr>
        <w:t xml:space="preserve"> cheating participants. </w:t>
      </w:r>
      <w:r w:rsidR="00C91A32">
        <w:rPr>
          <w:lang w:eastAsia="zh-CN"/>
        </w:rPr>
        <w:t>Cheaters were identified via IP address. An</w:t>
      </w:r>
      <w:r w:rsidR="00C91A32" w:rsidRPr="00CE694F">
        <w:rPr>
          <w:lang w:eastAsia="zh-CN"/>
        </w:rPr>
        <w:t xml:space="preserve"> IP address is a 32-bit number that uniquely identifies a network interface on a machine. </w:t>
      </w:r>
      <w:r w:rsidR="00F6713E">
        <w:rPr>
          <w:lang w:eastAsia="zh-CN"/>
        </w:rPr>
        <w:t>Specifically,</w:t>
      </w:r>
      <w:r w:rsidR="00F6713E" w:rsidRPr="00CE694F">
        <w:rPr>
          <w:lang w:eastAsia="zh-CN"/>
        </w:rPr>
        <w:t xml:space="preserve"> IP address</w:t>
      </w:r>
      <w:r w:rsidR="00F6713E">
        <w:rPr>
          <w:lang w:eastAsia="zh-CN"/>
        </w:rPr>
        <w:t>es</w:t>
      </w:r>
      <w:r w:rsidR="00F6713E" w:rsidRPr="00CE694F">
        <w:rPr>
          <w:lang w:eastAsia="zh-CN"/>
        </w:rPr>
        <w:t xml:space="preserve"> </w:t>
      </w:r>
      <w:r w:rsidR="00F6713E">
        <w:rPr>
          <w:lang w:eastAsia="zh-CN"/>
        </w:rPr>
        <w:t>are</w:t>
      </w:r>
      <w:r w:rsidR="00F6713E" w:rsidRPr="00CE694F">
        <w:rPr>
          <w:lang w:eastAsia="zh-CN"/>
        </w:rPr>
        <w:t xml:space="preserve"> typically written in decimal digits, formatted as four 8-bit fields separated by periods</w:t>
      </w:r>
      <w:r w:rsidR="00F6713E">
        <w:rPr>
          <w:lang w:eastAsia="zh-CN"/>
        </w:rPr>
        <w:t xml:space="preserve"> </w:t>
      </w:r>
      <w:r w:rsidR="0061045C">
        <w:rPr>
          <w:lang w:eastAsia="zh-CN"/>
        </w:rPr>
        <w:t>W</w:t>
      </w:r>
      <w:r>
        <w:rPr>
          <w:lang w:eastAsia="zh-CN"/>
        </w:rPr>
        <w:t>e pre-registered that IP addresses that had the same numbers for the first three 8-bit fields would be classified as the same individual.</w:t>
      </w:r>
    </w:p>
    <w:p w14:paraId="65C4224D" w14:textId="699457FF" w:rsidR="00F6713E" w:rsidRDefault="00D31093" w:rsidP="00F6713E">
      <w:pPr>
        <w:spacing w:line="480" w:lineRule="auto"/>
        <w:rPr>
          <w:b/>
          <w:bCs/>
          <w:lang w:eastAsia="zh-CN"/>
        </w:rPr>
      </w:pPr>
      <w:r>
        <w:rPr>
          <w:b/>
        </w:rPr>
        <w:t xml:space="preserve">Supplemental </w:t>
      </w:r>
      <w:r w:rsidR="00F6713E">
        <w:rPr>
          <w:b/>
          <w:bCs/>
          <w:lang w:eastAsia="zh-CN"/>
        </w:rPr>
        <w:t>Results</w:t>
      </w:r>
    </w:p>
    <w:p w14:paraId="3E7E2CCD" w14:textId="771D4A65" w:rsidR="00D31093" w:rsidRDefault="00D31093" w:rsidP="00D31093">
      <w:pPr>
        <w:pStyle w:val="NoSpacing"/>
        <w:spacing w:line="480" w:lineRule="auto"/>
        <w:jc w:val="both"/>
        <w:rPr>
          <w:bCs/>
        </w:rPr>
      </w:pPr>
      <w:r>
        <w:rPr>
          <w:b/>
        </w:rPr>
        <w:tab/>
        <w:t xml:space="preserve">Raw Correlation. </w:t>
      </w:r>
      <w:r>
        <w:rPr>
          <w:bCs/>
        </w:rPr>
        <w:t>The raw link</w:t>
      </w:r>
      <w:r w:rsidR="00952973">
        <w:rPr>
          <w:bCs/>
        </w:rPr>
        <w:t>s</w:t>
      </w:r>
      <w:r>
        <w:rPr>
          <w:bCs/>
        </w:rPr>
        <w:t xml:space="preserve"> of Study </w:t>
      </w:r>
      <w:r w:rsidR="009E1EFC">
        <w:rPr>
          <w:bCs/>
        </w:rPr>
        <w:t>4</w:t>
      </w:r>
      <w:r>
        <w:rPr>
          <w:bCs/>
        </w:rPr>
        <w:t xml:space="preserve"> can be found below (Table S</w:t>
      </w:r>
      <w:r w:rsidR="00AB3961">
        <w:rPr>
          <w:bCs/>
        </w:rPr>
        <w:t>5</w:t>
      </w:r>
      <w:r>
        <w:rPr>
          <w:bCs/>
        </w:rPr>
        <w:t>).</w:t>
      </w:r>
    </w:p>
    <w:p w14:paraId="584CDCBC" w14:textId="7CB2DB55" w:rsidR="00952973" w:rsidRPr="000F1904" w:rsidRDefault="00952973" w:rsidP="00952973">
      <w:pPr>
        <w:rPr>
          <w:rFonts w:eastAsia="Times New Roman"/>
          <w:b/>
        </w:rPr>
      </w:pPr>
      <w:r w:rsidRPr="000F1904">
        <w:rPr>
          <w:rFonts w:eastAsia="Times New Roman"/>
          <w:b/>
        </w:rPr>
        <w:t xml:space="preserve">Table </w:t>
      </w:r>
      <w:r w:rsidR="004832FC">
        <w:rPr>
          <w:rFonts w:eastAsia="Times New Roman"/>
          <w:b/>
        </w:rPr>
        <w:t>S</w:t>
      </w:r>
      <w:r w:rsidR="00AB3961">
        <w:rPr>
          <w:rFonts w:eastAsia="Times New Roman"/>
          <w:b/>
        </w:rPr>
        <w:t>5</w:t>
      </w:r>
    </w:p>
    <w:p w14:paraId="459F4607" w14:textId="4BB14B2D" w:rsidR="00952973" w:rsidRPr="00BA21F9" w:rsidRDefault="00952973" w:rsidP="00952973">
      <w:pPr>
        <w:rPr>
          <w:rFonts w:eastAsia="Times New Roman"/>
          <w:i/>
        </w:rPr>
      </w:pPr>
      <w:r>
        <w:rPr>
          <w:rFonts w:eastAsia="Times New Roman"/>
          <w:i/>
        </w:rPr>
        <w:t>Logistic and Linear Regressions</w:t>
      </w:r>
      <w:r w:rsidR="00A050B2">
        <w:rPr>
          <w:rFonts w:eastAsia="Times New Roman"/>
          <w:i/>
        </w:rPr>
        <w:t xml:space="preserve"> (Raw Links)</w:t>
      </w:r>
      <w:r>
        <w:rPr>
          <w:rFonts w:eastAsia="Times New Roman"/>
          <w:i/>
        </w:rPr>
        <w:t>.</w:t>
      </w:r>
    </w:p>
    <w:p w14:paraId="0A4E4733" w14:textId="77777777" w:rsidR="00952973" w:rsidRPr="000F1904" w:rsidRDefault="00952973" w:rsidP="00952973">
      <w:pPr>
        <w:rPr>
          <w:rFonts w:eastAsia="Times New Roman"/>
          <w:i/>
        </w:rPr>
      </w:pPr>
    </w:p>
    <w:tbl>
      <w:tblPr>
        <w:tblW w:w="12037" w:type="dxa"/>
        <w:tblInd w:w="-1350" w:type="dxa"/>
        <w:tblLayout w:type="fixed"/>
        <w:tblLook w:val="0400" w:firstRow="0" w:lastRow="0" w:firstColumn="0" w:lastColumn="0" w:noHBand="0" w:noVBand="1"/>
      </w:tblPr>
      <w:tblGrid>
        <w:gridCol w:w="1890"/>
        <w:gridCol w:w="2520"/>
        <w:gridCol w:w="2520"/>
        <w:gridCol w:w="270"/>
        <w:gridCol w:w="2340"/>
        <w:gridCol w:w="2497"/>
      </w:tblGrid>
      <w:tr w:rsidR="00952973" w:rsidRPr="000F1904" w14:paraId="441804F0" w14:textId="77777777" w:rsidTr="00AB3961">
        <w:trPr>
          <w:trHeight w:val="989"/>
        </w:trPr>
        <w:tc>
          <w:tcPr>
            <w:tcW w:w="1890" w:type="dxa"/>
            <w:tcBorders>
              <w:top w:val="single" w:sz="4" w:space="0" w:color="000000"/>
            </w:tcBorders>
            <w:shd w:val="clear" w:color="auto" w:fill="FFFFFF"/>
            <w:vAlign w:val="center"/>
          </w:tcPr>
          <w:p w14:paraId="780E1C08" w14:textId="77777777" w:rsidR="00952973" w:rsidRPr="007435C6" w:rsidRDefault="00952973" w:rsidP="00AB3961">
            <w:pPr>
              <w:widowControl w:val="0"/>
              <w:spacing w:line="276" w:lineRule="auto"/>
              <w:rPr>
                <w:rFonts w:eastAsia="Times New Roman"/>
                <w:sz w:val="20"/>
                <w:szCs w:val="20"/>
              </w:rPr>
            </w:pPr>
            <w:r>
              <w:rPr>
                <w:rFonts w:eastAsia="Times New Roman"/>
                <w:sz w:val="20"/>
                <w:szCs w:val="20"/>
              </w:rPr>
              <w:t>Study 4 (</w:t>
            </w:r>
            <w:r>
              <w:rPr>
                <w:rFonts w:eastAsia="Times New Roman"/>
                <w:i/>
                <w:iCs/>
                <w:sz w:val="20"/>
                <w:szCs w:val="20"/>
              </w:rPr>
              <w:t xml:space="preserve">N </w:t>
            </w:r>
            <w:r>
              <w:rPr>
                <w:rFonts w:eastAsia="Times New Roman"/>
                <w:sz w:val="20"/>
                <w:szCs w:val="20"/>
              </w:rPr>
              <w:t>= 1,118)</w:t>
            </w:r>
          </w:p>
        </w:tc>
        <w:tc>
          <w:tcPr>
            <w:tcW w:w="2520" w:type="dxa"/>
            <w:tcBorders>
              <w:top w:val="single" w:sz="4" w:space="0" w:color="000000"/>
              <w:bottom w:val="single" w:sz="4" w:space="0" w:color="000000"/>
            </w:tcBorders>
            <w:shd w:val="clear" w:color="auto" w:fill="FFFFFF"/>
            <w:vAlign w:val="center"/>
          </w:tcPr>
          <w:p w14:paraId="50565B10" w14:textId="77777777" w:rsidR="00952973" w:rsidRDefault="00952973" w:rsidP="00AB3961">
            <w:pPr>
              <w:jc w:val="center"/>
              <w:rPr>
                <w:rFonts w:eastAsia="Times New Roman"/>
                <w:iCs/>
                <w:sz w:val="20"/>
                <w:szCs w:val="20"/>
              </w:rPr>
            </w:pPr>
            <w:r>
              <w:rPr>
                <w:rFonts w:eastAsia="Times New Roman"/>
                <w:iCs/>
                <w:sz w:val="20"/>
                <w:szCs w:val="20"/>
              </w:rPr>
              <w:t xml:space="preserve">Cheating </w:t>
            </w:r>
          </w:p>
          <w:p w14:paraId="1BF04DE8" w14:textId="77777777" w:rsidR="00952973" w:rsidRPr="000F1904" w:rsidRDefault="00952973" w:rsidP="00AB3961">
            <w:pPr>
              <w:jc w:val="center"/>
              <w:rPr>
                <w:rFonts w:eastAsia="Times New Roman"/>
                <w:iCs/>
                <w:sz w:val="20"/>
                <w:szCs w:val="20"/>
              </w:rPr>
            </w:pPr>
            <w:r>
              <w:rPr>
                <w:rFonts w:eastAsia="Times New Roman"/>
                <w:iCs/>
                <w:sz w:val="20"/>
                <w:szCs w:val="20"/>
              </w:rPr>
              <w:t>(Average)</w:t>
            </w:r>
          </w:p>
        </w:tc>
        <w:tc>
          <w:tcPr>
            <w:tcW w:w="2520" w:type="dxa"/>
            <w:tcBorders>
              <w:top w:val="single" w:sz="4" w:space="0" w:color="000000"/>
              <w:bottom w:val="single" w:sz="4" w:space="0" w:color="000000"/>
            </w:tcBorders>
            <w:shd w:val="clear" w:color="auto" w:fill="FFFFFF"/>
            <w:vAlign w:val="center"/>
          </w:tcPr>
          <w:p w14:paraId="6CE96FA1" w14:textId="77777777" w:rsidR="00952973" w:rsidRDefault="00952973" w:rsidP="00AB3961">
            <w:pPr>
              <w:jc w:val="center"/>
              <w:rPr>
                <w:rFonts w:eastAsia="Times New Roman"/>
                <w:iCs/>
                <w:sz w:val="20"/>
                <w:szCs w:val="20"/>
              </w:rPr>
            </w:pPr>
            <w:r>
              <w:rPr>
                <w:rFonts w:eastAsia="Times New Roman"/>
                <w:iCs/>
                <w:sz w:val="20"/>
                <w:szCs w:val="20"/>
              </w:rPr>
              <w:t xml:space="preserve">Cheating </w:t>
            </w:r>
          </w:p>
          <w:p w14:paraId="526C7616" w14:textId="77777777" w:rsidR="00952973" w:rsidRDefault="00952973" w:rsidP="00AB3961">
            <w:pPr>
              <w:jc w:val="center"/>
              <w:rPr>
                <w:rFonts w:eastAsia="Times New Roman"/>
                <w:iCs/>
                <w:sz w:val="20"/>
                <w:szCs w:val="20"/>
              </w:rPr>
            </w:pPr>
            <w:r>
              <w:rPr>
                <w:rFonts w:eastAsia="Times New Roman"/>
                <w:iCs/>
                <w:sz w:val="20"/>
                <w:szCs w:val="20"/>
              </w:rPr>
              <w:t>(First Response)</w:t>
            </w:r>
          </w:p>
        </w:tc>
        <w:tc>
          <w:tcPr>
            <w:tcW w:w="270" w:type="dxa"/>
            <w:tcBorders>
              <w:top w:val="single" w:sz="4" w:space="0" w:color="000000"/>
              <w:bottom w:val="single" w:sz="4" w:space="0" w:color="000000"/>
            </w:tcBorders>
            <w:shd w:val="clear" w:color="auto" w:fill="FFFFFF"/>
          </w:tcPr>
          <w:p w14:paraId="25FB1AE9" w14:textId="77777777" w:rsidR="00952973" w:rsidRDefault="00952973" w:rsidP="00AB3961">
            <w:pPr>
              <w:jc w:val="center"/>
              <w:rPr>
                <w:rFonts w:eastAsia="Times New Roman"/>
                <w:iCs/>
                <w:sz w:val="20"/>
                <w:szCs w:val="20"/>
              </w:rPr>
            </w:pPr>
          </w:p>
        </w:tc>
        <w:tc>
          <w:tcPr>
            <w:tcW w:w="2340" w:type="dxa"/>
            <w:tcBorders>
              <w:top w:val="single" w:sz="4" w:space="0" w:color="000000"/>
              <w:bottom w:val="single" w:sz="4" w:space="0" w:color="000000"/>
            </w:tcBorders>
            <w:shd w:val="clear" w:color="auto" w:fill="FFFFFF"/>
            <w:vAlign w:val="center"/>
          </w:tcPr>
          <w:p w14:paraId="2D442C38" w14:textId="77777777" w:rsidR="00952973" w:rsidRDefault="00952973" w:rsidP="00AB3961">
            <w:pPr>
              <w:jc w:val="center"/>
              <w:rPr>
                <w:rFonts w:eastAsia="Times New Roman"/>
                <w:iCs/>
                <w:sz w:val="20"/>
                <w:szCs w:val="20"/>
              </w:rPr>
            </w:pPr>
            <w:r>
              <w:rPr>
                <w:rFonts w:eastAsia="Times New Roman"/>
                <w:iCs/>
                <w:sz w:val="20"/>
                <w:szCs w:val="20"/>
              </w:rPr>
              <w:t xml:space="preserve">Number of </w:t>
            </w:r>
          </w:p>
          <w:p w14:paraId="2B613670" w14:textId="77777777" w:rsidR="00952973" w:rsidRDefault="00952973" w:rsidP="00AB3961">
            <w:pPr>
              <w:jc w:val="center"/>
              <w:rPr>
                <w:rFonts w:eastAsia="Times New Roman"/>
                <w:iCs/>
                <w:sz w:val="20"/>
                <w:szCs w:val="20"/>
              </w:rPr>
            </w:pPr>
            <w:r>
              <w:rPr>
                <w:rFonts w:eastAsia="Times New Roman"/>
                <w:iCs/>
                <w:sz w:val="20"/>
                <w:szCs w:val="20"/>
              </w:rPr>
              <w:t xml:space="preserve">Times Cheated </w:t>
            </w:r>
          </w:p>
          <w:p w14:paraId="4B723536" w14:textId="77777777" w:rsidR="00952973" w:rsidRDefault="00952973" w:rsidP="00AB3961">
            <w:pPr>
              <w:jc w:val="center"/>
              <w:rPr>
                <w:rFonts w:eastAsia="Times New Roman"/>
                <w:iCs/>
                <w:sz w:val="20"/>
                <w:szCs w:val="20"/>
              </w:rPr>
            </w:pPr>
            <w:r>
              <w:rPr>
                <w:rFonts w:eastAsia="Times New Roman"/>
                <w:iCs/>
                <w:sz w:val="20"/>
                <w:szCs w:val="20"/>
              </w:rPr>
              <w:t>(Average)</w:t>
            </w:r>
          </w:p>
        </w:tc>
        <w:tc>
          <w:tcPr>
            <w:tcW w:w="2497" w:type="dxa"/>
            <w:tcBorders>
              <w:top w:val="single" w:sz="4" w:space="0" w:color="000000"/>
              <w:bottom w:val="single" w:sz="4" w:space="0" w:color="000000"/>
            </w:tcBorders>
            <w:shd w:val="clear" w:color="auto" w:fill="FFFFFF"/>
            <w:vAlign w:val="center"/>
          </w:tcPr>
          <w:p w14:paraId="7770403D" w14:textId="77777777" w:rsidR="00952973" w:rsidRDefault="00952973" w:rsidP="00AB3961">
            <w:pPr>
              <w:jc w:val="center"/>
              <w:rPr>
                <w:rFonts w:eastAsia="Times New Roman"/>
                <w:iCs/>
                <w:sz w:val="20"/>
                <w:szCs w:val="20"/>
              </w:rPr>
            </w:pPr>
            <w:r>
              <w:rPr>
                <w:rFonts w:eastAsia="Times New Roman"/>
                <w:iCs/>
                <w:sz w:val="20"/>
                <w:szCs w:val="20"/>
              </w:rPr>
              <w:t xml:space="preserve">Number of </w:t>
            </w:r>
          </w:p>
          <w:p w14:paraId="285D6C62" w14:textId="77777777" w:rsidR="00952973" w:rsidRDefault="00952973" w:rsidP="00AB3961">
            <w:pPr>
              <w:jc w:val="center"/>
              <w:rPr>
                <w:rFonts w:eastAsia="Times New Roman"/>
                <w:iCs/>
                <w:sz w:val="20"/>
                <w:szCs w:val="20"/>
              </w:rPr>
            </w:pPr>
            <w:r>
              <w:rPr>
                <w:rFonts w:eastAsia="Times New Roman"/>
                <w:iCs/>
                <w:sz w:val="20"/>
                <w:szCs w:val="20"/>
              </w:rPr>
              <w:t xml:space="preserve">Times Cheated </w:t>
            </w:r>
          </w:p>
          <w:p w14:paraId="2313A7C5" w14:textId="77777777" w:rsidR="00952973" w:rsidRDefault="00952973" w:rsidP="00AB3961">
            <w:pPr>
              <w:jc w:val="center"/>
              <w:rPr>
                <w:rFonts w:eastAsia="Times New Roman"/>
                <w:iCs/>
                <w:sz w:val="20"/>
                <w:szCs w:val="20"/>
              </w:rPr>
            </w:pPr>
            <w:r>
              <w:rPr>
                <w:rFonts w:eastAsia="Times New Roman"/>
                <w:iCs/>
                <w:sz w:val="20"/>
                <w:szCs w:val="20"/>
              </w:rPr>
              <w:t>(First Response)</w:t>
            </w:r>
          </w:p>
        </w:tc>
      </w:tr>
      <w:tr w:rsidR="00952973" w:rsidRPr="000F1904" w14:paraId="3D737248" w14:textId="77777777" w:rsidTr="00AB3961">
        <w:trPr>
          <w:trHeight w:val="678"/>
        </w:trPr>
        <w:tc>
          <w:tcPr>
            <w:tcW w:w="1890" w:type="dxa"/>
            <w:tcBorders>
              <w:top w:val="single" w:sz="4" w:space="0" w:color="000000"/>
              <w:bottom w:val="nil"/>
            </w:tcBorders>
            <w:shd w:val="clear" w:color="auto" w:fill="auto"/>
            <w:vAlign w:val="center"/>
          </w:tcPr>
          <w:p w14:paraId="09C380DF" w14:textId="77777777" w:rsidR="00952973" w:rsidRPr="00952973" w:rsidRDefault="00952973" w:rsidP="00AB3961">
            <w:pPr>
              <w:jc w:val="center"/>
              <w:rPr>
                <w:rFonts w:eastAsia="Times New Roman"/>
                <w:bCs/>
                <w:sz w:val="6"/>
                <w:szCs w:val="6"/>
              </w:rPr>
            </w:pPr>
          </w:p>
          <w:p w14:paraId="2C33A455" w14:textId="77777777" w:rsidR="00952973" w:rsidRPr="00952973" w:rsidRDefault="00952973" w:rsidP="00AB3961">
            <w:pPr>
              <w:jc w:val="center"/>
              <w:rPr>
                <w:rFonts w:eastAsia="Times New Roman"/>
                <w:bCs/>
                <w:i/>
                <w:sz w:val="20"/>
                <w:szCs w:val="20"/>
              </w:rPr>
            </w:pPr>
            <w:r w:rsidRPr="00952973">
              <w:rPr>
                <w:rFonts w:eastAsia="Times New Roman"/>
                <w:bCs/>
                <w:sz w:val="20"/>
                <w:szCs w:val="20"/>
              </w:rPr>
              <w:t>Deviancy Aversion</w:t>
            </w:r>
          </w:p>
        </w:tc>
        <w:tc>
          <w:tcPr>
            <w:tcW w:w="2520" w:type="dxa"/>
            <w:tcBorders>
              <w:top w:val="single" w:sz="4" w:space="0" w:color="000000"/>
              <w:bottom w:val="nil"/>
              <w:right w:val="nil"/>
            </w:tcBorders>
            <w:vAlign w:val="center"/>
          </w:tcPr>
          <w:p w14:paraId="543428FE" w14:textId="5F36C776" w:rsidR="00952973" w:rsidRPr="00952973" w:rsidRDefault="00952973" w:rsidP="00AB3961">
            <w:pPr>
              <w:jc w:val="center"/>
              <w:rPr>
                <w:rFonts w:eastAsia="Times New Roman"/>
                <w:bCs/>
                <w:sz w:val="20"/>
                <w:szCs w:val="20"/>
              </w:rPr>
            </w:pPr>
            <w:r w:rsidRPr="00952973">
              <w:rPr>
                <w:rFonts w:eastAsia="Times New Roman"/>
                <w:bCs/>
                <w:i/>
                <w:sz w:val="20"/>
                <w:szCs w:val="20"/>
              </w:rPr>
              <w:t xml:space="preserve">B </w:t>
            </w:r>
            <w:r w:rsidRPr="00952973">
              <w:rPr>
                <w:rFonts w:eastAsia="Times New Roman"/>
                <w:bCs/>
                <w:sz w:val="20"/>
                <w:szCs w:val="20"/>
              </w:rPr>
              <w:t>= -.</w:t>
            </w:r>
            <w:r w:rsidR="00A27DD4">
              <w:rPr>
                <w:rFonts w:eastAsia="Times New Roman"/>
                <w:bCs/>
                <w:sz w:val="20"/>
                <w:szCs w:val="20"/>
              </w:rPr>
              <w:t>35</w:t>
            </w:r>
            <w:r w:rsidRPr="00952973">
              <w:rPr>
                <w:rFonts w:eastAsia="Times New Roman"/>
                <w:bCs/>
                <w:sz w:val="20"/>
                <w:szCs w:val="20"/>
              </w:rPr>
              <w:t xml:space="preserve">, </w:t>
            </w:r>
            <w:r w:rsidRPr="00952973">
              <w:rPr>
                <w:rFonts w:eastAsia="Times New Roman"/>
                <w:bCs/>
                <w:i/>
                <w:iCs/>
                <w:sz w:val="20"/>
                <w:szCs w:val="20"/>
              </w:rPr>
              <w:t xml:space="preserve">z </w:t>
            </w:r>
            <w:r w:rsidRPr="00952973">
              <w:rPr>
                <w:rFonts w:eastAsia="Times New Roman"/>
                <w:bCs/>
                <w:sz w:val="20"/>
                <w:szCs w:val="20"/>
              </w:rPr>
              <w:t>= -</w:t>
            </w:r>
            <w:r w:rsidR="00A27DD4">
              <w:rPr>
                <w:rFonts w:eastAsia="Times New Roman"/>
                <w:bCs/>
                <w:sz w:val="20"/>
                <w:szCs w:val="20"/>
              </w:rPr>
              <w:t>4</w:t>
            </w:r>
            <w:r w:rsidRPr="00952973">
              <w:rPr>
                <w:rFonts w:eastAsia="Times New Roman"/>
                <w:bCs/>
                <w:sz w:val="20"/>
                <w:szCs w:val="20"/>
              </w:rPr>
              <w:t>.</w:t>
            </w:r>
            <w:r w:rsidR="00A27DD4">
              <w:rPr>
                <w:rFonts w:eastAsia="Times New Roman"/>
                <w:bCs/>
                <w:sz w:val="20"/>
                <w:szCs w:val="20"/>
              </w:rPr>
              <w:t>76</w:t>
            </w:r>
            <w:r w:rsidRPr="00952973">
              <w:rPr>
                <w:rFonts w:eastAsia="Times New Roman"/>
                <w:bCs/>
                <w:sz w:val="20"/>
                <w:szCs w:val="20"/>
              </w:rPr>
              <w:t xml:space="preserve">, </w:t>
            </w:r>
            <w:r w:rsidRPr="00952973">
              <w:rPr>
                <w:rFonts w:eastAsia="Times New Roman"/>
                <w:bCs/>
                <w:i/>
                <w:sz w:val="20"/>
                <w:szCs w:val="20"/>
              </w:rPr>
              <w:t xml:space="preserve">p </w:t>
            </w:r>
            <w:r w:rsidRPr="00952973">
              <w:rPr>
                <w:rFonts w:eastAsia="Times New Roman"/>
                <w:bCs/>
                <w:sz w:val="20"/>
                <w:szCs w:val="20"/>
              </w:rPr>
              <w:t>&lt; .001</w:t>
            </w:r>
          </w:p>
        </w:tc>
        <w:tc>
          <w:tcPr>
            <w:tcW w:w="2520" w:type="dxa"/>
            <w:tcBorders>
              <w:top w:val="single" w:sz="4" w:space="0" w:color="000000"/>
              <w:bottom w:val="nil"/>
            </w:tcBorders>
            <w:vAlign w:val="center"/>
          </w:tcPr>
          <w:p w14:paraId="7015897D" w14:textId="41316249" w:rsidR="00952973" w:rsidRPr="00952973" w:rsidRDefault="00952973" w:rsidP="00AB3961">
            <w:pPr>
              <w:jc w:val="center"/>
              <w:rPr>
                <w:rFonts w:eastAsia="Times New Roman"/>
                <w:bCs/>
                <w:sz w:val="20"/>
                <w:szCs w:val="20"/>
              </w:rPr>
            </w:pPr>
            <w:r w:rsidRPr="00952973">
              <w:rPr>
                <w:rFonts w:eastAsia="Times New Roman"/>
                <w:bCs/>
                <w:i/>
                <w:sz w:val="20"/>
                <w:szCs w:val="20"/>
              </w:rPr>
              <w:t xml:space="preserve">B </w:t>
            </w:r>
            <w:r w:rsidRPr="00952973">
              <w:rPr>
                <w:rFonts w:eastAsia="Times New Roman"/>
                <w:bCs/>
                <w:sz w:val="20"/>
                <w:szCs w:val="20"/>
              </w:rPr>
              <w:t>= -.</w:t>
            </w:r>
            <w:r w:rsidR="00BE2BFA">
              <w:rPr>
                <w:rFonts w:eastAsia="Times New Roman"/>
                <w:bCs/>
                <w:sz w:val="20"/>
                <w:szCs w:val="20"/>
              </w:rPr>
              <w:t>46</w:t>
            </w:r>
            <w:r w:rsidRPr="00952973">
              <w:rPr>
                <w:rFonts w:eastAsia="Times New Roman"/>
                <w:bCs/>
                <w:sz w:val="20"/>
                <w:szCs w:val="20"/>
              </w:rPr>
              <w:t xml:space="preserve">, </w:t>
            </w:r>
            <w:r w:rsidRPr="00952973">
              <w:rPr>
                <w:rFonts w:eastAsia="Times New Roman"/>
                <w:bCs/>
                <w:i/>
                <w:iCs/>
                <w:sz w:val="20"/>
                <w:szCs w:val="20"/>
              </w:rPr>
              <w:t xml:space="preserve">z </w:t>
            </w:r>
            <w:r w:rsidRPr="00952973">
              <w:rPr>
                <w:rFonts w:eastAsia="Times New Roman"/>
                <w:bCs/>
                <w:sz w:val="20"/>
                <w:szCs w:val="20"/>
              </w:rPr>
              <w:t>= -</w:t>
            </w:r>
            <w:r w:rsidR="00BE2BFA">
              <w:rPr>
                <w:rFonts w:eastAsia="Times New Roman"/>
                <w:bCs/>
                <w:sz w:val="20"/>
                <w:szCs w:val="20"/>
              </w:rPr>
              <w:t>6</w:t>
            </w:r>
            <w:r w:rsidRPr="00952973">
              <w:rPr>
                <w:rFonts w:eastAsia="Times New Roman"/>
                <w:bCs/>
                <w:sz w:val="20"/>
                <w:szCs w:val="20"/>
              </w:rPr>
              <w:t>.</w:t>
            </w:r>
            <w:r w:rsidR="00BE2BFA">
              <w:rPr>
                <w:rFonts w:eastAsia="Times New Roman"/>
                <w:bCs/>
                <w:sz w:val="20"/>
                <w:szCs w:val="20"/>
              </w:rPr>
              <w:t>46</w:t>
            </w:r>
            <w:r w:rsidRPr="00952973">
              <w:rPr>
                <w:rFonts w:eastAsia="Times New Roman"/>
                <w:bCs/>
                <w:sz w:val="20"/>
                <w:szCs w:val="20"/>
              </w:rPr>
              <w:t xml:space="preserve">, </w:t>
            </w:r>
            <w:r w:rsidRPr="00952973">
              <w:rPr>
                <w:rFonts w:eastAsia="Times New Roman"/>
                <w:bCs/>
                <w:i/>
                <w:sz w:val="20"/>
                <w:szCs w:val="20"/>
              </w:rPr>
              <w:t xml:space="preserve">p </w:t>
            </w:r>
            <w:r w:rsidRPr="00952973">
              <w:rPr>
                <w:rFonts w:eastAsia="Times New Roman"/>
                <w:bCs/>
                <w:sz w:val="20"/>
                <w:szCs w:val="20"/>
              </w:rPr>
              <w:t>&lt; .001</w:t>
            </w:r>
          </w:p>
        </w:tc>
        <w:tc>
          <w:tcPr>
            <w:tcW w:w="270" w:type="dxa"/>
            <w:tcBorders>
              <w:top w:val="single" w:sz="4" w:space="0" w:color="000000"/>
              <w:bottom w:val="nil"/>
            </w:tcBorders>
          </w:tcPr>
          <w:p w14:paraId="05486BDC" w14:textId="77777777" w:rsidR="00952973" w:rsidRPr="00952973" w:rsidRDefault="00952973" w:rsidP="00AB3961">
            <w:pPr>
              <w:jc w:val="center"/>
              <w:rPr>
                <w:rFonts w:eastAsia="Times New Roman"/>
                <w:bCs/>
                <w:i/>
                <w:sz w:val="20"/>
                <w:szCs w:val="20"/>
              </w:rPr>
            </w:pPr>
          </w:p>
        </w:tc>
        <w:tc>
          <w:tcPr>
            <w:tcW w:w="2340" w:type="dxa"/>
            <w:tcBorders>
              <w:top w:val="single" w:sz="4" w:space="0" w:color="000000"/>
              <w:bottom w:val="nil"/>
              <w:right w:val="nil"/>
            </w:tcBorders>
            <w:vAlign w:val="center"/>
          </w:tcPr>
          <w:p w14:paraId="465E9CAE" w14:textId="3C1829A9" w:rsidR="00952973" w:rsidRPr="00952973" w:rsidRDefault="00952973" w:rsidP="00AB3961">
            <w:pPr>
              <w:ind w:left="-200"/>
              <w:jc w:val="center"/>
              <w:rPr>
                <w:rFonts w:eastAsia="Times New Roman"/>
                <w:bCs/>
                <w:sz w:val="20"/>
                <w:szCs w:val="20"/>
              </w:rPr>
            </w:pPr>
            <w:r w:rsidRPr="00952973">
              <w:rPr>
                <w:rFonts w:eastAsia="Times New Roman"/>
                <w:bCs/>
                <w:i/>
                <w:sz w:val="20"/>
                <w:szCs w:val="20"/>
              </w:rPr>
              <w:t xml:space="preserve">B </w:t>
            </w:r>
            <w:r w:rsidRPr="00952973">
              <w:rPr>
                <w:rFonts w:eastAsia="Times New Roman"/>
                <w:bCs/>
                <w:sz w:val="20"/>
                <w:szCs w:val="20"/>
              </w:rPr>
              <w:t>= -.1</w:t>
            </w:r>
            <w:r w:rsidR="00CE09A7">
              <w:rPr>
                <w:rFonts w:eastAsia="Times New Roman"/>
                <w:bCs/>
                <w:sz w:val="20"/>
                <w:szCs w:val="20"/>
              </w:rPr>
              <w:t>6</w:t>
            </w:r>
            <w:r w:rsidRPr="00952973">
              <w:rPr>
                <w:rFonts w:eastAsia="Times New Roman"/>
                <w:bCs/>
                <w:sz w:val="20"/>
                <w:szCs w:val="20"/>
              </w:rPr>
              <w:t xml:space="preserve">, </w:t>
            </w:r>
            <w:r w:rsidRPr="00952973">
              <w:rPr>
                <w:rFonts w:eastAsia="Times New Roman"/>
                <w:bCs/>
                <w:i/>
                <w:sz w:val="20"/>
                <w:szCs w:val="20"/>
              </w:rPr>
              <w:t xml:space="preserve">p </w:t>
            </w:r>
            <w:r w:rsidRPr="00952973">
              <w:rPr>
                <w:rFonts w:eastAsia="Times New Roman"/>
                <w:bCs/>
                <w:sz w:val="20"/>
                <w:szCs w:val="20"/>
              </w:rPr>
              <w:t>&lt; .001</w:t>
            </w:r>
          </w:p>
        </w:tc>
        <w:tc>
          <w:tcPr>
            <w:tcW w:w="2497" w:type="dxa"/>
            <w:tcBorders>
              <w:top w:val="single" w:sz="4" w:space="0" w:color="000000"/>
              <w:bottom w:val="nil"/>
              <w:right w:val="nil"/>
            </w:tcBorders>
            <w:vAlign w:val="center"/>
          </w:tcPr>
          <w:p w14:paraId="36AD9D2C" w14:textId="24424F53" w:rsidR="00952973" w:rsidRPr="00952973" w:rsidRDefault="00952973" w:rsidP="00AB3961">
            <w:pPr>
              <w:jc w:val="center"/>
              <w:rPr>
                <w:rFonts w:eastAsia="Times New Roman"/>
                <w:bCs/>
                <w:sz w:val="20"/>
                <w:szCs w:val="20"/>
              </w:rPr>
            </w:pPr>
            <w:r w:rsidRPr="00952973">
              <w:rPr>
                <w:rFonts w:eastAsia="Times New Roman"/>
                <w:bCs/>
                <w:i/>
                <w:sz w:val="20"/>
                <w:szCs w:val="20"/>
              </w:rPr>
              <w:t xml:space="preserve">B </w:t>
            </w:r>
            <w:r w:rsidRPr="00952973">
              <w:rPr>
                <w:rFonts w:eastAsia="Times New Roman"/>
                <w:bCs/>
                <w:sz w:val="20"/>
                <w:szCs w:val="20"/>
              </w:rPr>
              <w:t>= -.2</w:t>
            </w:r>
            <w:r w:rsidR="00F03E7C">
              <w:rPr>
                <w:rFonts w:eastAsia="Times New Roman"/>
                <w:bCs/>
                <w:sz w:val="20"/>
                <w:szCs w:val="20"/>
              </w:rPr>
              <w:t>2</w:t>
            </w:r>
            <w:r w:rsidRPr="00952973">
              <w:rPr>
                <w:rFonts w:eastAsia="Times New Roman"/>
                <w:bCs/>
                <w:sz w:val="20"/>
                <w:szCs w:val="20"/>
              </w:rPr>
              <w:t xml:space="preserve">, </w:t>
            </w:r>
            <w:r w:rsidRPr="00952973">
              <w:rPr>
                <w:rFonts w:eastAsia="Times New Roman"/>
                <w:bCs/>
                <w:i/>
                <w:sz w:val="20"/>
                <w:szCs w:val="20"/>
              </w:rPr>
              <w:t xml:space="preserve">p </w:t>
            </w:r>
            <w:r w:rsidRPr="00952973">
              <w:rPr>
                <w:rFonts w:eastAsia="Times New Roman"/>
                <w:bCs/>
                <w:sz w:val="20"/>
                <w:szCs w:val="20"/>
              </w:rPr>
              <w:t>&lt; .001</w:t>
            </w:r>
          </w:p>
        </w:tc>
      </w:tr>
    </w:tbl>
    <w:p w14:paraId="6F7DCE2D" w14:textId="77777777" w:rsidR="00952973" w:rsidRDefault="00952973" w:rsidP="00952973">
      <w:pPr>
        <w:rPr>
          <w:rFonts w:eastAsia="Times New Roman"/>
          <w:i/>
          <w:sz w:val="20"/>
          <w:szCs w:val="20"/>
        </w:rPr>
      </w:pPr>
    </w:p>
    <w:p w14:paraId="4C48E151" w14:textId="1E649F11" w:rsidR="00D31093" w:rsidRDefault="00952973" w:rsidP="00952973">
      <w:pPr>
        <w:rPr>
          <w:iCs/>
          <w:lang w:eastAsia="zh-CN"/>
        </w:rPr>
      </w:pPr>
      <w:r w:rsidRPr="000F1904">
        <w:rPr>
          <w:rFonts w:eastAsia="Times New Roman"/>
          <w:i/>
          <w:sz w:val="20"/>
          <w:szCs w:val="20"/>
        </w:rPr>
        <w:t>Note</w:t>
      </w:r>
      <w:r w:rsidRPr="000F1904">
        <w:rPr>
          <w:rFonts w:eastAsia="Times New Roman"/>
          <w:sz w:val="20"/>
          <w:szCs w:val="20"/>
        </w:rPr>
        <w:t xml:space="preserve">. </w:t>
      </w:r>
      <w:r w:rsidRPr="000F1904">
        <w:rPr>
          <w:rFonts w:eastAsia="Times New Roman"/>
          <w:i/>
          <w:sz w:val="20"/>
          <w:szCs w:val="20"/>
        </w:rPr>
        <w:t xml:space="preserve">B </w:t>
      </w:r>
      <w:r>
        <w:rPr>
          <w:rFonts w:eastAsia="Times New Roman"/>
          <w:sz w:val="20"/>
          <w:szCs w:val="20"/>
        </w:rPr>
        <w:t xml:space="preserve">= Unstandardized coefficient. </w:t>
      </w:r>
    </w:p>
    <w:p w14:paraId="1536FF22" w14:textId="77777777" w:rsidR="00952973" w:rsidRPr="00952973" w:rsidRDefault="00952973" w:rsidP="00952973">
      <w:pPr>
        <w:rPr>
          <w:iCs/>
          <w:lang w:eastAsia="zh-CN"/>
        </w:rPr>
      </w:pPr>
    </w:p>
    <w:p w14:paraId="22E783C6" w14:textId="01A5FE05" w:rsidR="001E4AE5" w:rsidRPr="00760671" w:rsidRDefault="00F6713E" w:rsidP="00760671">
      <w:pPr>
        <w:spacing w:line="480" w:lineRule="auto"/>
        <w:rPr>
          <w:lang w:eastAsia="zh-CN"/>
        </w:rPr>
      </w:pPr>
      <w:r>
        <w:rPr>
          <w:lang w:eastAsia="zh-CN"/>
        </w:rPr>
        <w:tab/>
      </w:r>
      <w:r w:rsidR="00F2393A">
        <w:rPr>
          <w:b/>
          <w:bCs/>
          <w:lang w:eastAsia="zh-CN"/>
        </w:rPr>
        <w:t xml:space="preserve">More Stringent IP Address Classification. </w:t>
      </w:r>
      <w:r w:rsidR="00D15058">
        <w:rPr>
          <w:lang w:eastAsia="zh-CN"/>
        </w:rPr>
        <w:t xml:space="preserve">To </w:t>
      </w:r>
      <w:r w:rsidR="00122336">
        <w:rPr>
          <w:lang w:eastAsia="zh-CN"/>
        </w:rPr>
        <w:t xml:space="preserve">test the robustness of the findings we </w:t>
      </w:r>
      <w:r w:rsidR="00DC6C3B">
        <w:rPr>
          <w:lang w:eastAsia="zh-CN"/>
        </w:rPr>
        <w:t xml:space="preserve">exploratorily </w:t>
      </w:r>
      <w:r w:rsidR="00122336">
        <w:rPr>
          <w:lang w:eastAsia="zh-CN"/>
        </w:rPr>
        <w:t xml:space="preserve">re-conducted our analyses when </w:t>
      </w:r>
      <w:r w:rsidR="00220AED">
        <w:rPr>
          <w:lang w:eastAsia="zh-CN"/>
        </w:rPr>
        <w:t xml:space="preserve">classifying cheaters in a more conservative manner. Specifically, we classified </w:t>
      </w:r>
      <w:r w:rsidR="009C4805">
        <w:rPr>
          <w:lang w:eastAsia="zh-CN"/>
        </w:rPr>
        <w:t xml:space="preserve">any IP addresses that </w:t>
      </w:r>
      <w:r w:rsidR="00CA6059">
        <w:rPr>
          <w:lang w:eastAsia="zh-CN"/>
        </w:rPr>
        <w:t xml:space="preserve">had the same number for the first </w:t>
      </w:r>
      <w:r w:rsidR="00CA6059">
        <w:rPr>
          <w:i/>
          <w:iCs/>
          <w:lang w:eastAsia="zh-CN"/>
        </w:rPr>
        <w:t xml:space="preserve">two </w:t>
      </w:r>
      <w:r w:rsidR="00CA6059">
        <w:rPr>
          <w:lang w:eastAsia="zh-CN"/>
        </w:rPr>
        <w:t xml:space="preserve">8-bit fields as the same participant. </w:t>
      </w:r>
      <w:r w:rsidR="00A57C79">
        <w:rPr>
          <w:lang w:eastAsia="zh-CN"/>
        </w:rPr>
        <w:t>Doing so ensures that we did not accidentally treat the same participant as different participants</w:t>
      </w:r>
      <w:r w:rsidR="002F54F0">
        <w:rPr>
          <w:lang w:eastAsia="zh-CN"/>
        </w:rPr>
        <w:t xml:space="preserve">, in turn artificially increasing </w:t>
      </w:r>
      <w:r w:rsidR="003D6464">
        <w:rPr>
          <w:lang w:eastAsia="zh-CN"/>
        </w:rPr>
        <w:t xml:space="preserve">power and in turn </w:t>
      </w:r>
      <w:r w:rsidR="002F54F0">
        <w:rPr>
          <w:lang w:eastAsia="zh-CN"/>
        </w:rPr>
        <w:t>Type I error</w:t>
      </w:r>
      <w:r w:rsidR="00A57C79">
        <w:rPr>
          <w:lang w:eastAsia="zh-CN"/>
        </w:rPr>
        <w:t xml:space="preserve">. </w:t>
      </w:r>
      <w:r w:rsidR="00255687">
        <w:rPr>
          <w:lang w:eastAsia="zh-CN"/>
        </w:rPr>
        <w:t xml:space="preserve">This reduced </w:t>
      </w:r>
      <w:r w:rsidR="005669AF">
        <w:rPr>
          <w:lang w:eastAsia="zh-CN"/>
        </w:rPr>
        <w:t>the number of cheaters</w:t>
      </w:r>
      <w:r w:rsidR="00255687">
        <w:rPr>
          <w:lang w:eastAsia="zh-CN"/>
        </w:rPr>
        <w:t xml:space="preserve"> from </w:t>
      </w:r>
      <w:r w:rsidR="005669AF">
        <w:rPr>
          <w:lang w:eastAsia="zh-CN"/>
        </w:rPr>
        <w:t xml:space="preserve">66 </w:t>
      </w:r>
      <w:r w:rsidR="003E7F1F">
        <w:rPr>
          <w:lang w:eastAsia="zh-CN"/>
        </w:rPr>
        <w:t>to 41.</w:t>
      </w:r>
      <w:r w:rsidR="0071770E">
        <w:rPr>
          <w:lang w:eastAsia="zh-CN"/>
        </w:rPr>
        <w:t xml:space="preserve"> </w:t>
      </w:r>
      <w:r w:rsidR="00341E58">
        <w:rPr>
          <w:lang w:eastAsia="zh-CN"/>
        </w:rPr>
        <w:t>Notably</w:t>
      </w:r>
      <w:r w:rsidR="000A25D9">
        <w:rPr>
          <w:lang w:eastAsia="zh-CN"/>
        </w:rPr>
        <w:t xml:space="preserve">, </w:t>
      </w:r>
      <w:r w:rsidR="001639B6">
        <w:rPr>
          <w:lang w:eastAsia="zh-CN"/>
        </w:rPr>
        <w:t>deviancy aversion still predicted reduce</w:t>
      </w:r>
      <w:r w:rsidR="00120A02">
        <w:rPr>
          <w:lang w:eastAsia="zh-CN"/>
        </w:rPr>
        <w:t>d</w:t>
      </w:r>
      <w:r w:rsidR="001639B6">
        <w:rPr>
          <w:lang w:eastAsia="zh-CN"/>
        </w:rPr>
        <w:t xml:space="preserve"> cheating</w:t>
      </w:r>
      <w:r w:rsidR="00ED6338">
        <w:rPr>
          <w:lang w:eastAsia="zh-CN"/>
        </w:rPr>
        <w:t xml:space="preserve"> for both the average and first taken analyses</w:t>
      </w:r>
      <w:r w:rsidR="001639B6">
        <w:rPr>
          <w:lang w:eastAsia="zh-CN"/>
        </w:rPr>
        <w:t xml:space="preserve">, </w:t>
      </w:r>
      <w:proofErr w:type="spellStart"/>
      <w:r w:rsidR="001639B6">
        <w:rPr>
          <w:i/>
          <w:iCs/>
          <w:lang w:eastAsia="zh-CN"/>
        </w:rPr>
        <w:t>p</w:t>
      </w:r>
      <w:r w:rsidR="001639B6">
        <w:rPr>
          <w:lang w:eastAsia="zh-CN"/>
        </w:rPr>
        <w:t>s</w:t>
      </w:r>
      <w:proofErr w:type="spellEnd"/>
      <w:r w:rsidR="001639B6">
        <w:rPr>
          <w:lang w:eastAsia="zh-CN"/>
        </w:rPr>
        <w:t xml:space="preserve"> &lt; .027.</w:t>
      </w:r>
      <w:r w:rsidR="00903E6F">
        <w:rPr>
          <w:lang w:eastAsia="zh-CN"/>
        </w:rPr>
        <w:t xml:space="preserve"> Deviancy aversion no longer predicted the number of times a participants cheated,</w:t>
      </w:r>
      <w:r w:rsidR="00B607A5">
        <w:rPr>
          <w:lang w:eastAsia="zh-CN"/>
        </w:rPr>
        <w:t xml:space="preserve"> however, </w:t>
      </w:r>
      <w:r w:rsidR="00B607A5">
        <w:rPr>
          <w:i/>
          <w:iCs/>
          <w:lang w:eastAsia="zh-CN"/>
        </w:rPr>
        <w:t xml:space="preserve">p </w:t>
      </w:r>
      <w:r w:rsidR="00522B4E">
        <w:rPr>
          <w:lang w:eastAsia="zh-CN"/>
        </w:rPr>
        <w:t xml:space="preserve">= </w:t>
      </w:r>
      <w:r w:rsidR="00863039">
        <w:rPr>
          <w:lang w:eastAsia="zh-CN"/>
        </w:rPr>
        <w:t>.</w:t>
      </w:r>
      <w:r w:rsidR="004D633C">
        <w:rPr>
          <w:lang w:eastAsia="zh-CN"/>
        </w:rPr>
        <w:t>131</w:t>
      </w:r>
      <w:r w:rsidR="008B5F99">
        <w:rPr>
          <w:lang w:eastAsia="zh-CN"/>
        </w:rPr>
        <w:t xml:space="preserve"> (average)</w:t>
      </w:r>
      <w:r w:rsidR="004D633C">
        <w:rPr>
          <w:lang w:eastAsia="zh-CN"/>
        </w:rPr>
        <w:t xml:space="preserve">, and </w:t>
      </w:r>
      <w:r w:rsidR="004D633C">
        <w:rPr>
          <w:i/>
          <w:iCs/>
          <w:lang w:eastAsia="zh-CN"/>
        </w:rPr>
        <w:t xml:space="preserve">p </w:t>
      </w:r>
      <w:r w:rsidR="004D633C">
        <w:rPr>
          <w:lang w:eastAsia="zh-CN"/>
        </w:rPr>
        <w:t>= .</w:t>
      </w:r>
      <w:r w:rsidR="00863039">
        <w:rPr>
          <w:lang w:eastAsia="zh-CN"/>
        </w:rPr>
        <w:t>094</w:t>
      </w:r>
      <w:r w:rsidR="004D633C">
        <w:rPr>
          <w:lang w:eastAsia="zh-CN"/>
        </w:rPr>
        <w:t xml:space="preserve"> (first taken).</w:t>
      </w:r>
      <w:r w:rsidR="002D3CCF">
        <w:rPr>
          <w:lang w:eastAsia="zh-CN"/>
        </w:rPr>
        <w:t xml:space="preserve"> </w:t>
      </w:r>
      <w:r w:rsidR="003576A4">
        <w:rPr>
          <w:lang w:eastAsia="zh-CN"/>
        </w:rPr>
        <w:t xml:space="preserve">Further analyses revealed that this was likely due to the inclusion of an </w:t>
      </w:r>
      <w:r w:rsidR="003576A4">
        <w:rPr>
          <w:lang w:eastAsia="zh-CN"/>
        </w:rPr>
        <w:lastRenderedPageBreak/>
        <w:t xml:space="preserve">outlier who completed the study 210 times. </w:t>
      </w:r>
      <w:r w:rsidR="00C12C32">
        <w:rPr>
          <w:lang w:eastAsia="zh-CN"/>
        </w:rPr>
        <w:t xml:space="preserve">Indeed, removing this outlier revealed more hypothesis conform results, </w:t>
      </w:r>
      <w:r w:rsidR="005261E1">
        <w:rPr>
          <w:i/>
          <w:iCs/>
          <w:lang w:eastAsia="zh-CN"/>
        </w:rPr>
        <w:t xml:space="preserve">p </w:t>
      </w:r>
      <w:r w:rsidR="005261E1">
        <w:rPr>
          <w:lang w:eastAsia="zh-CN"/>
        </w:rPr>
        <w:t>= .</w:t>
      </w:r>
      <w:r w:rsidR="00062EE4">
        <w:rPr>
          <w:lang w:eastAsia="zh-CN"/>
        </w:rPr>
        <w:t>056</w:t>
      </w:r>
      <w:r w:rsidR="005261E1">
        <w:rPr>
          <w:lang w:eastAsia="zh-CN"/>
        </w:rPr>
        <w:t xml:space="preserve"> (average), and </w:t>
      </w:r>
      <w:r w:rsidR="005261E1">
        <w:rPr>
          <w:i/>
          <w:iCs/>
          <w:lang w:eastAsia="zh-CN"/>
        </w:rPr>
        <w:t xml:space="preserve">p </w:t>
      </w:r>
      <w:r w:rsidR="00062EE4">
        <w:rPr>
          <w:lang w:eastAsia="zh-CN"/>
        </w:rPr>
        <w:t>&lt;</w:t>
      </w:r>
      <w:r w:rsidR="005261E1">
        <w:rPr>
          <w:lang w:eastAsia="zh-CN"/>
        </w:rPr>
        <w:t xml:space="preserve"> .</w:t>
      </w:r>
      <w:r w:rsidR="00062EE4">
        <w:rPr>
          <w:lang w:eastAsia="zh-CN"/>
        </w:rPr>
        <w:t>001</w:t>
      </w:r>
      <w:r w:rsidR="005261E1">
        <w:rPr>
          <w:lang w:eastAsia="zh-CN"/>
        </w:rPr>
        <w:t xml:space="preserve"> (first taken). </w:t>
      </w:r>
      <w:r w:rsidR="00755210">
        <w:rPr>
          <w:lang w:eastAsia="zh-CN"/>
        </w:rPr>
        <w:t xml:space="preserve">Overall, these results align with those reported in the main text when using the less stringent IP classification. </w:t>
      </w:r>
    </w:p>
    <w:p w14:paraId="714AB9EF" w14:textId="05434B22" w:rsidR="00CD06C8" w:rsidRPr="008B4BDC" w:rsidRDefault="000363FB" w:rsidP="008B4BDC">
      <w:pPr>
        <w:spacing w:after="160" w:line="259" w:lineRule="auto"/>
        <w:jc w:val="center"/>
        <w:rPr>
          <w:rFonts w:eastAsia="Times New Roman"/>
          <w:szCs w:val="20"/>
        </w:rPr>
      </w:pPr>
      <w:r>
        <w:rPr>
          <w:b/>
          <w:bCs/>
        </w:rPr>
        <w:t xml:space="preserve">Study </w:t>
      </w:r>
      <w:r w:rsidR="00760671">
        <w:rPr>
          <w:b/>
          <w:bCs/>
        </w:rPr>
        <w:t>5</w:t>
      </w:r>
    </w:p>
    <w:p w14:paraId="72ACCF5C" w14:textId="150BD439" w:rsidR="003F33D0" w:rsidRDefault="00AB5FC0" w:rsidP="000363FB">
      <w:pPr>
        <w:spacing w:line="480" w:lineRule="auto"/>
        <w:rPr>
          <w:b/>
          <w:bCs/>
        </w:rPr>
      </w:pPr>
      <w:r>
        <w:rPr>
          <w:b/>
          <w:bCs/>
        </w:rPr>
        <w:t xml:space="preserve">Supplemental </w:t>
      </w:r>
      <w:r w:rsidR="003F33D0">
        <w:rPr>
          <w:b/>
          <w:bCs/>
        </w:rPr>
        <w:t>Method</w:t>
      </w:r>
      <w:r>
        <w:rPr>
          <w:b/>
          <w:bCs/>
        </w:rPr>
        <w:t>s</w:t>
      </w:r>
      <w:r w:rsidR="003F33D0">
        <w:rPr>
          <w:b/>
          <w:bCs/>
        </w:rPr>
        <w:t xml:space="preserve"> </w:t>
      </w:r>
    </w:p>
    <w:p w14:paraId="1DDDD4D1" w14:textId="699FF578" w:rsidR="003F33D0" w:rsidRPr="00A049EE" w:rsidRDefault="003F33D0" w:rsidP="003F33D0">
      <w:pPr>
        <w:spacing w:before="28" w:line="480" w:lineRule="auto"/>
        <w:ind w:firstLine="720"/>
      </w:pPr>
      <w:r>
        <w:rPr>
          <w:b/>
        </w:rPr>
        <w:t>Deviancy</w:t>
      </w:r>
      <w:r w:rsidRPr="00CE1446">
        <w:rPr>
          <w:b/>
        </w:rPr>
        <w:t xml:space="preserve"> </w:t>
      </w:r>
      <w:r>
        <w:rPr>
          <w:b/>
        </w:rPr>
        <w:t>Aversion</w:t>
      </w:r>
      <w:r w:rsidRPr="00CE1446">
        <w:rPr>
          <w:b/>
        </w:rPr>
        <w:t>.</w:t>
      </w:r>
      <w:r w:rsidRPr="00C32419">
        <w:rPr>
          <w:b/>
          <w:i/>
        </w:rPr>
        <w:t xml:space="preserve"> </w:t>
      </w:r>
      <w:r>
        <w:rPr>
          <w:bCs/>
          <w:iCs/>
        </w:rPr>
        <w:t xml:space="preserve">We applied a motivational deviancy aversion paradigm validated by Gollwitzer and colleagues (2020). In line with active goals intruding on attitudes and judgment (e.g., </w:t>
      </w:r>
      <w:r>
        <w:t>Lewin, 1917; Ferguson &amp; Porter, 2009), participants were induced with t</w:t>
      </w:r>
      <w:r w:rsidRPr="00C32419">
        <w:t xml:space="preserve">he goal to </w:t>
      </w:r>
      <w:r>
        <w:t>come up with negative (positive) attributes of</w:t>
      </w:r>
      <w:r w:rsidRPr="00C32419">
        <w:t xml:space="preserve"> </w:t>
      </w:r>
      <w:r>
        <w:t xml:space="preserve">nonsocial </w:t>
      </w:r>
      <w:r w:rsidRPr="00C32419">
        <w:t xml:space="preserve">deviancy </w:t>
      </w:r>
      <w:r>
        <w:t>and positive (negative) attributes of nonsocial deviancy,</w:t>
      </w:r>
      <w:r w:rsidRPr="00C32419">
        <w:t xml:space="preserve"> and while this goal was active</w:t>
      </w:r>
      <w:r>
        <w:t xml:space="preserve">—before goal completion was reached—they </w:t>
      </w:r>
      <w:r w:rsidRPr="00C32419">
        <w:t>complete</w:t>
      </w:r>
      <w:r>
        <w:t>d</w:t>
      </w:r>
      <w:r w:rsidRPr="00C32419">
        <w:t xml:space="preserve"> </w:t>
      </w:r>
      <w:r>
        <w:t>several social norm measures</w:t>
      </w:r>
      <w:r w:rsidRPr="00C32419">
        <w:t xml:space="preserve">. </w:t>
      </w:r>
      <w:r>
        <w:t>Specifically, p</w:t>
      </w:r>
      <w:r w:rsidRPr="00E0605A">
        <w:t>articipants</w:t>
      </w:r>
      <w:r>
        <w:t xml:space="preserve"> in the high (low) deviancy aversion condition </w:t>
      </w:r>
      <w:r w:rsidRPr="00C32419">
        <w:t xml:space="preserve">were told they would </w:t>
      </w:r>
      <w:r>
        <w:t>be entered into a raffle for</w:t>
      </w:r>
      <w:r w:rsidRPr="00C32419">
        <w:t xml:space="preserve"> a</w:t>
      </w:r>
      <w:r>
        <w:t xml:space="preserve"> $20</w:t>
      </w:r>
      <w:r w:rsidRPr="00C32419">
        <w:t xml:space="preserve"> reward</w:t>
      </w:r>
      <w:r>
        <w:t xml:space="preserve"> if they</w:t>
      </w:r>
      <w:r w:rsidRPr="00C32419">
        <w:t xml:space="preserve"> </w:t>
      </w:r>
      <w:r>
        <w:t>came</w:t>
      </w:r>
      <w:r w:rsidRPr="00C32419">
        <w:t xml:space="preserve"> up with a large</w:t>
      </w:r>
      <w:r>
        <w:t>r</w:t>
      </w:r>
      <w:r w:rsidRPr="00C32419">
        <w:t xml:space="preserve"> </w:t>
      </w:r>
      <w:r>
        <w:t>number</w:t>
      </w:r>
      <w:r w:rsidRPr="00C32419">
        <w:t xml:space="preserve"> of </w:t>
      </w:r>
      <w:r w:rsidRPr="0072076C">
        <w:rPr>
          <w:iCs/>
        </w:rPr>
        <w:t>negative</w:t>
      </w:r>
      <w:r w:rsidRPr="00C32419">
        <w:t xml:space="preserve"> </w:t>
      </w:r>
      <w:r>
        <w:t xml:space="preserve">(positive) </w:t>
      </w:r>
      <w:r w:rsidRPr="00C32419">
        <w:t xml:space="preserve">attributes of deviancy and </w:t>
      </w:r>
      <w:r w:rsidRPr="00F3258C">
        <w:rPr>
          <w:iCs/>
        </w:rPr>
        <w:t>positive</w:t>
      </w:r>
      <w:r w:rsidRPr="00C32419">
        <w:t xml:space="preserve"> </w:t>
      </w:r>
      <w:r>
        <w:t xml:space="preserve">(negative) </w:t>
      </w:r>
      <w:r w:rsidRPr="00C32419">
        <w:t xml:space="preserve">attributes of </w:t>
      </w:r>
      <w:r>
        <w:t xml:space="preserve">patternicity than 75% of other participants. </w:t>
      </w:r>
    </w:p>
    <w:p w14:paraId="623A220D" w14:textId="6FAF3A85" w:rsidR="003F33D0" w:rsidRDefault="003F33D0" w:rsidP="003F33D0">
      <w:pPr>
        <w:spacing w:line="480" w:lineRule="auto"/>
        <w:ind w:firstLine="720"/>
        <w:jc w:val="both"/>
      </w:pPr>
      <w:r>
        <w:t xml:space="preserve">All </w:t>
      </w:r>
      <w:r w:rsidRPr="00C32419">
        <w:t>participants</w:t>
      </w:r>
      <w:r>
        <w:t xml:space="preserve"> thereafter</w:t>
      </w:r>
      <w:r w:rsidRPr="00C32419">
        <w:t xml:space="preserve"> completed two attention check</w:t>
      </w:r>
      <w:r>
        <w:t xml:space="preserve">s </w:t>
      </w:r>
      <w:r w:rsidRPr="00C32419">
        <w:t xml:space="preserve">and </w:t>
      </w:r>
      <w:r>
        <w:t>their</w:t>
      </w:r>
      <w:r w:rsidRPr="00C32419">
        <w:t xml:space="preserve"> self-report</w:t>
      </w:r>
      <w:r>
        <w:t>ed</w:t>
      </w:r>
      <w:r w:rsidRPr="00C32419">
        <w:t xml:space="preserve"> motivation</w:t>
      </w:r>
      <w:r>
        <w:t xml:space="preserve"> to perform well on the task</w:t>
      </w:r>
      <w:r w:rsidRPr="00C32419">
        <w:t>: “I feel motivated to come up with negative (</w:t>
      </w:r>
      <w:r w:rsidRPr="00C91430">
        <w:rPr>
          <w:iCs/>
        </w:rPr>
        <w:t>positive</w:t>
      </w:r>
      <w:r w:rsidRPr="00C32419">
        <w:t>) attributes about things that break a pattern, and positive (</w:t>
      </w:r>
      <w:r w:rsidRPr="00C91430">
        <w:rPr>
          <w:iCs/>
        </w:rPr>
        <w:t>negative</w:t>
      </w:r>
      <w:r w:rsidRPr="00C32419">
        <w:t>) attributes about things that follow a pattern</w:t>
      </w:r>
      <w:r>
        <w:t>.</w:t>
      </w:r>
      <w:r w:rsidRPr="00C32419">
        <w:t xml:space="preserve">” Likert-scale: 1 = </w:t>
      </w:r>
      <w:r w:rsidRPr="00C32419">
        <w:rPr>
          <w:i/>
        </w:rPr>
        <w:t xml:space="preserve">Not at all agree </w:t>
      </w:r>
      <w:r w:rsidRPr="00C32419">
        <w:t xml:space="preserve">to 7 = </w:t>
      </w:r>
      <w:r w:rsidRPr="00C32419">
        <w:rPr>
          <w:i/>
        </w:rPr>
        <w:t>Strongly agree</w:t>
      </w:r>
      <w:r w:rsidRPr="00C32419">
        <w:t xml:space="preserve">. </w:t>
      </w:r>
    </w:p>
    <w:p w14:paraId="7CF81AB7" w14:textId="385FAE34" w:rsidR="003F33D0" w:rsidRPr="00D91AE7" w:rsidRDefault="003F33D0" w:rsidP="00D91AE7">
      <w:pPr>
        <w:spacing w:line="480" w:lineRule="auto"/>
        <w:ind w:firstLine="720"/>
        <w:jc w:val="both"/>
        <w:rPr>
          <w:color w:val="000000"/>
        </w:rPr>
      </w:pPr>
      <w:r>
        <w:t>P</w:t>
      </w:r>
      <w:r w:rsidRPr="00C32419">
        <w:t xml:space="preserve">articipants were </w:t>
      </w:r>
      <w:r>
        <w:t xml:space="preserve">then </w:t>
      </w:r>
      <w:r w:rsidRPr="00C32419">
        <w:t xml:space="preserve">told that they </w:t>
      </w:r>
      <w:r>
        <w:t xml:space="preserve">would </w:t>
      </w:r>
      <w:r w:rsidRPr="00C32419">
        <w:t xml:space="preserve">report the attributes they </w:t>
      </w:r>
      <w:r>
        <w:t xml:space="preserve">had </w:t>
      </w:r>
      <w:r w:rsidRPr="00C32419">
        <w:t>c</w:t>
      </w:r>
      <w:r>
        <w:t>o</w:t>
      </w:r>
      <w:r w:rsidRPr="00C32419">
        <w:t xml:space="preserve">me up with after </w:t>
      </w:r>
      <w:r>
        <w:t>answering some questions</w:t>
      </w:r>
      <w:r w:rsidRPr="00C32419">
        <w:t xml:space="preserve"> and thus, should come up with these attributes while completing the</w:t>
      </w:r>
      <w:r>
        <w:t>se</w:t>
      </w:r>
      <w:r w:rsidRPr="00C32419">
        <w:t xml:space="preserve"> question</w:t>
      </w:r>
      <w:r>
        <w:t>s</w:t>
      </w:r>
      <w:r w:rsidRPr="00C32419">
        <w:t xml:space="preserve">. </w:t>
      </w:r>
      <w:r>
        <w:t>Finally, participants were told, depending on high (versus low) deviancy aversion condition, to “start thinking of negative (</w:t>
      </w:r>
      <w:r w:rsidRPr="009A4BAA">
        <w:rPr>
          <w:iCs/>
        </w:rPr>
        <w:t>positive</w:t>
      </w:r>
      <w:r>
        <w:t xml:space="preserve">) words that are associated with </w:t>
      </w:r>
      <w:r w:rsidRPr="002B48BB">
        <w:rPr>
          <w:bCs/>
        </w:rPr>
        <w:t>things that break a pattern (e.g., disruptive</w:t>
      </w:r>
      <w:r>
        <w:rPr>
          <w:bCs/>
        </w:rPr>
        <w:t xml:space="preserve"> [</w:t>
      </w:r>
      <w:r w:rsidRPr="005473DD">
        <w:rPr>
          <w:bCs/>
          <w:iCs/>
        </w:rPr>
        <w:t>exciting</w:t>
      </w:r>
      <w:r>
        <w:rPr>
          <w:bCs/>
        </w:rPr>
        <w:t>]</w:t>
      </w:r>
      <w:r w:rsidRPr="002B48BB">
        <w:rPr>
          <w:bCs/>
        </w:rPr>
        <w:t>), and positive</w:t>
      </w:r>
      <w:r>
        <w:rPr>
          <w:bCs/>
        </w:rPr>
        <w:t xml:space="preserve"> (</w:t>
      </w:r>
      <w:r w:rsidRPr="009A4BAA">
        <w:rPr>
          <w:bCs/>
          <w:iCs/>
        </w:rPr>
        <w:t>negative</w:t>
      </w:r>
      <w:r>
        <w:rPr>
          <w:bCs/>
        </w:rPr>
        <w:t>)</w:t>
      </w:r>
      <w:r w:rsidRPr="002B48BB">
        <w:rPr>
          <w:bCs/>
        </w:rPr>
        <w:t xml:space="preserve"> words that are associated with things that follow a pattern (e.g., organized</w:t>
      </w:r>
      <w:r>
        <w:rPr>
          <w:bCs/>
        </w:rPr>
        <w:t xml:space="preserve"> [</w:t>
      </w:r>
      <w:r w:rsidRPr="005473DD">
        <w:rPr>
          <w:bCs/>
          <w:iCs/>
        </w:rPr>
        <w:t>boring</w:t>
      </w:r>
      <w:r>
        <w:rPr>
          <w:bCs/>
        </w:rPr>
        <w:t>]</w:t>
      </w:r>
      <w:r w:rsidRPr="002B48BB">
        <w:rPr>
          <w:bCs/>
        </w:rPr>
        <w:t>)</w:t>
      </w:r>
      <w:r>
        <w:rPr>
          <w:bCs/>
        </w:rPr>
        <w:t xml:space="preserve">.” </w:t>
      </w:r>
      <w:r w:rsidRPr="003B61DE">
        <w:rPr>
          <w:bCs/>
        </w:rPr>
        <w:t xml:space="preserve">To keep the </w:t>
      </w:r>
      <w:r>
        <w:rPr>
          <w:bCs/>
        </w:rPr>
        <w:t>goal</w:t>
      </w:r>
      <w:r w:rsidRPr="003B61DE">
        <w:rPr>
          <w:bCs/>
        </w:rPr>
        <w:t xml:space="preserve"> </w:t>
      </w:r>
      <w:r>
        <w:rPr>
          <w:bCs/>
        </w:rPr>
        <w:t xml:space="preserve">active </w:t>
      </w:r>
      <w:r w:rsidRPr="003B61DE">
        <w:rPr>
          <w:bCs/>
        </w:rPr>
        <w:t xml:space="preserve">throughout the </w:t>
      </w:r>
      <w:r>
        <w:rPr>
          <w:bCs/>
        </w:rPr>
        <w:t>study</w:t>
      </w:r>
      <w:r w:rsidRPr="003B61DE">
        <w:rPr>
          <w:bCs/>
        </w:rPr>
        <w:t xml:space="preserve">, </w:t>
      </w:r>
      <w:r>
        <w:rPr>
          <w:rFonts w:eastAsia="Times New Roman"/>
        </w:rPr>
        <w:t xml:space="preserve">this </w:t>
      </w:r>
      <w:r>
        <w:rPr>
          <w:rFonts w:eastAsia="Times New Roman"/>
        </w:rPr>
        <w:lastRenderedPageBreak/>
        <w:t xml:space="preserve">prompt was repeated (the term “start” was changed to “continue”) </w:t>
      </w:r>
      <w:r w:rsidRPr="003B61DE">
        <w:rPr>
          <w:rFonts w:eastAsia="Times New Roman"/>
        </w:rPr>
        <w:t xml:space="preserve">between each of the </w:t>
      </w:r>
      <w:r>
        <w:rPr>
          <w:rFonts w:eastAsia="Times New Roman"/>
        </w:rPr>
        <w:t xml:space="preserve">norm </w:t>
      </w:r>
      <w:r w:rsidRPr="003B61DE">
        <w:rPr>
          <w:rFonts w:eastAsia="Times New Roman"/>
        </w:rPr>
        <w:t>measures</w:t>
      </w:r>
      <w:r w:rsidRPr="002428B3">
        <w:rPr>
          <w:rFonts w:eastAsia="Times New Roman"/>
          <w:color w:val="FF0000"/>
        </w:rPr>
        <w:t>.</w:t>
      </w:r>
      <w:r>
        <w:rPr>
          <w:rFonts w:eastAsia="Times New Roman"/>
          <w:color w:val="FF0000"/>
        </w:rPr>
        <w:t xml:space="preserve"> </w:t>
      </w:r>
      <w:r>
        <w:t>See Verbatim Materials</w:t>
      </w:r>
      <w:r w:rsidRPr="00C32419">
        <w:t>.</w:t>
      </w:r>
    </w:p>
    <w:p w14:paraId="5237EC5A" w14:textId="13987481" w:rsidR="000363FB" w:rsidRPr="000363FB" w:rsidRDefault="00565B14" w:rsidP="000363FB">
      <w:pPr>
        <w:spacing w:line="480" w:lineRule="auto"/>
        <w:rPr>
          <w:b/>
          <w:bCs/>
        </w:rPr>
      </w:pPr>
      <w:r>
        <w:rPr>
          <w:b/>
          <w:bCs/>
        </w:rPr>
        <w:t xml:space="preserve">Supplemental </w:t>
      </w:r>
      <w:r w:rsidR="000363FB">
        <w:rPr>
          <w:b/>
          <w:bCs/>
        </w:rPr>
        <w:t>Results</w:t>
      </w:r>
    </w:p>
    <w:p w14:paraId="7166CCE7" w14:textId="52F5C74D" w:rsidR="0006218D" w:rsidRPr="00A764ED" w:rsidRDefault="00A764ED" w:rsidP="00544A08">
      <w:pPr>
        <w:spacing w:line="480" w:lineRule="auto"/>
        <w:ind w:firstLine="720"/>
        <w:jc w:val="both"/>
        <w:rPr>
          <w:b/>
          <w:bCs/>
        </w:rPr>
      </w:pPr>
      <w:r>
        <w:rPr>
          <w:b/>
          <w:bCs/>
        </w:rPr>
        <w:t xml:space="preserve">Negative Affect Towards Norm Following. </w:t>
      </w:r>
      <w:r>
        <w:t xml:space="preserve">As in </w:t>
      </w:r>
      <w:r w:rsidR="00760671">
        <w:t>Study 1</w:t>
      </w:r>
      <w:r>
        <w:t xml:space="preserve">, we also assessed participants negative affect towards fictional norm following. As expected, participants in the high (versus low) deviancy aversion condition exhibited lower negative affect towards such norm following, </w:t>
      </w:r>
      <w:r w:rsidR="00A370BC" w:rsidRPr="00A370BC">
        <w:rPr>
          <w:bCs/>
          <w:i/>
        </w:rPr>
        <w:t xml:space="preserve">B </w:t>
      </w:r>
      <w:r w:rsidR="00A370BC" w:rsidRPr="00A370BC">
        <w:rPr>
          <w:bCs/>
        </w:rPr>
        <w:t xml:space="preserve">= </w:t>
      </w:r>
      <w:r w:rsidR="000E31B4">
        <w:rPr>
          <w:bCs/>
        </w:rPr>
        <w:t>-</w:t>
      </w:r>
      <w:r w:rsidR="00A370BC" w:rsidRPr="00A370BC">
        <w:rPr>
          <w:bCs/>
        </w:rPr>
        <w:t>0.</w:t>
      </w:r>
      <w:r w:rsidR="000E31B4">
        <w:rPr>
          <w:bCs/>
        </w:rPr>
        <w:t>46</w:t>
      </w:r>
      <w:r w:rsidR="00A370BC" w:rsidRPr="00A370BC">
        <w:rPr>
          <w:bCs/>
        </w:rPr>
        <w:t xml:space="preserve">, </w:t>
      </w:r>
      <w:r w:rsidR="00A370BC" w:rsidRPr="00A370BC">
        <w:rPr>
          <w:bCs/>
          <w:i/>
        </w:rPr>
        <w:t xml:space="preserve">β </w:t>
      </w:r>
      <w:r w:rsidR="00A370BC" w:rsidRPr="00A370BC">
        <w:rPr>
          <w:bCs/>
          <w:iCs/>
        </w:rPr>
        <w:t xml:space="preserve">= </w:t>
      </w:r>
      <w:r w:rsidR="000E31B4">
        <w:rPr>
          <w:bCs/>
          <w:iCs/>
        </w:rPr>
        <w:t>-</w:t>
      </w:r>
      <w:r w:rsidR="00A370BC" w:rsidRPr="00A370BC">
        <w:rPr>
          <w:bCs/>
          <w:iCs/>
        </w:rPr>
        <w:t>0.</w:t>
      </w:r>
      <w:r w:rsidR="000E31B4">
        <w:rPr>
          <w:bCs/>
          <w:iCs/>
        </w:rPr>
        <w:t>15</w:t>
      </w:r>
      <w:r w:rsidR="00A370BC" w:rsidRPr="00A370BC">
        <w:t>,</w:t>
      </w:r>
      <w:r w:rsidR="00A370BC">
        <w:t xml:space="preserve"> </w:t>
      </w:r>
      <w:r>
        <w:rPr>
          <w:i/>
          <w:iCs/>
        </w:rPr>
        <w:t xml:space="preserve">p </w:t>
      </w:r>
      <w:r>
        <w:t xml:space="preserve">= .002. Given that the measure exhibited low reliability and high skew in a number of the reported studies, however, we report these results </w:t>
      </w:r>
      <w:r w:rsidR="00046A36">
        <w:t>here i</w:t>
      </w:r>
      <w:r>
        <w:t xml:space="preserve">n </w:t>
      </w:r>
      <w:r w:rsidR="00B24296">
        <w:t>the Supplements</w:t>
      </w:r>
      <w:r>
        <w:t>.</w:t>
      </w:r>
    </w:p>
    <w:p w14:paraId="05C39C49" w14:textId="32ADFA6C" w:rsidR="003C2E9E" w:rsidRDefault="0006218D" w:rsidP="00544A08">
      <w:pPr>
        <w:spacing w:line="480" w:lineRule="auto"/>
        <w:ind w:firstLine="720"/>
        <w:jc w:val="both"/>
      </w:pPr>
      <w:r>
        <w:rPr>
          <w:b/>
          <w:bCs/>
        </w:rPr>
        <w:t xml:space="preserve">Robustness Checks. </w:t>
      </w:r>
      <w:r w:rsidR="003C2E9E">
        <w:t xml:space="preserve">The robustness tests are described in greater detail than in the main text below: </w:t>
      </w:r>
    </w:p>
    <w:p w14:paraId="1A4C6D48" w14:textId="25F36703" w:rsidR="000363FB" w:rsidRPr="000363FB" w:rsidRDefault="000363FB" w:rsidP="00544A08">
      <w:pPr>
        <w:spacing w:line="480" w:lineRule="auto"/>
        <w:ind w:firstLine="720"/>
        <w:jc w:val="both"/>
      </w:pPr>
      <w:r w:rsidRPr="000363FB">
        <w:t xml:space="preserve">First, none of the observed effects were moderated by participants’ tendency to engage in anthropomorphism; adding the two-way interaction between Deviancy Aversion and anthropomorphism to each of the six GLM models did not reveal significant interactions, </w:t>
      </w:r>
      <w:proofErr w:type="spellStart"/>
      <w:r w:rsidRPr="000363FB">
        <w:rPr>
          <w:i/>
          <w:iCs/>
        </w:rPr>
        <w:t>p</w:t>
      </w:r>
      <w:r w:rsidRPr="000363FB">
        <w:t>s</w:t>
      </w:r>
      <w:proofErr w:type="spellEnd"/>
      <w:r w:rsidRPr="000363FB">
        <w:rPr>
          <w:i/>
          <w:iCs/>
        </w:rPr>
        <w:t xml:space="preserve"> </w:t>
      </w:r>
      <w:r w:rsidRPr="000363FB">
        <w:t xml:space="preserve">&gt; .058. Second, as pre-registered, we added the two-way interactions between Deviancy Aversion and participants’ self-reported motivation to perform well on the deviancy word-task to each of the six main GLM models. In the six models, three interactions were significant, </w:t>
      </w:r>
      <w:proofErr w:type="spellStart"/>
      <w:r w:rsidRPr="000363FB">
        <w:rPr>
          <w:i/>
          <w:iCs/>
        </w:rPr>
        <w:t>p</w:t>
      </w:r>
      <w:r w:rsidRPr="000363FB">
        <w:t>s</w:t>
      </w:r>
      <w:proofErr w:type="spellEnd"/>
      <w:r w:rsidRPr="000363FB">
        <w:rPr>
          <w:i/>
          <w:iCs/>
        </w:rPr>
        <w:t xml:space="preserve"> </w:t>
      </w:r>
      <w:r w:rsidRPr="000363FB">
        <w:t xml:space="preserve">&lt; .043, one was marginal, </w:t>
      </w:r>
      <w:r w:rsidRPr="000363FB">
        <w:rPr>
          <w:i/>
          <w:iCs/>
        </w:rPr>
        <w:t>p</w:t>
      </w:r>
      <w:r w:rsidRPr="000363FB">
        <w:t xml:space="preserve"> = .058, and two were non-significant, </w:t>
      </w:r>
      <w:proofErr w:type="spellStart"/>
      <w:r w:rsidRPr="000363FB">
        <w:rPr>
          <w:i/>
          <w:iCs/>
        </w:rPr>
        <w:t>p</w:t>
      </w:r>
      <w:r w:rsidRPr="000363FB">
        <w:t>s</w:t>
      </w:r>
      <w:proofErr w:type="spellEnd"/>
      <w:r w:rsidRPr="000363FB">
        <w:rPr>
          <w:i/>
          <w:iCs/>
        </w:rPr>
        <w:t xml:space="preserve"> </w:t>
      </w:r>
      <w:r w:rsidRPr="000363FB">
        <w:t xml:space="preserve">&gt; .115. Unpacking these interactions revealed that the manipulation tended to be more powerful for participants who reported being motivated on the task. Given these results, and as pre-registered, we examined whether the significant effects of Deviancy Aversion on norm adherence observed in the original GLM models remained when including these two-way interactions; importantly, they did so, </w:t>
      </w:r>
      <w:proofErr w:type="spellStart"/>
      <w:r w:rsidRPr="000363FB">
        <w:rPr>
          <w:i/>
          <w:iCs/>
        </w:rPr>
        <w:t>p</w:t>
      </w:r>
      <w:r w:rsidRPr="000363FB">
        <w:t>s</w:t>
      </w:r>
      <w:proofErr w:type="spellEnd"/>
      <w:r w:rsidRPr="000363FB">
        <w:t xml:space="preserve"> &lt; .005. These results suggest that though self-reported motivation plays a role in the effect of deviancy aversion </w:t>
      </w:r>
      <w:r w:rsidRPr="000363FB">
        <w:lastRenderedPageBreak/>
        <w:t xml:space="preserve">on norm adherence, a significant portion of the impact of deviancy aversion on norm adherence occurs outside of participants’ deliberate intention or motivation. </w:t>
      </w:r>
    </w:p>
    <w:p w14:paraId="55F43627" w14:textId="1D6CA341" w:rsidR="001E4AE5" w:rsidRPr="001E4AE5" w:rsidRDefault="000363FB" w:rsidP="001E4AE5">
      <w:pPr>
        <w:spacing w:line="480" w:lineRule="auto"/>
        <w:ind w:firstLine="720"/>
        <w:jc w:val="both"/>
      </w:pPr>
      <w:r w:rsidRPr="000363FB">
        <w:t xml:space="preserve">Third, and in line with Studies </w:t>
      </w:r>
      <w:r w:rsidR="0010105C">
        <w:t>S1</w:t>
      </w:r>
      <w:r w:rsidRPr="000363FB">
        <w:t xml:space="preserve"> and </w:t>
      </w:r>
      <w:r w:rsidR="0010105C">
        <w:t>S2</w:t>
      </w:r>
      <w:r w:rsidRPr="000363FB">
        <w:t xml:space="preserve">, mediation analyses revealed that the significant effects of the manipulation on norm adherence occurred via heightened levels of deviancy aversion, </w:t>
      </w:r>
      <w:r w:rsidRPr="000363FB">
        <w:rPr>
          <w:i/>
          <w:iCs/>
        </w:rPr>
        <w:t>β</w:t>
      </w:r>
      <w:r w:rsidRPr="000363FB">
        <w:t>s</w:t>
      </w:r>
      <w:r w:rsidRPr="000363FB">
        <w:rPr>
          <w:i/>
          <w:iCs/>
        </w:rPr>
        <w:t xml:space="preserve"> </w:t>
      </w:r>
      <w:r w:rsidRPr="000363FB">
        <w:t xml:space="preserve">&gt; .12, 95% </w:t>
      </w:r>
      <w:proofErr w:type="gramStart"/>
      <w:r w:rsidRPr="000363FB">
        <w:t>CI[</w:t>
      </w:r>
      <w:proofErr w:type="gramEnd"/>
      <w:r w:rsidRPr="000363FB">
        <w:t xml:space="preserve">.05 &lt; </w:t>
      </w:r>
      <w:r w:rsidRPr="000363FB">
        <w:rPr>
          <w:i/>
          <w:iCs/>
        </w:rPr>
        <w:t>β</w:t>
      </w:r>
      <w:r w:rsidRPr="000363FB">
        <w:t xml:space="preserve"> &lt; .35] and not via participants’ novelty aversion, </w:t>
      </w:r>
      <w:r w:rsidRPr="000363FB">
        <w:rPr>
          <w:i/>
          <w:iCs/>
        </w:rPr>
        <w:t>β</w:t>
      </w:r>
      <w:r w:rsidRPr="000363FB">
        <w:t>s</w:t>
      </w:r>
      <w:r w:rsidRPr="000363FB">
        <w:rPr>
          <w:i/>
          <w:iCs/>
        </w:rPr>
        <w:t xml:space="preserve"> </w:t>
      </w:r>
      <w:r w:rsidRPr="000363FB">
        <w:t xml:space="preserve">&lt; .01, 95% CI[-.02 &lt; </w:t>
      </w:r>
      <w:r w:rsidRPr="000363FB">
        <w:rPr>
          <w:i/>
          <w:iCs/>
        </w:rPr>
        <w:t>β</w:t>
      </w:r>
      <w:r w:rsidRPr="000363FB">
        <w:t xml:space="preserve"> &lt; .04]. Furthermore, mediation analyses on the two non-significant norm adherence measure—espousal and societal tightness—revealed significant indirect effects of the manipulation on these measures via participants’ degree of deviancy aversion; that is, though we did not observe direct effects of Deviancy Aversion on these measures, indirect links appear to exist, </w:t>
      </w:r>
      <w:r w:rsidRPr="000363FB">
        <w:rPr>
          <w:i/>
          <w:iCs/>
        </w:rPr>
        <w:t xml:space="preserve">B </w:t>
      </w:r>
      <w:r w:rsidRPr="000363FB">
        <w:t xml:space="preserve">= .23, 95% </w:t>
      </w:r>
      <w:proofErr w:type="gramStart"/>
      <w:r w:rsidRPr="000363FB">
        <w:t>CI[</w:t>
      </w:r>
      <w:proofErr w:type="gramEnd"/>
      <w:r w:rsidRPr="000363FB">
        <w:t xml:space="preserve">.12, .35], and </w:t>
      </w:r>
      <w:r w:rsidRPr="000363FB">
        <w:rPr>
          <w:i/>
          <w:iCs/>
        </w:rPr>
        <w:t>B</w:t>
      </w:r>
      <w:r w:rsidRPr="000363FB">
        <w:t xml:space="preserve"> = .18, 95% CI[.10, .27], respectively.   </w:t>
      </w:r>
    </w:p>
    <w:p w14:paraId="6FFD6750" w14:textId="0C8C0C90" w:rsidR="007C34A9" w:rsidRDefault="007C34A9" w:rsidP="007C34A9">
      <w:pPr>
        <w:spacing w:line="480" w:lineRule="auto"/>
        <w:jc w:val="center"/>
        <w:rPr>
          <w:rFonts w:eastAsia="Times New Roman"/>
          <w:b/>
        </w:rPr>
      </w:pPr>
      <w:r>
        <w:rPr>
          <w:rFonts w:eastAsia="Times New Roman"/>
          <w:b/>
        </w:rPr>
        <w:t xml:space="preserve">Study </w:t>
      </w:r>
      <w:r w:rsidR="00DD0E46">
        <w:rPr>
          <w:rFonts w:eastAsia="Times New Roman"/>
          <w:b/>
        </w:rPr>
        <w:t>S1</w:t>
      </w:r>
      <w:r>
        <w:rPr>
          <w:rFonts w:eastAsia="Times New Roman"/>
          <w:b/>
        </w:rPr>
        <w:t>: Causal Effects of Deviancy Aversion on Social Norms</w:t>
      </w:r>
    </w:p>
    <w:p w14:paraId="67715F6C" w14:textId="2C45031F" w:rsidR="007C34A9" w:rsidRDefault="007C34A9" w:rsidP="007C34A9">
      <w:pPr>
        <w:spacing w:line="480" w:lineRule="auto"/>
        <w:ind w:firstLine="720"/>
        <w:jc w:val="both"/>
        <w:rPr>
          <w:rFonts w:eastAsia="Times New Roman"/>
        </w:rPr>
      </w:pPr>
      <w:r>
        <w:rPr>
          <w:rFonts w:eastAsia="Times New Roman"/>
        </w:rPr>
        <w:t xml:space="preserve">Study </w:t>
      </w:r>
      <w:r w:rsidR="00687397">
        <w:rPr>
          <w:rFonts w:eastAsia="Times New Roman"/>
        </w:rPr>
        <w:t>S1</w:t>
      </w:r>
      <w:r>
        <w:rPr>
          <w:rFonts w:eastAsia="Times New Roman"/>
        </w:rPr>
        <w:t xml:space="preserve"> examined whether deviancy aversion has a causal effect on social norms. Specifically, we tested whether generating and reflecting on the negative versus positive aspects of low-level deviancy heightens norm adherence on several of the norm measures included in Study 1 (e.g., choosing to follow norms). We also assessed participants’ aversion towards negative but not deviant stimuli to control for the possibility that our manipulation simply induced negative affect rather than specifically deviancy aversion. </w:t>
      </w:r>
    </w:p>
    <w:p w14:paraId="036699B7" w14:textId="233A8E19" w:rsidR="007C34A9" w:rsidRDefault="007C34A9" w:rsidP="007C34A9">
      <w:pPr>
        <w:spacing w:line="480" w:lineRule="auto"/>
        <w:ind w:firstLine="720"/>
        <w:jc w:val="both"/>
        <w:rPr>
          <w:rFonts w:eastAsia="Times New Roman"/>
          <w:lang w:eastAsia="zh-CN"/>
        </w:rPr>
      </w:pPr>
      <w:r w:rsidRPr="0065227A">
        <w:rPr>
          <w:rFonts w:eastAsia="Times New Roman"/>
          <w:b/>
        </w:rPr>
        <w:t>Participants</w:t>
      </w:r>
      <w:r>
        <w:rPr>
          <w:rFonts w:eastAsia="Times New Roman"/>
        </w:rPr>
        <w:t xml:space="preserve">. A supplemental study nearly identical to Study </w:t>
      </w:r>
      <w:r w:rsidR="00334627">
        <w:rPr>
          <w:rFonts w:eastAsia="Times New Roman"/>
        </w:rPr>
        <w:t>S1</w:t>
      </w:r>
      <w:r>
        <w:rPr>
          <w:rFonts w:eastAsia="Times New Roman"/>
        </w:rPr>
        <w:t xml:space="preserve"> (</w:t>
      </w:r>
      <w:r w:rsidR="00334627">
        <w:rPr>
          <w:rFonts w:eastAsia="Times New Roman"/>
        </w:rPr>
        <w:t>which replicated the results of Study S1 but did not include controls so is not reported here;</w:t>
      </w:r>
      <w:r>
        <w:rPr>
          <w:rFonts w:eastAsia="Times New Roman"/>
        </w:rPr>
        <w:t xml:space="preserve"> </w:t>
      </w:r>
      <w:r w:rsidRPr="000234E8">
        <w:rPr>
          <w:rFonts w:eastAsia="Times New Roman"/>
          <w:i/>
        </w:rPr>
        <w:t>f</w:t>
      </w:r>
      <w:r>
        <w:rPr>
          <w:rFonts w:eastAsia="Times New Roman"/>
          <w:i/>
        </w:rPr>
        <w:t xml:space="preserve"> </w:t>
      </w:r>
      <w:r>
        <w:rPr>
          <w:rFonts w:eastAsia="Times New Roman"/>
        </w:rPr>
        <w:t>= .29), revealed we needed 127 participants</w:t>
      </w:r>
      <w:r w:rsidRPr="0065227A">
        <w:rPr>
          <w:rFonts w:eastAsia="Times New Roman"/>
        </w:rPr>
        <w:t xml:space="preserve"> </w:t>
      </w:r>
      <w:r>
        <w:rPr>
          <w:rFonts w:eastAsia="Times New Roman"/>
        </w:rPr>
        <w:t xml:space="preserve">for </w:t>
      </w:r>
      <w:r w:rsidRPr="0065227A">
        <w:rPr>
          <w:rFonts w:eastAsia="Times New Roman"/>
        </w:rPr>
        <w:t>9</w:t>
      </w:r>
      <w:r>
        <w:rPr>
          <w:rFonts w:eastAsia="Times New Roman"/>
        </w:rPr>
        <w:t>0</w:t>
      </w:r>
      <w:r w:rsidRPr="0065227A">
        <w:rPr>
          <w:rFonts w:eastAsia="Times New Roman"/>
        </w:rPr>
        <w:t xml:space="preserve">% </w:t>
      </w:r>
      <w:r>
        <w:rPr>
          <w:rFonts w:eastAsia="Times New Roman"/>
        </w:rPr>
        <w:t>power</w:t>
      </w:r>
      <w:r w:rsidRPr="0065227A">
        <w:rPr>
          <w:rFonts w:eastAsia="Times New Roman"/>
        </w:rPr>
        <w:t>.</w:t>
      </w:r>
      <w:r>
        <w:rPr>
          <w:rFonts w:eastAsia="Times New Roman"/>
        </w:rPr>
        <w:t xml:space="preserve"> We aimed to recruit 180 participants, and ended with</w:t>
      </w:r>
      <w:r w:rsidRPr="0065227A">
        <w:rPr>
          <w:rFonts w:eastAsia="Times New Roman"/>
        </w:rPr>
        <w:t xml:space="preserve"> </w:t>
      </w:r>
      <w:r>
        <w:rPr>
          <w:rFonts w:eastAsia="Times New Roman"/>
        </w:rPr>
        <w:t>181 participants (</w:t>
      </w:r>
      <w:proofErr w:type="spellStart"/>
      <w:r>
        <w:rPr>
          <w:rFonts w:eastAsia="Times New Roman"/>
        </w:rPr>
        <w:t>MTurk</w:t>
      </w:r>
      <w:proofErr w:type="spellEnd"/>
      <w:r>
        <w:rPr>
          <w:rFonts w:eastAsia="Times New Roman"/>
        </w:rPr>
        <w:t>; 98</w:t>
      </w:r>
      <w:r w:rsidRPr="0065227A">
        <w:rPr>
          <w:rFonts w:eastAsia="Times New Roman"/>
        </w:rPr>
        <w:t xml:space="preserve"> </w:t>
      </w:r>
      <w:r>
        <w:rPr>
          <w:rFonts w:eastAsia="Times New Roman"/>
        </w:rPr>
        <w:t>F</w:t>
      </w:r>
      <w:r w:rsidRPr="0065227A">
        <w:rPr>
          <w:rFonts w:eastAsia="Times New Roman"/>
        </w:rPr>
        <w:t xml:space="preserve">emale; </w:t>
      </w:r>
      <w:r w:rsidRPr="0065227A">
        <w:rPr>
          <w:rFonts w:eastAsia="Times New Roman"/>
          <w:i/>
        </w:rPr>
        <w:t>M</w:t>
      </w:r>
      <w:r w:rsidRPr="00AD47DF">
        <w:rPr>
          <w:rFonts w:eastAsia="Times New Roman"/>
          <w:vertAlign w:val="subscript"/>
        </w:rPr>
        <w:t>age</w:t>
      </w:r>
      <w:r w:rsidRPr="0065227A">
        <w:rPr>
          <w:rFonts w:eastAsia="Times New Roman"/>
          <w:i/>
        </w:rPr>
        <w:t xml:space="preserve"> </w:t>
      </w:r>
      <w:r>
        <w:rPr>
          <w:rFonts w:eastAsia="Times New Roman"/>
        </w:rPr>
        <w:t>= 33.70</w:t>
      </w:r>
      <w:r w:rsidRPr="0065227A">
        <w:rPr>
          <w:rFonts w:eastAsia="Times New Roman"/>
        </w:rPr>
        <w:t xml:space="preserve">, </w:t>
      </w:r>
      <w:proofErr w:type="spellStart"/>
      <w:r w:rsidRPr="0065227A">
        <w:rPr>
          <w:rFonts w:eastAsia="Times New Roman"/>
          <w:i/>
        </w:rPr>
        <w:t>SD</w:t>
      </w:r>
      <w:r w:rsidRPr="00AD47DF">
        <w:rPr>
          <w:rFonts w:eastAsia="Times New Roman"/>
          <w:vertAlign w:val="subscript"/>
        </w:rPr>
        <w:t>age</w:t>
      </w:r>
      <w:proofErr w:type="spellEnd"/>
      <w:r w:rsidRPr="0065227A">
        <w:rPr>
          <w:rFonts w:eastAsia="Times New Roman"/>
          <w:i/>
        </w:rPr>
        <w:t xml:space="preserve"> </w:t>
      </w:r>
      <w:r>
        <w:rPr>
          <w:rFonts w:eastAsia="Times New Roman"/>
        </w:rPr>
        <w:t>= 10.61)</w:t>
      </w:r>
      <w:r w:rsidRPr="0065227A">
        <w:rPr>
          <w:rFonts w:eastAsia="Times New Roman"/>
        </w:rPr>
        <w:t>.</w:t>
      </w:r>
      <w:r>
        <w:rPr>
          <w:rFonts w:eastAsia="Times New Roman"/>
        </w:rPr>
        <w:t xml:space="preserve"> Twenty-eight responses were excluded for attention failures, and six for completing the survey twice. With this final sample (</w:t>
      </w:r>
      <w:r>
        <w:rPr>
          <w:rFonts w:eastAsia="Times New Roman"/>
          <w:i/>
          <w:iCs/>
        </w:rPr>
        <w:t xml:space="preserve">N </w:t>
      </w:r>
      <w:r>
        <w:rPr>
          <w:rFonts w:eastAsia="Times New Roman"/>
        </w:rPr>
        <w:lastRenderedPageBreak/>
        <w:t xml:space="preserve">= 147), we had 90% power to observe an effect-size of </w:t>
      </w:r>
      <w:r>
        <w:rPr>
          <w:rFonts w:eastAsia="Times New Roman"/>
          <w:i/>
        </w:rPr>
        <w:t xml:space="preserve">f </w:t>
      </w:r>
      <w:r>
        <w:rPr>
          <w:rFonts w:eastAsia="Times New Roman"/>
        </w:rPr>
        <w:t xml:space="preserve">= .27. </w:t>
      </w:r>
      <w:r>
        <w:rPr>
          <w:rFonts w:eastAsia="Times New Roman"/>
          <w:lang w:eastAsia="zh-CN"/>
        </w:rPr>
        <w:t xml:space="preserve">The study was not pre-registered. See Verbatim Materials </w:t>
      </w:r>
      <w:hyperlink r:id="rId10" w:history="1">
        <w:r w:rsidRPr="00043FF8">
          <w:rPr>
            <w:rStyle w:val="Hyperlink"/>
            <w:rFonts w:eastAsia="Times New Roman"/>
            <w:lang w:eastAsia="zh-CN"/>
          </w:rPr>
          <w:t>here</w:t>
        </w:r>
      </w:hyperlink>
      <w:r>
        <w:rPr>
          <w:rFonts w:eastAsia="Times New Roman"/>
          <w:lang w:eastAsia="zh-CN"/>
        </w:rPr>
        <w:t xml:space="preserve">. </w:t>
      </w:r>
    </w:p>
    <w:p w14:paraId="186A178C" w14:textId="1E1A9249" w:rsidR="001E4AE5" w:rsidRPr="001E4AE5" w:rsidRDefault="001E4AE5" w:rsidP="001E4AE5">
      <w:pPr>
        <w:spacing w:line="480" w:lineRule="auto"/>
        <w:ind w:firstLine="720"/>
        <w:jc w:val="both"/>
        <w:rPr>
          <w:b/>
          <w:bCs/>
        </w:rPr>
      </w:pPr>
      <w:r>
        <w:rPr>
          <w:b/>
        </w:rPr>
        <w:t xml:space="preserve">Attrition. </w:t>
      </w:r>
      <w:r w:rsidRPr="007044CA">
        <w:rPr>
          <w:rFonts w:eastAsia="Times New Roman"/>
          <w:lang w:eastAsia="zh-CN"/>
        </w:rPr>
        <w:t xml:space="preserve">In order to reduce participant attrition, as recommended by Zhou and </w:t>
      </w:r>
      <w:proofErr w:type="spellStart"/>
      <w:r w:rsidRPr="007044CA">
        <w:rPr>
          <w:rFonts w:eastAsia="Times New Roman"/>
          <w:lang w:eastAsia="zh-CN"/>
        </w:rPr>
        <w:t>Fishbach</w:t>
      </w:r>
      <w:proofErr w:type="spellEnd"/>
      <w:r w:rsidRPr="007044CA">
        <w:rPr>
          <w:rFonts w:eastAsia="Times New Roman"/>
          <w:lang w:eastAsia="zh-CN"/>
        </w:rPr>
        <w:t xml:space="preserve"> (2016), participants were asked to confirm that they did not mind open-ended questions before beginning the experiment. </w:t>
      </w:r>
      <w:r>
        <w:t xml:space="preserve">Participants read and responded to the following attrition prompt: </w:t>
      </w:r>
      <w:r w:rsidRPr="00FA0BB5">
        <w:t>“This is an anonymous survey consisting of multiple questions. A few questions are open-ended questions where you need to type a few sentences or a short paragraph or two.</w:t>
      </w:r>
      <w:r w:rsidRPr="00FA0BB5">
        <w:rPr>
          <w:bCs/>
        </w:rPr>
        <w:t> If a sizable number of people quit a survey halfway, however, the data quality of that survey is compromised. </w:t>
      </w:r>
      <w:r w:rsidRPr="00FA0BB5">
        <w:t>Please make sure you do not mind open-ended questions before taking this survey and please do your best to complete the </w:t>
      </w:r>
      <w:r w:rsidRPr="00FA0BB5">
        <w:rPr>
          <w:bCs/>
          <w:i/>
          <w:iCs/>
        </w:rPr>
        <w:t>entire </w:t>
      </w:r>
      <w:r w:rsidRPr="00FA0BB5">
        <w:t xml:space="preserve">survey. Your input is important to us and we very much appreciate your participation!” Participants then read and responded to the prompt “If you have read the above paragraph and choose to complete the survey please write ‘I agree’ in the textbox below. Thank you.” </w:t>
      </w:r>
      <w:r w:rsidRPr="001706B0">
        <w:t>Attritio</w:t>
      </w:r>
      <w:r w:rsidRPr="00BB6994">
        <w:t xml:space="preserve">n rates did not greatly differ depending on condition (high </w:t>
      </w:r>
      <w:r>
        <w:t>deviancy aversion</w:t>
      </w:r>
      <w:r w:rsidRPr="00BB6994">
        <w:t xml:space="preserve"> condition:</w:t>
      </w:r>
      <w:r w:rsidRPr="00BB6994">
        <w:rPr>
          <w:i/>
        </w:rPr>
        <w:t xml:space="preserve"> n </w:t>
      </w:r>
      <w:r w:rsidRPr="00BB6994">
        <w:t xml:space="preserve">= 69; low </w:t>
      </w:r>
      <w:r>
        <w:t>deviancy aversion</w:t>
      </w:r>
      <w:r w:rsidRPr="00BB6994">
        <w:t xml:space="preserve"> condition: </w:t>
      </w:r>
      <w:r w:rsidRPr="00BB6994">
        <w:rPr>
          <w:i/>
        </w:rPr>
        <w:t xml:space="preserve">n </w:t>
      </w:r>
      <w:r w:rsidRPr="00BB6994">
        <w:t>= 76)</w:t>
      </w:r>
      <w:r>
        <w:t xml:space="preserve">, </w:t>
      </w:r>
      <w:r>
        <w:rPr>
          <w:i/>
          <w:iCs/>
        </w:rPr>
        <w:t xml:space="preserve">p </w:t>
      </w:r>
      <w:r>
        <w:t>= .618</w:t>
      </w:r>
      <w:r>
        <w:rPr>
          <w:b/>
          <w:bCs/>
        </w:rPr>
        <w:t xml:space="preserve">. </w:t>
      </w:r>
    </w:p>
    <w:p w14:paraId="1223AF0A" w14:textId="77777777" w:rsidR="007C34A9" w:rsidRDefault="007C34A9" w:rsidP="007C34A9">
      <w:pPr>
        <w:spacing w:line="480" w:lineRule="auto"/>
        <w:ind w:firstLine="720"/>
        <w:jc w:val="both"/>
        <w:rPr>
          <w:rFonts w:eastAsia="Times New Roman"/>
        </w:rPr>
      </w:pPr>
      <w:r>
        <w:rPr>
          <w:rFonts w:eastAsia="Times New Roman"/>
          <w:b/>
        </w:rPr>
        <w:t xml:space="preserve">Deviancy Aversion. </w:t>
      </w:r>
      <w:r>
        <w:t>P</w:t>
      </w:r>
      <w:r>
        <w:rPr>
          <w:rFonts w:eastAsia="Times New Roman"/>
        </w:rPr>
        <w:t>articipants were randomly assigned to the high (versus low) deviancy aversion condition. Depending on condition, they read: “Think of things/objects that break a pattern, are out of line, and create disorder. What are three negative (positive) attributes of such things/</w:t>
      </w:r>
      <w:proofErr w:type="gramStart"/>
      <w:r>
        <w:rPr>
          <w:rFonts w:eastAsia="Times New Roman"/>
        </w:rPr>
        <w:t>objects?…</w:t>
      </w:r>
      <w:proofErr w:type="gramEnd"/>
      <w:r>
        <w:rPr>
          <w:rFonts w:eastAsia="Times New Roman"/>
        </w:rPr>
        <w:t>For example, what is something negative (positive) about a few blueberries in a bowl of many strawberries, or what is something negative (positive) about the images below?” The two images depicted two broken geometric patterns from Study 1. Participants thereafter were told to reflect in vivid detail on how negatively (positively) they feel towards nonsocial deviancy. See Verbatim Materials.</w:t>
      </w:r>
    </w:p>
    <w:p w14:paraId="7DFED6E4" w14:textId="77777777" w:rsidR="007C34A9" w:rsidRPr="00E936D2" w:rsidRDefault="007C34A9" w:rsidP="007C34A9">
      <w:pPr>
        <w:spacing w:line="480" w:lineRule="auto"/>
        <w:ind w:firstLine="720"/>
        <w:contextualSpacing/>
        <w:jc w:val="both"/>
        <w:rPr>
          <w:rFonts w:eastAsia="Times New Roman"/>
          <w:bCs/>
        </w:rPr>
      </w:pPr>
      <w:r w:rsidRPr="00E936D2">
        <w:rPr>
          <w:rFonts w:eastAsia="Times New Roman"/>
          <w:b/>
        </w:rPr>
        <w:lastRenderedPageBreak/>
        <w:t xml:space="preserve">Norm Adherence. </w:t>
      </w:r>
      <w:r w:rsidRPr="00E936D2">
        <w:rPr>
          <w:rFonts w:eastAsia="Times New Roman"/>
          <w:bCs/>
        </w:rPr>
        <w:t xml:space="preserve">We included three measures: </w:t>
      </w:r>
      <w:r>
        <w:rPr>
          <w:rFonts w:eastAsia="Times New Roman"/>
        </w:rPr>
        <w:t>N</w:t>
      </w:r>
      <w:r w:rsidRPr="00E936D2">
        <w:rPr>
          <w:rFonts w:eastAsia="Times New Roman"/>
        </w:rPr>
        <w:t>egative affect towards fictional</w:t>
      </w:r>
      <w:r>
        <w:rPr>
          <w:rFonts w:eastAsia="Times New Roman"/>
        </w:rPr>
        <w:t xml:space="preserve"> </w:t>
      </w:r>
      <w:r w:rsidRPr="00E936D2">
        <w:rPr>
          <w:rFonts w:eastAsia="Times New Roman"/>
        </w:rPr>
        <w:t>norm violations,</w:t>
      </w:r>
      <w:r>
        <w:rPr>
          <w:rFonts w:eastAsia="Times New Roman"/>
        </w:rPr>
        <w:t xml:space="preserve"> negative affect towards non-fictional norm violations,</w:t>
      </w:r>
      <w:r w:rsidRPr="00E936D2">
        <w:rPr>
          <w:rFonts w:eastAsia="Times New Roman"/>
        </w:rPr>
        <w:t xml:space="preserve"> </w:t>
      </w:r>
      <w:r>
        <w:rPr>
          <w:rFonts w:eastAsia="Times New Roman"/>
        </w:rPr>
        <w:t>and</w:t>
      </w:r>
      <w:r w:rsidRPr="00E936D2">
        <w:rPr>
          <w:rFonts w:eastAsia="Times New Roman"/>
        </w:rPr>
        <w:t xml:space="preserve"> self-reported norm behavior.</w:t>
      </w:r>
      <w:r w:rsidRPr="00E936D2">
        <w:rPr>
          <w:rFonts w:eastAsia="Times New Roman"/>
          <w:bCs/>
        </w:rPr>
        <w:t xml:space="preserve"> These measures were as in Study 1 except</w:t>
      </w:r>
      <w:r>
        <w:rPr>
          <w:rFonts w:eastAsia="Times New Roman"/>
          <w:bCs/>
        </w:rPr>
        <w:t xml:space="preserve"> for the inclusion of some reverse-coded items (see Verbatim Materials). </w:t>
      </w:r>
    </w:p>
    <w:p w14:paraId="3486D4E0" w14:textId="77777777" w:rsidR="007C34A9" w:rsidRDefault="007C34A9" w:rsidP="007C34A9">
      <w:pPr>
        <w:spacing w:beforeLines="40" w:before="96" w:line="480" w:lineRule="auto"/>
        <w:ind w:firstLine="720"/>
        <w:contextualSpacing/>
        <w:jc w:val="both"/>
        <w:rPr>
          <w:rFonts w:eastAsia="Times New Roman"/>
        </w:rPr>
      </w:pPr>
      <w:r>
        <w:rPr>
          <w:rFonts w:eastAsia="Times New Roman"/>
          <w:b/>
        </w:rPr>
        <w:t>Control Variables</w:t>
      </w:r>
      <w:r w:rsidRPr="00EC6419">
        <w:rPr>
          <w:rFonts w:eastAsia="Times New Roman"/>
          <w:b/>
        </w:rPr>
        <w:t xml:space="preserve">. </w:t>
      </w:r>
      <w:r>
        <w:rPr>
          <w:rFonts w:eastAsia="Times New Roman"/>
        </w:rPr>
        <w:t xml:space="preserve">Negativity aversion—participants’ </w:t>
      </w:r>
      <w:r w:rsidRPr="00EC6419">
        <w:rPr>
          <w:rFonts w:eastAsia="Times New Roman"/>
        </w:rPr>
        <w:t>aversion towards negative but not deviant stimuli</w:t>
      </w:r>
      <w:r>
        <w:rPr>
          <w:rFonts w:eastAsia="Times New Roman"/>
        </w:rPr>
        <w:t>—</w:t>
      </w:r>
      <w:r w:rsidRPr="00EC6419">
        <w:rPr>
          <w:rFonts w:eastAsia="Times New Roman"/>
        </w:rPr>
        <w:t>was assessed</w:t>
      </w:r>
      <w:r>
        <w:rPr>
          <w:rFonts w:eastAsia="Times New Roman"/>
        </w:rPr>
        <w:t xml:space="preserve"> via aversion towards scenes of poor weather—poor weather, though negative, is not generally considered deviant (</w:t>
      </w:r>
      <w:r w:rsidRPr="00BD3886">
        <w:rPr>
          <w:rFonts w:eastAsia="Times New Roman"/>
        </w:rPr>
        <w:t>Gollwitzer et al.</w:t>
      </w:r>
      <w:r>
        <w:rPr>
          <w:rFonts w:eastAsia="Times New Roman"/>
        </w:rPr>
        <w:t xml:space="preserve">, </w:t>
      </w:r>
      <w:r w:rsidRPr="00BD3886">
        <w:rPr>
          <w:rFonts w:eastAsia="Times New Roman"/>
        </w:rPr>
        <w:t>201</w:t>
      </w:r>
      <w:r>
        <w:rPr>
          <w:rFonts w:eastAsia="Times New Roman"/>
        </w:rPr>
        <w:t xml:space="preserve">7; </w:t>
      </w:r>
      <w:r w:rsidRPr="00BD3886">
        <w:rPr>
          <w:rFonts w:eastAsia="Times New Roman"/>
        </w:rPr>
        <w:t xml:space="preserve">Gollwitzer </w:t>
      </w:r>
      <w:r>
        <w:rPr>
          <w:rFonts w:eastAsia="Times New Roman"/>
        </w:rPr>
        <w:t>&amp;</w:t>
      </w:r>
      <w:r w:rsidRPr="00BD3886">
        <w:rPr>
          <w:rFonts w:eastAsia="Times New Roman"/>
        </w:rPr>
        <w:t xml:space="preserve"> Clark</w:t>
      </w:r>
      <w:r>
        <w:rPr>
          <w:rFonts w:eastAsia="Times New Roman"/>
        </w:rPr>
        <w:t xml:space="preserve">, </w:t>
      </w:r>
      <w:r w:rsidRPr="00BD3886">
        <w:rPr>
          <w:rFonts w:eastAsia="Times New Roman"/>
        </w:rPr>
        <w:t>2018).</w:t>
      </w:r>
      <w:r>
        <w:rPr>
          <w:rFonts w:eastAsia="Times New Roman"/>
        </w:rPr>
        <w:t xml:space="preserve"> Participants read:</w:t>
      </w:r>
      <w:r w:rsidRPr="00EC6419">
        <w:rPr>
          <w:rFonts w:eastAsia="Times New Roman"/>
        </w:rPr>
        <w:t xml:space="preserve"> “At the moment, how uncomfortable do the following scenes make you feel?” </w:t>
      </w:r>
      <w:r>
        <w:rPr>
          <w:rFonts w:eastAsia="Times New Roman"/>
        </w:rPr>
        <w:t>and responded to</w:t>
      </w:r>
      <w:r w:rsidRPr="00EC6419">
        <w:rPr>
          <w:rFonts w:eastAsia="Times New Roman"/>
        </w:rPr>
        <w:t xml:space="preserve"> 4 images of </w:t>
      </w:r>
      <w:r>
        <w:rPr>
          <w:rFonts w:eastAsia="Times New Roman"/>
        </w:rPr>
        <w:t>poor weather and 4 images of good weather. See Verbatim Materials</w:t>
      </w:r>
      <w:r w:rsidRPr="00EC6419">
        <w:rPr>
          <w:rFonts w:eastAsia="Times New Roman"/>
        </w:rPr>
        <w:t xml:space="preserve">. </w:t>
      </w:r>
    </w:p>
    <w:p w14:paraId="33A16C85" w14:textId="77777777" w:rsidR="007C34A9" w:rsidRPr="00AE2E87" w:rsidRDefault="007C34A9" w:rsidP="007C34A9">
      <w:pPr>
        <w:spacing w:line="480" w:lineRule="auto"/>
        <w:ind w:firstLine="720"/>
        <w:jc w:val="both"/>
        <w:rPr>
          <w:rFonts w:eastAsia="Times New Roman"/>
        </w:rPr>
      </w:pPr>
      <w:r>
        <w:rPr>
          <w:rFonts w:eastAsia="Times New Roman"/>
          <w:b/>
        </w:rPr>
        <w:t xml:space="preserve">Manipulation Check. </w:t>
      </w:r>
      <w:r>
        <w:t>Participants’ responses towards two broken and two unbroken patterns of geometric shapes functioned as the manipulation check</w:t>
      </w:r>
      <w:r>
        <w:rPr>
          <w:rFonts w:eastAsia="Times New Roman"/>
        </w:rPr>
        <w:t xml:space="preserve">: “How ‘positive’ is the above image?” and “How ‘negative’ is the above image?” 1 = </w:t>
      </w:r>
      <w:r>
        <w:rPr>
          <w:rFonts w:eastAsia="Times New Roman"/>
          <w:i/>
        </w:rPr>
        <w:t xml:space="preserve">Not at all </w:t>
      </w:r>
      <w:r>
        <w:rPr>
          <w:rFonts w:eastAsia="Times New Roman"/>
        </w:rPr>
        <w:t xml:space="preserve">to 7 = </w:t>
      </w:r>
      <w:r>
        <w:rPr>
          <w:rFonts w:eastAsia="Times New Roman"/>
          <w:i/>
        </w:rPr>
        <w:t>Very</w:t>
      </w:r>
      <w:r>
        <w:rPr>
          <w:rFonts w:eastAsia="Times New Roman"/>
        </w:rPr>
        <w:t xml:space="preserve">. Positive item reverse-coded. </w:t>
      </w:r>
    </w:p>
    <w:p w14:paraId="52CCE74F" w14:textId="77777777" w:rsidR="007C34A9" w:rsidRDefault="007C34A9" w:rsidP="007C34A9">
      <w:pPr>
        <w:spacing w:line="480" w:lineRule="auto"/>
        <w:ind w:firstLine="720"/>
        <w:jc w:val="both"/>
        <w:rPr>
          <w:rFonts w:eastAsia="Times New Roman"/>
        </w:rPr>
      </w:pPr>
      <w:r>
        <w:rPr>
          <w:b/>
        </w:rPr>
        <w:t xml:space="preserve">Attention Checks. </w:t>
      </w:r>
      <w:r>
        <w:t xml:space="preserve">Participants completed an attention check regarding the manipulation, a face-valid attention check, and the attention check of Study 1 (see Verbatim Materials). </w:t>
      </w:r>
    </w:p>
    <w:p w14:paraId="19D295FF" w14:textId="77777777" w:rsidR="007C34A9" w:rsidRPr="003C54E6" w:rsidRDefault="007C34A9" w:rsidP="007C34A9">
      <w:pPr>
        <w:spacing w:line="480" w:lineRule="auto"/>
        <w:ind w:firstLine="720"/>
        <w:jc w:val="both"/>
        <w:rPr>
          <w:rFonts w:eastAsia="Times New Roman"/>
          <w:b/>
          <w:bCs/>
          <w:lang w:eastAsia="zh-CN"/>
        </w:rPr>
      </w:pPr>
      <w:r w:rsidRPr="0065227A">
        <w:rPr>
          <w:rFonts w:eastAsia="Times New Roman"/>
          <w:b/>
        </w:rPr>
        <w:t>Procedure</w:t>
      </w:r>
      <w:r>
        <w:rPr>
          <w:rFonts w:eastAsia="Times New Roman"/>
          <w:b/>
        </w:rPr>
        <w:t xml:space="preserve">. </w:t>
      </w:r>
      <w:r>
        <w:rPr>
          <w:rFonts w:eastAsia="Times New Roman"/>
        </w:rPr>
        <w:t xml:space="preserve">After the manipulation, participants completed the norm measures (randomized order). Participants then completed the negativity aversion measure, and thereafter the deviancy manipulation check. Finally, participants completed attention checks, a social desirability measure (see Study 1), and demographics. </w:t>
      </w:r>
    </w:p>
    <w:p w14:paraId="3ED11860" w14:textId="77777777" w:rsidR="007C34A9" w:rsidRPr="005D208F" w:rsidRDefault="007C34A9" w:rsidP="007C34A9">
      <w:pPr>
        <w:spacing w:line="480" w:lineRule="auto"/>
        <w:jc w:val="both"/>
        <w:rPr>
          <w:rFonts w:eastAsia="Times New Roman"/>
          <w:b/>
          <w:bCs/>
        </w:rPr>
      </w:pPr>
      <w:r>
        <w:rPr>
          <w:rFonts w:eastAsia="Times New Roman"/>
          <w:b/>
          <w:bCs/>
        </w:rPr>
        <w:t>Results</w:t>
      </w:r>
    </w:p>
    <w:p w14:paraId="76A0F250" w14:textId="1D8EFF12" w:rsidR="007C34A9" w:rsidRDefault="007C34A9" w:rsidP="007C34A9">
      <w:pPr>
        <w:pStyle w:val="SMSubheading"/>
        <w:spacing w:line="480" w:lineRule="auto"/>
        <w:ind w:firstLine="720"/>
        <w:jc w:val="both"/>
        <w:rPr>
          <w:u w:val="none"/>
        </w:rPr>
      </w:pPr>
      <w:r w:rsidRPr="000322FA">
        <w:rPr>
          <w:u w:val="none"/>
        </w:rPr>
        <w:t>A GLM</w:t>
      </w:r>
      <w:r>
        <w:rPr>
          <w:u w:val="none"/>
        </w:rPr>
        <w:t xml:space="preserve"> with Deviancy Aversion (high versus low) as a categorical predictor indicated that the manipulation successfully altered participants’ deviancy aversion, </w:t>
      </w:r>
      <w:r w:rsidRPr="00FA7D4D">
        <w:rPr>
          <w:i/>
          <w:u w:val="none"/>
        </w:rPr>
        <w:t>ω</w:t>
      </w:r>
      <w:r>
        <w:rPr>
          <w:u w:val="none"/>
        </w:rPr>
        <w:t xml:space="preserve"> = .93, </w:t>
      </w:r>
      <w:r>
        <w:rPr>
          <w:i/>
          <w:u w:val="none"/>
        </w:rPr>
        <w:t xml:space="preserve">p </w:t>
      </w:r>
      <w:r>
        <w:rPr>
          <w:u w:val="none"/>
        </w:rPr>
        <w:t xml:space="preserve">&lt; .001, </w:t>
      </w:r>
      <w:r w:rsidRPr="00750AE1">
        <w:rPr>
          <w:u w:val="none"/>
        </w:rPr>
        <w:t>η</w:t>
      </w:r>
      <w:r w:rsidRPr="00720636">
        <w:rPr>
          <w:u w:val="none"/>
          <w:vertAlign w:val="subscript"/>
        </w:rPr>
        <w:t>p</w:t>
      </w:r>
      <w:r w:rsidRPr="00BF144E">
        <w:rPr>
          <w:u w:val="none"/>
          <w:vertAlign w:val="superscript"/>
        </w:rPr>
        <w:t>2</w:t>
      </w:r>
      <w:r w:rsidRPr="007044CA">
        <w:rPr>
          <w:u w:val="none"/>
        </w:rPr>
        <w:t xml:space="preserve"> </w:t>
      </w:r>
      <w:r>
        <w:rPr>
          <w:u w:val="none"/>
        </w:rPr>
        <w:t xml:space="preserve">= .196 (Table </w:t>
      </w:r>
      <w:r w:rsidR="005C2C88">
        <w:rPr>
          <w:u w:val="none"/>
        </w:rPr>
        <w:t>S</w:t>
      </w:r>
      <w:r w:rsidR="00AB3961">
        <w:rPr>
          <w:u w:val="none"/>
        </w:rPr>
        <w:t>6</w:t>
      </w:r>
      <w:r>
        <w:rPr>
          <w:u w:val="none"/>
        </w:rPr>
        <w:t xml:space="preserve">). </w:t>
      </w:r>
    </w:p>
    <w:p w14:paraId="177CE64B" w14:textId="7DFDB107" w:rsidR="007C34A9" w:rsidRDefault="007C34A9" w:rsidP="007C34A9">
      <w:pPr>
        <w:pStyle w:val="SMSubheading"/>
        <w:spacing w:line="480" w:lineRule="auto"/>
        <w:ind w:firstLine="720"/>
        <w:jc w:val="both"/>
        <w:rPr>
          <w:u w:val="none"/>
        </w:rPr>
      </w:pPr>
      <w:r>
        <w:rPr>
          <w:u w:val="none"/>
        </w:rPr>
        <w:lastRenderedPageBreak/>
        <w:t xml:space="preserve">Extending Gollwitzer et al. (2017), two GLMs with Deviancy Aversion as a predictor and the norm violation measures as the outcome variables, respectively, found that increasing (versus reducing) deviancy aversion causally heightened participants’ negative affect in response to fictional, </w:t>
      </w:r>
      <w:r>
        <w:rPr>
          <w:i/>
          <w:u w:val="none"/>
        </w:rPr>
        <w:t xml:space="preserve">p </w:t>
      </w:r>
      <w:r>
        <w:rPr>
          <w:u w:val="none"/>
        </w:rPr>
        <w:t xml:space="preserve">&lt; .001, and non-fictional norm violations, </w:t>
      </w:r>
      <w:r>
        <w:rPr>
          <w:i/>
          <w:u w:val="none"/>
        </w:rPr>
        <w:t xml:space="preserve">p </w:t>
      </w:r>
      <w:r>
        <w:rPr>
          <w:u w:val="none"/>
        </w:rPr>
        <w:t xml:space="preserve">= .003 (Table </w:t>
      </w:r>
      <w:r w:rsidR="005C2C88">
        <w:rPr>
          <w:u w:val="none"/>
        </w:rPr>
        <w:t>S</w:t>
      </w:r>
      <w:r w:rsidR="00AB3961">
        <w:rPr>
          <w:u w:val="none"/>
        </w:rPr>
        <w:t>6</w:t>
      </w:r>
      <w:r>
        <w:rPr>
          <w:u w:val="none"/>
        </w:rPr>
        <w:t xml:space="preserve">; Figure </w:t>
      </w:r>
      <w:r w:rsidR="000B3313">
        <w:rPr>
          <w:u w:val="none"/>
        </w:rPr>
        <w:t>S3</w:t>
      </w:r>
      <w:r>
        <w:rPr>
          <w:u w:val="none"/>
        </w:rPr>
        <w:t xml:space="preserve">). </w:t>
      </w:r>
      <w:r>
        <w:rPr>
          <w:szCs w:val="24"/>
          <w:u w:val="none"/>
        </w:rPr>
        <w:t xml:space="preserve">Additionally, </w:t>
      </w:r>
      <w:r>
        <w:rPr>
          <w:u w:val="none"/>
        </w:rPr>
        <w:t xml:space="preserve">inducing high (versus low) deviancy aversion also incited increased norm following, </w:t>
      </w:r>
      <w:r>
        <w:rPr>
          <w:i/>
          <w:u w:val="none"/>
        </w:rPr>
        <w:t xml:space="preserve">p </w:t>
      </w:r>
      <w:r>
        <w:rPr>
          <w:u w:val="none"/>
        </w:rPr>
        <w:t xml:space="preserve">= .010, </w:t>
      </w:r>
      <w:r w:rsidRPr="00750AE1">
        <w:rPr>
          <w:u w:val="none"/>
        </w:rPr>
        <w:t>η</w:t>
      </w:r>
      <w:r w:rsidRPr="00BF144E">
        <w:rPr>
          <w:u w:val="none"/>
          <w:vertAlign w:val="superscript"/>
        </w:rPr>
        <w:t>2</w:t>
      </w:r>
      <w:r w:rsidRPr="00750AE1">
        <w:rPr>
          <w:u w:val="none"/>
        </w:rPr>
        <w:t xml:space="preserve"> = .</w:t>
      </w:r>
      <w:r>
        <w:rPr>
          <w:u w:val="none"/>
        </w:rPr>
        <w:t xml:space="preserve">045, and decreased norm breaking, </w:t>
      </w:r>
      <w:r>
        <w:rPr>
          <w:i/>
          <w:u w:val="none"/>
        </w:rPr>
        <w:t xml:space="preserve">p </w:t>
      </w:r>
      <w:r>
        <w:rPr>
          <w:u w:val="none"/>
        </w:rPr>
        <w:t xml:space="preserve">= .002, </w:t>
      </w:r>
      <w:r w:rsidRPr="00750AE1">
        <w:rPr>
          <w:u w:val="none"/>
        </w:rPr>
        <w:t>η</w:t>
      </w:r>
      <w:r w:rsidRPr="00BF144E">
        <w:rPr>
          <w:u w:val="none"/>
          <w:vertAlign w:val="superscript"/>
        </w:rPr>
        <w:t>2</w:t>
      </w:r>
      <w:r w:rsidRPr="00750AE1">
        <w:rPr>
          <w:u w:val="none"/>
        </w:rPr>
        <w:t xml:space="preserve"> = .</w:t>
      </w:r>
      <w:r>
        <w:rPr>
          <w:u w:val="none"/>
        </w:rPr>
        <w:t xml:space="preserve">089 (Table </w:t>
      </w:r>
      <w:r w:rsidR="005C2C88">
        <w:rPr>
          <w:u w:val="none"/>
        </w:rPr>
        <w:t>S</w:t>
      </w:r>
      <w:r w:rsidR="00AB3961">
        <w:rPr>
          <w:u w:val="none"/>
        </w:rPr>
        <w:t>6</w:t>
      </w:r>
      <w:r>
        <w:rPr>
          <w:u w:val="none"/>
        </w:rPr>
        <w:t xml:space="preserve">; Figure </w:t>
      </w:r>
      <w:r w:rsidR="000B3313">
        <w:rPr>
          <w:u w:val="none"/>
        </w:rPr>
        <w:t>S3</w:t>
      </w:r>
      <w:r>
        <w:rPr>
          <w:u w:val="none"/>
        </w:rPr>
        <w:t xml:space="preserve">). Social desirability did not moderate any of these findings, </w:t>
      </w:r>
      <w:proofErr w:type="spellStart"/>
      <w:r w:rsidRPr="006B13EC">
        <w:rPr>
          <w:i/>
          <w:u w:val="none"/>
        </w:rPr>
        <w:t>p</w:t>
      </w:r>
      <w:r>
        <w:rPr>
          <w:u w:val="none"/>
        </w:rPr>
        <w:t>s</w:t>
      </w:r>
      <w:proofErr w:type="spellEnd"/>
      <w:r>
        <w:rPr>
          <w:u w:val="none"/>
        </w:rPr>
        <w:t xml:space="preserve"> &gt; .215.  </w:t>
      </w:r>
    </w:p>
    <w:p w14:paraId="2D9B8F35" w14:textId="607D7CF6" w:rsidR="007C34A9" w:rsidRPr="00CB6E60" w:rsidRDefault="007C34A9" w:rsidP="00CB6E60">
      <w:pPr>
        <w:spacing w:line="480" w:lineRule="auto"/>
        <w:ind w:firstLine="720"/>
        <w:jc w:val="both"/>
      </w:pPr>
      <w:r>
        <w:t>Robustness analyses supported our results. First, our findings were not driven by general condition differences in negative mood or attitudes. For one, controlling for</w:t>
      </w:r>
      <w:r w:rsidRPr="00550580">
        <w:t xml:space="preserve"> participants’ </w:t>
      </w:r>
      <w:r>
        <w:t>negativity aversion</w:t>
      </w:r>
      <w:r w:rsidR="0018387E">
        <w:t xml:space="preserve"> (</w:t>
      </w:r>
      <w:r w:rsidR="0018387E">
        <w:rPr>
          <w:bCs/>
        </w:rPr>
        <w:t xml:space="preserve">calculated by </w:t>
      </w:r>
      <w:r w:rsidR="0018387E">
        <w:t xml:space="preserve">subtracting their aversion towards good weather, </w:t>
      </w:r>
      <w:r w:rsidR="0018387E" w:rsidRPr="00FA7D4D">
        <w:rPr>
          <w:i/>
        </w:rPr>
        <w:t>ω</w:t>
      </w:r>
      <w:r w:rsidR="0018387E" w:rsidRPr="006C3005">
        <w:t xml:space="preserve"> = .</w:t>
      </w:r>
      <w:r w:rsidR="0018387E">
        <w:t>93, from their aversion towards bad</w:t>
      </w:r>
      <w:r w:rsidR="0018387E" w:rsidRPr="00550580">
        <w:t xml:space="preserve"> weather</w:t>
      </w:r>
      <w:r w:rsidR="0018387E">
        <w:t xml:space="preserve">, </w:t>
      </w:r>
      <w:r w:rsidR="0018387E" w:rsidRPr="00FA7D4D">
        <w:rPr>
          <w:i/>
        </w:rPr>
        <w:t>ω</w:t>
      </w:r>
      <w:r w:rsidR="0018387E" w:rsidRPr="006C3005">
        <w:t xml:space="preserve"> = .</w:t>
      </w:r>
      <w:r w:rsidR="0018387E">
        <w:t>89)</w:t>
      </w:r>
      <w:r>
        <w:t xml:space="preserve"> in our GLM models</w:t>
      </w:r>
      <w:r w:rsidRPr="00550580">
        <w:t xml:space="preserve"> did not change </w:t>
      </w:r>
      <w:r>
        <w:t xml:space="preserve">our findings, </w:t>
      </w:r>
      <w:proofErr w:type="spellStart"/>
      <w:r>
        <w:rPr>
          <w:i/>
          <w:iCs/>
        </w:rPr>
        <w:t>p</w:t>
      </w:r>
      <w:r>
        <w:t>s</w:t>
      </w:r>
      <w:proofErr w:type="spellEnd"/>
      <w:r>
        <w:rPr>
          <w:i/>
          <w:iCs/>
        </w:rPr>
        <w:t xml:space="preserve"> </w:t>
      </w:r>
      <w:r>
        <w:t>&lt; .007</w:t>
      </w:r>
      <w:r w:rsidRPr="00550580">
        <w:t>.</w:t>
      </w:r>
      <w:r>
        <w:t xml:space="preserve"> For another, separate GLM models found no effect of Deviancy Aversion on negativity aversion, </w:t>
      </w:r>
      <w:r>
        <w:rPr>
          <w:i/>
          <w:iCs/>
        </w:rPr>
        <w:t xml:space="preserve">p </w:t>
      </w:r>
      <w:r>
        <w:t xml:space="preserve">= .118, and found a greater effect of Deviancy Aversion on the deviancy aversion manipulation check than on negativity aversion, </w:t>
      </w:r>
      <w:r>
        <w:rPr>
          <w:i/>
          <w:iCs/>
        </w:rPr>
        <w:t xml:space="preserve">p </w:t>
      </w:r>
      <w:r>
        <w:t xml:space="preserve">&lt; .001. Finally, </w:t>
      </w:r>
      <w:r w:rsidR="00E63B0C">
        <w:t>mediation</w:t>
      </w:r>
      <w:r w:rsidR="00CB6E60">
        <w:t xml:space="preserve"> analyses using the </w:t>
      </w:r>
      <w:r w:rsidR="00CB6E60" w:rsidRPr="00CC142F">
        <w:t>SPSS PROCESS macro (Hayes, 2012</w:t>
      </w:r>
      <w:r w:rsidR="00CB6E60">
        <w:t>; default settings applied; Model 4</w:t>
      </w:r>
      <w:r w:rsidR="00CB6E60" w:rsidRPr="00CC142F">
        <w:t>)</w:t>
      </w:r>
      <w:r w:rsidR="00CB6E60">
        <w:t xml:space="preserve"> found that the effect of Deviancy Aversion on norm responding occurred via heightened levels of the deviancy aversion manipulation check (indirect effects: fictional norms, </w:t>
      </w:r>
      <w:r w:rsidR="00CB6E60">
        <w:rPr>
          <w:i/>
          <w:iCs/>
        </w:rPr>
        <w:t xml:space="preserve">B </w:t>
      </w:r>
      <w:r w:rsidR="00CB6E60">
        <w:t xml:space="preserve">= .51, 95% CI[.23, .87]; non-fictional norms, </w:t>
      </w:r>
      <w:r w:rsidR="00CB6E60">
        <w:rPr>
          <w:i/>
          <w:iCs/>
        </w:rPr>
        <w:t xml:space="preserve">B </w:t>
      </w:r>
      <w:r w:rsidR="00CB6E60">
        <w:t xml:space="preserve">= .47, 95% CI[.28, .70]) and not by altering participants’ degrees of negativity aversion (fictional norms, </w:t>
      </w:r>
      <w:r w:rsidR="00CB6E60">
        <w:rPr>
          <w:i/>
          <w:iCs/>
        </w:rPr>
        <w:t xml:space="preserve">B </w:t>
      </w:r>
      <w:r w:rsidR="00CB6E60">
        <w:t xml:space="preserve">= .00, 95% CI[-.06, .10]; non-fictional norms, </w:t>
      </w:r>
      <w:r w:rsidR="00CB6E60">
        <w:rPr>
          <w:i/>
          <w:iCs/>
        </w:rPr>
        <w:t xml:space="preserve">B </w:t>
      </w:r>
      <w:r w:rsidR="00CB6E60">
        <w:t>= .02, 95% CI[-.02, .10]).</w:t>
      </w:r>
    </w:p>
    <w:p w14:paraId="43D1B46D" w14:textId="4D444757" w:rsidR="007C34A9" w:rsidRDefault="007C34A9" w:rsidP="007C34A9">
      <w:pPr>
        <w:pStyle w:val="SMSubheading"/>
        <w:spacing w:line="480" w:lineRule="auto"/>
        <w:ind w:firstLine="720"/>
        <w:jc w:val="both"/>
        <w:rPr>
          <w:u w:val="none"/>
        </w:rPr>
      </w:pPr>
      <w:r>
        <w:rPr>
          <w:u w:val="none"/>
        </w:rPr>
        <w:t>Second, participants may have anthropomorphized or perceived the geometric shapes as agentic. Arguing against this possibility,</w:t>
      </w:r>
      <w:r w:rsidRPr="00231551">
        <w:rPr>
          <w:u w:val="none"/>
        </w:rPr>
        <w:t xml:space="preserve"> a small minority of participants reported social examples of deviancy </w:t>
      </w:r>
      <w:r>
        <w:rPr>
          <w:u w:val="none"/>
        </w:rPr>
        <w:t>in response to the manipulation (</w:t>
      </w:r>
      <w:r w:rsidRPr="00231551">
        <w:rPr>
          <w:u w:val="none"/>
        </w:rPr>
        <w:t>1</w:t>
      </w:r>
      <w:r>
        <w:rPr>
          <w:u w:val="none"/>
        </w:rPr>
        <w:t>1</w:t>
      </w:r>
      <w:r w:rsidRPr="00231551">
        <w:rPr>
          <w:u w:val="none"/>
        </w:rPr>
        <w:t>.</w:t>
      </w:r>
      <w:r>
        <w:rPr>
          <w:u w:val="none"/>
        </w:rPr>
        <w:t>6</w:t>
      </w:r>
      <w:r w:rsidRPr="00231551">
        <w:rPr>
          <w:u w:val="none"/>
        </w:rPr>
        <w:t xml:space="preserve">%, </w:t>
      </w:r>
      <w:r w:rsidRPr="00231551">
        <w:rPr>
          <w:i/>
          <w:iCs/>
          <w:u w:val="none"/>
        </w:rPr>
        <w:t xml:space="preserve">n </w:t>
      </w:r>
      <w:r w:rsidRPr="00231551">
        <w:rPr>
          <w:u w:val="none"/>
        </w:rPr>
        <w:t xml:space="preserve">= </w:t>
      </w:r>
      <w:r>
        <w:rPr>
          <w:u w:val="none"/>
        </w:rPr>
        <w:t>17; e.g., it makes me feel uncomfortable when someone skips a line</w:t>
      </w:r>
      <w:r w:rsidRPr="00231551">
        <w:rPr>
          <w:u w:val="none"/>
        </w:rPr>
        <w:t>)</w:t>
      </w:r>
      <w:r>
        <w:rPr>
          <w:u w:val="none"/>
        </w:rPr>
        <w:t>, and</w:t>
      </w:r>
      <w:r w:rsidRPr="00231551">
        <w:rPr>
          <w:u w:val="none"/>
        </w:rPr>
        <w:t xml:space="preserve"> our findings remained when excluding these participants,</w:t>
      </w:r>
      <w:r>
        <w:rPr>
          <w:u w:val="none"/>
        </w:rPr>
        <w:t xml:space="preserve"> .001 &lt;</w:t>
      </w:r>
      <w:r w:rsidRPr="00231551">
        <w:rPr>
          <w:u w:val="none"/>
        </w:rPr>
        <w:t xml:space="preserve"> </w:t>
      </w:r>
      <w:proofErr w:type="spellStart"/>
      <w:r w:rsidRPr="00231551">
        <w:rPr>
          <w:i/>
          <w:iCs/>
          <w:u w:val="none"/>
        </w:rPr>
        <w:lastRenderedPageBreak/>
        <w:t>p</w:t>
      </w:r>
      <w:r>
        <w:rPr>
          <w:u w:val="none"/>
        </w:rPr>
        <w:t>s</w:t>
      </w:r>
      <w:proofErr w:type="spellEnd"/>
      <w:r w:rsidRPr="00231551">
        <w:rPr>
          <w:i/>
          <w:iCs/>
          <w:u w:val="none"/>
        </w:rPr>
        <w:t xml:space="preserve"> </w:t>
      </w:r>
      <w:r w:rsidRPr="00231551">
        <w:rPr>
          <w:u w:val="none"/>
        </w:rPr>
        <w:t>&lt; .0</w:t>
      </w:r>
      <w:r>
        <w:rPr>
          <w:u w:val="none"/>
        </w:rPr>
        <w:t>23</w:t>
      </w:r>
      <w:r w:rsidRPr="00231551">
        <w:rPr>
          <w:u w:val="none"/>
        </w:rPr>
        <w:t xml:space="preserve">, </w:t>
      </w:r>
      <w:r w:rsidRPr="00231551">
        <w:rPr>
          <w:rFonts w:eastAsia="DengXian"/>
          <w:u w:val="none"/>
        </w:rPr>
        <w:t>.</w:t>
      </w:r>
      <w:r>
        <w:rPr>
          <w:u w:val="none"/>
        </w:rPr>
        <w:t xml:space="preserve">040 &lt; </w:t>
      </w:r>
      <w:r w:rsidRPr="00231551">
        <w:rPr>
          <w:rFonts w:eastAsia="DengXian"/>
          <w:u w:val="none"/>
        </w:rPr>
        <w:t>η</w:t>
      </w:r>
      <w:r w:rsidRPr="00231551">
        <w:rPr>
          <w:rFonts w:eastAsia="DengXian"/>
          <w:u w:val="none"/>
          <w:vertAlign w:val="superscript"/>
        </w:rPr>
        <w:t xml:space="preserve">2 </w:t>
      </w:r>
      <w:r>
        <w:rPr>
          <w:rFonts w:eastAsia="DengXian"/>
          <w:u w:val="none"/>
        </w:rPr>
        <w:t>&lt; .077</w:t>
      </w:r>
      <w:r>
        <w:rPr>
          <w:u w:val="none"/>
        </w:rPr>
        <w:t>. Similarly, only a small minority of participants referenced agency or intentionality, for instance, that the deviating triangle was “trying to be different” or that someone had intentionally broken the pattern (9</w:t>
      </w:r>
      <w:r w:rsidRPr="00231551">
        <w:rPr>
          <w:u w:val="none"/>
        </w:rPr>
        <w:t>.</w:t>
      </w:r>
      <w:r>
        <w:rPr>
          <w:u w:val="none"/>
        </w:rPr>
        <w:t>2</w:t>
      </w:r>
      <w:r w:rsidRPr="00231551">
        <w:rPr>
          <w:u w:val="none"/>
        </w:rPr>
        <w:t xml:space="preserve">%, </w:t>
      </w:r>
      <w:r w:rsidRPr="00231551">
        <w:rPr>
          <w:i/>
          <w:iCs/>
          <w:u w:val="none"/>
        </w:rPr>
        <w:t xml:space="preserve">n </w:t>
      </w:r>
      <w:r w:rsidRPr="00231551">
        <w:rPr>
          <w:u w:val="none"/>
        </w:rPr>
        <w:t xml:space="preserve">= </w:t>
      </w:r>
      <w:r>
        <w:rPr>
          <w:u w:val="none"/>
        </w:rPr>
        <w:t xml:space="preserve">12); importantly, additionally excluding these participants did not change our results, .001 &lt; </w:t>
      </w:r>
      <w:r w:rsidRPr="00231551">
        <w:rPr>
          <w:i/>
          <w:iCs/>
          <w:u w:val="none"/>
        </w:rPr>
        <w:t xml:space="preserve">p </w:t>
      </w:r>
      <w:r w:rsidRPr="00231551">
        <w:rPr>
          <w:u w:val="none"/>
        </w:rPr>
        <w:t>&lt; .0</w:t>
      </w:r>
      <w:r>
        <w:rPr>
          <w:u w:val="none"/>
        </w:rPr>
        <w:t>50</w:t>
      </w:r>
      <w:r w:rsidRPr="00231551">
        <w:rPr>
          <w:u w:val="none"/>
        </w:rPr>
        <w:t>,</w:t>
      </w:r>
      <w:r>
        <w:rPr>
          <w:u w:val="none"/>
        </w:rPr>
        <w:t xml:space="preserve"> </w:t>
      </w:r>
      <w:r w:rsidRPr="00231551">
        <w:rPr>
          <w:rFonts w:eastAsia="DengXian"/>
          <w:u w:val="none"/>
        </w:rPr>
        <w:t>.</w:t>
      </w:r>
      <w:r>
        <w:rPr>
          <w:rFonts w:eastAsia="DengXian"/>
          <w:u w:val="none"/>
        </w:rPr>
        <w:t>0</w:t>
      </w:r>
      <w:r>
        <w:rPr>
          <w:u w:val="none"/>
        </w:rPr>
        <w:t>33</w:t>
      </w:r>
      <w:r w:rsidRPr="00231551">
        <w:rPr>
          <w:u w:val="none"/>
        </w:rPr>
        <w:t xml:space="preserve"> </w:t>
      </w:r>
      <w:r>
        <w:rPr>
          <w:u w:val="none"/>
        </w:rPr>
        <w:t xml:space="preserve">&lt; </w:t>
      </w:r>
      <w:r w:rsidRPr="00231551">
        <w:rPr>
          <w:rFonts w:eastAsia="DengXian"/>
          <w:u w:val="none"/>
        </w:rPr>
        <w:t>η</w:t>
      </w:r>
      <w:r w:rsidRPr="00231551">
        <w:rPr>
          <w:rFonts w:eastAsia="DengXian"/>
          <w:u w:val="none"/>
          <w:vertAlign w:val="superscript"/>
        </w:rPr>
        <w:t>2</w:t>
      </w:r>
      <w:r>
        <w:rPr>
          <w:rFonts w:eastAsia="DengXian"/>
          <w:u w:val="none"/>
          <w:vertAlign w:val="superscript"/>
        </w:rPr>
        <w:t xml:space="preserve"> </w:t>
      </w:r>
      <w:r>
        <w:rPr>
          <w:u w:val="none"/>
        </w:rPr>
        <w:t xml:space="preserve">&lt; .084. Finally, the degree of social-content in participants’ responses (quantified via NLP methods; LIWC; Pennebaker et al., 2015) neither accounted for, </w:t>
      </w:r>
      <w:proofErr w:type="spellStart"/>
      <w:r>
        <w:rPr>
          <w:i/>
          <w:iCs/>
          <w:u w:val="none"/>
        </w:rPr>
        <w:t>p</w:t>
      </w:r>
      <w:r>
        <w:rPr>
          <w:u w:val="none"/>
        </w:rPr>
        <w:t>s</w:t>
      </w:r>
      <w:proofErr w:type="spellEnd"/>
      <w:r>
        <w:rPr>
          <w:u w:val="none"/>
        </w:rPr>
        <w:t xml:space="preserve"> &lt; .012, nor </w:t>
      </w:r>
      <w:r w:rsidRPr="00801765">
        <w:rPr>
          <w:u w:val="none"/>
        </w:rPr>
        <w:t>moderate</w:t>
      </w:r>
      <w:r>
        <w:rPr>
          <w:u w:val="none"/>
        </w:rPr>
        <w:t xml:space="preserve">d our effects, </w:t>
      </w:r>
      <w:r>
        <w:rPr>
          <w:i/>
          <w:iCs/>
          <w:u w:val="none"/>
        </w:rPr>
        <w:t xml:space="preserve">p </w:t>
      </w:r>
      <w:r>
        <w:rPr>
          <w:u w:val="none"/>
        </w:rPr>
        <w:t>= .176.</w:t>
      </w:r>
      <w:r>
        <w:rPr>
          <w:rStyle w:val="FootnoteReference"/>
          <w:u w:val="none"/>
        </w:rPr>
        <w:footnoteReference w:id="2"/>
      </w:r>
      <w:r>
        <w:rPr>
          <w:u w:val="none"/>
        </w:rPr>
        <w:t xml:space="preserve"> </w:t>
      </w:r>
    </w:p>
    <w:p w14:paraId="5F03A112" w14:textId="0076EE79" w:rsidR="007C34A9" w:rsidRPr="00D6115A" w:rsidRDefault="001E4AE5" w:rsidP="00D6115A">
      <w:pPr>
        <w:pStyle w:val="SMSubheading"/>
        <w:spacing w:line="480" w:lineRule="auto"/>
        <w:ind w:firstLine="720"/>
        <w:jc w:val="both"/>
        <w:rPr>
          <w:b/>
          <w:bCs/>
          <w:u w:val="none"/>
        </w:rPr>
      </w:pPr>
      <w:r w:rsidRPr="001D0C67">
        <w:rPr>
          <w:b/>
          <w:bCs/>
          <w:u w:val="none"/>
        </w:rPr>
        <w:t>Additional Analyses</w:t>
      </w:r>
      <w:r w:rsidR="000F2C3C" w:rsidRPr="001D0C67">
        <w:rPr>
          <w:b/>
          <w:bCs/>
          <w:u w:val="none"/>
        </w:rPr>
        <w:t>:</w:t>
      </w:r>
      <w:r w:rsidRPr="001D0C67">
        <w:rPr>
          <w:b/>
          <w:bCs/>
          <w:u w:val="none"/>
        </w:rPr>
        <w:t xml:space="preserve"> </w:t>
      </w:r>
      <w:r w:rsidRPr="001D0C67">
        <w:rPr>
          <w:b/>
          <w:u w:val="none"/>
        </w:rPr>
        <w:t xml:space="preserve">Negative Affect Towards Social Norm Following. </w:t>
      </w:r>
      <w:r w:rsidRPr="001D0C67">
        <w:rPr>
          <w:u w:val="none"/>
        </w:rPr>
        <w:t>As predicted, increasing (versus reducing) deviancy aversion also reduced participants’ negative affect towards social norm following in a fictional society (</w:t>
      </w:r>
      <w:r w:rsidRPr="001D0C67">
        <w:rPr>
          <w:i/>
          <w:u w:val="none"/>
        </w:rPr>
        <w:t xml:space="preserve">α </w:t>
      </w:r>
      <w:r w:rsidRPr="001D0C67">
        <w:rPr>
          <w:u w:val="none"/>
        </w:rPr>
        <w:t xml:space="preserve">= .48), </w:t>
      </w:r>
      <w:r w:rsidRPr="001D0C67">
        <w:rPr>
          <w:i/>
          <w:u w:val="none"/>
        </w:rPr>
        <w:t xml:space="preserve">p </w:t>
      </w:r>
      <w:r w:rsidRPr="001D0C67">
        <w:rPr>
          <w:u w:val="none"/>
        </w:rPr>
        <w:t>= .006, η</w:t>
      </w:r>
      <w:r w:rsidRPr="001D0C67">
        <w:rPr>
          <w:u w:val="none"/>
          <w:vertAlign w:val="subscript"/>
        </w:rPr>
        <w:t>p</w:t>
      </w:r>
      <w:r w:rsidRPr="001D0C67">
        <w:rPr>
          <w:u w:val="none"/>
          <w:vertAlign w:val="superscript"/>
        </w:rPr>
        <w:t>2</w:t>
      </w:r>
      <w:r w:rsidRPr="001D0C67">
        <w:rPr>
          <w:u w:val="none"/>
        </w:rPr>
        <w:t xml:space="preserve"> = .052. We do not include this finding in the main text given the poor inter-item reliability of the measure. This low inter-item reliability was driven by the inclusion of a positive reverse-coded item (‘happy’). The effect of deviancy aversion separately for the negative items and this positive item was: Negative items: </w:t>
      </w:r>
      <w:proofErr w:type="gramStart"/>
      <w:r w:rsidRPr="001D0C67">
        <w:rPr>
          <w:i/>
          <w:u w:val="none"/>
        </w:rPr>
        <w:t>F</w:t>
      </w:r>
      <w:r w:rsidRPr="001D0C67">
        <w:rPr>
          <w:u w:val="none"/>
        </w:rPr>
        <w:t>(</w:t>
      </w:r>
      <w:proofErr w:type="gramEnd"/>
      <w:r w:rsidRPr="001D0C67">
        <w:rPr>
          <w:u w:val="none"/>
        </w:rPr>
        <w:t xml:space="preserve">1, 145) = 6.87, </w:t>
      </w:r>
      <w:r w:rsidRPr="001D0C67">
        <w:rPr>
          <w:i/>
          <w:u w:val="none"/>
        </w:rPr>
        <w:t xml:space="preserve">p </w:t>
      </w:r>
      <w:r w:rsidRPr="001D0C67">
        <w:rPr>
          <w:u w:val="none"/>
        </w:rPr>
        <w:t>= .010, η</w:t>
      </w:r>
      <w:r w:rsidRPr="001D0C67">
        <w:rPr>
          <w:u w:val="none"/>
          <w:vertAlign w:val="subscript"/>
        </w:rPr>
        <w:t>p</w:t>
      </w:r>
      <w:r w:rsidRPr="001D0C67">
        <w:rPr>
          <w:u w:val="none"/>
          <w:vertAlign w:val="superscript"/>
        </w:rPr>
        <w:t>2</w:t>
      </w:r>
      <w:r w:rsidRPr="001D0C67">
        <w:rPr>
          <w:u w:val="none"/>
        </w:rPr>
        <w:t xml:space="preserve"> = .045, Positive item: </w:t>
      </w:r>
      <w:r w:rsidRPr="001D0C67">
        <w:rPr>
          <w:i/>
          <w:u w:val="none"/>
        </w:rPr>
        <w:t>F</w:t>
      </w:r>
      <w:r w:rsidRPr="001D0C67">
        <w:rPr>
          <w:u w:val="none"/>
        </w:rPr>
        <w:t xml:space="preserve">(1, 145) = 1.22, </w:t>
      </w:r>
      <w:r w:rsidRPr="001D0C67">
        <w:rPr>
          <w:i/>
          <w:u w:val="none"/>
        </w:rPr>
        <w:t xml:space="preserve">p </w:t>
      </w:r>
      <w:r w:rsidRPr="001D0C67">
        <w:rPr>
          <w:u w:val="none"/>
        </w:rPr>
        <w:t>= .272, η</w:t>
      </w:r>
      <w:r w:rsidRPr="001D0C67">
        <w:rPr>
          <w:u w:val="none"/>
          <w:vertAlign w:val="subscript"/>
        </w:rPr>
        <w:t>p</w:t>
      </w:r>
      <w:r w:rsidRPr="001D0C67">
        <w:rPr>
          <w:u w:val="none"/>
          <w:vertAlign w:val="superscript"/>
        </w:rPr>
        <w:t>2</w:t>
      </w:r>
      <w:r w:rsidRPr="001D0C67">
        <w:rPr>
          <w:u w:val="none"/>
        </w:rPr>
        <w:t xml:space="preserve"> = .008 (though not significant, the latter result was in the predicted direction). We do not find this null effect particularly meaningful, however, given that the other measures of social norm adherence exhibited good inter-item reliability and exhibited hypothesis-supporting results.</w:t>
      </w:r>
    </w:p>
    <w:p w14:paraId="294729D3" w14:textId="4DC5F0AA" w:rsidR="007C34A9" w:rsidRPr="00373103" w:rsidRDefault="007C34A9" w:rsidP="007C34A9">
      <w:pPr>
        <w:rPr>
          <w:rFonts w:eastAsia="Times New Roman"/>
          <w:b/>
          <w:bCs/>
          <w:szCs w:val="20"/>
        </w:rPr>
      </w:pPr>
      <w:r w:rsidRPr="00E9136E">
        <w:rPr>
          <w:b/>
          <w:bCs/>
        </w:rPr>
        <w:t xml:space="preserve">Table </w:t>
      </w:r>
      <w:r w:rsidR="00751EC2">
        <w:rPr>
          <w:b/>
          <w:bCs/>
        </w:rPr>
        <w:t>S</w:t>
      </w:r>
      <w:r w:rsidR="00AB3961">
        <w:rPr>
          <w:b/>
          <w:bCs/>
        </w:rPr>
        <w:t>6</w:t>
      </w:r>
    </w:p>
    <w:p w14:paraId="2A1C47EA" w14:textId="0748EC9E" w:rsidR="007C34A9" w:rsidRDefault="007C34A9" w:rsidP="007C34A9">
      <w:pPr>
        <w:pStyle w:val="SMSubheading"/>
        <w:rPr>
          <w:i/>
          <w:u w:val="none"/>
        </w:rPr>
      </w:pPr>
      <w:r w:rsidRPr="0042761B">
        <w:rPr>
          <w:i/>
          <w:u w:val="none"/>
        </w:rPr>
        <w:t>Means</w:t>
      </w:r>
      <w:r>
        <w:rPr>
          <w:i/>
          <w:u w:val="none"/>
        </w:rPr>
        <w:t>,</w:t>
      </w:r>
      <w:r w:rsidRPr="0042761B">
        <w:rPr>
          <w:i/>
          <w:u w:val="none"/>
        </w:rPr>
        <w:t xml:space="preserve"> SDs</w:t>
      </w:r>
      <w:r>
        <w:rPr>
          <w:i/>
          <w:u w:val="none"/>
        </w:rPr>
        <w:t>, and Results of</w:t>
      </w:r>
      <w:r w:rsidRPr="0042761B">
        <w:rPr>
          <w:i/>
          <w:u w:val="none"/>
        </w:rPr>
        <w:t xml:space="preserve"> </w:t>
      </w:r>
      <w:r>
        <w:rPr>
          <w:i/>
          <w:u w:val="none"/>
        </w:rPr>
        <w:t xml:space="preserve">the Nonsocial Deviancy Aversion Manipulation in Study </w:t>
      </w:r>
      <w:r w:rsidR="00751EC2">
        <w:rPr>
          <w:i/>
          <w:u w:val="none"/>
        </w:rPr>
        <w:t>S1</w:t>
      </w:r>
      <w:r>
        <w:rPr>
          <w:i/>
          <w:u w:val="none"/>
        </w:rPr>
        <w:t xml:space="preserve">. </w:t>
      </w:r>
    </w:p>
    <w:p w14:paraId="19FFA1B2" w14:textId="77777777" w:rsidR="007C34A9" w:rsidRDefault="007C34A9" w:rsidP="007C34A9"/>
    <w:tbl>
      <w:tblPr>
        <w:tblpPr w:leftFromText="180" w:rightFromText="180" w:vertAnchor="page" w:horzAnchor="margin" w:tblpY="2401"/>
        <w:tblW w:w="10463" w:type="dxa"/>
        <w:tblLayout w:type="fixed"/>
        <w:tblLook w:val="0400" w:firstRow="0" w:lastRow="0" w:firstColumn="0" w:lastColumn="0" w:noHBand="0" w:noVBand="1"/>
      </w:tblPr>
      <w:tblGrid>
        <w:gridCol w:w="3458"/>
        <w:gridCol w:w="1951"/>
        <w:gridCol w:w="1773"/>
        <w:gridCol w:w="3281"/>
      </w:tblGrid>
      <w:tr w:rsidR="007C34A9" w:rsidRPr="00D536FF" w14:paraId="0A7B30E4" w14:textId="77777777" w:rsidTr="00AB3961">
        <w:trPr>
          <w:trHeight w:val="772"/>
        </w:trPr>
        <w:tc>
          <w:tcPr>
            <w:tcW w:w="3458" w:type="dxa"/>
            <w:tcBorders>
              <w:top w:val="single" w:sz="4" w:space="0" w:color="000000"/>
              <w:bottom w:val="single" w:sz="4" w:space="0" w:color="auto"/>
            </w:tcBorders>
            <w:shd w:val="clear" w:color="auto" w:fill="FFFFFF"/>
            <w:vAlign w:val="center"/>
          </w:tcPr>
          <w:p w14:paraId="7EEADA4A" w14:textId="77777777" w:rsidR="007C34A9" w:rsidRPr="006A719C" w:rsidRDefault="007C34A9" w:rsidP="00AB3961">
            <w:pPr>
              <w:rPr>
                <w:rFonts w:eastAsia="Times New Roman"/>
                <w:sz w:val="20"/>
                <w:szCs w:val="20"/>
              </w:rPr>
            </w:pPr>
          </w:p>
          <w:p w14:paraId="12C544AB" w14:textId="77777777" w:rsidR="007C34A9" w:rsidRPr="006A719C" w:rsidRDefault="007C34A9" w:rsidP="00AB3961">
            <w:pPr>
              <w:rPr>
                <w:rFonts w:eastAsia="Times New Roman"/>
                <w:sz w:val="20"/>
                <w:szCs w:val="20"/>
              </w:rPr>
            </w:pPr>
          </w:p>
        </w:tc>
        <w:tc>
          <w:tcPr>
            <w:tcW w:w="1951" w:type="dxa"/>
            <w:tcBorders>
              <w:top w:val="single" w:sz="4" w:space="0" w:color="000000"/>
              <w:bottom w:val="single" w:sz="4" w:space="0" w:color="auto"/>
            </w:tcBorders>
            <w:shd w:val="clear" w:color="auto" w:fill="FFFFFF"/>
            <w:vAlign w:val="center"/>
          </w:tcPr>
          <w:p w14:paraId="34E80A4C" w14:textId="77777777" w:rsidR="007C34A9" w:rsidRPr="006A719C" w:rsidRDefault="007C34A9" w:rsidP="00AB3961">
            <w:pPr>
              <w:jc w:val="center"/>
              <w:rPr>
                <w:rFonts w:eastAsia="Times New Roman"/>
                <w:i/>
                <w:sz w:val="20"/>
                <w:szCs w:val="20"/>
              </w:rPr>
            </w:pPr>
            <w:r w:rsidRPr="006A719C">
              <w:rPr>
                <w:rFonts w:eastAsia="Times New Roman"/>
                <w:sz w:val="20"/>
                <w:szCs w:val="20"/>
              </w:rPr>
              <w:t>High Nonsocial Deviancy Aversion</w:t>
            </w:r>
          </w:p>
        </w:tc>
        <w:tc>
          <w:tcPr>
            <w:tcW w:w="1773" w:type="dxa"/>
            <w:tcBorders>
              <w:top w:val="single" w:sz="4" w:space="0" w:color="000000"/>
              <w:bottom w:val="single" w:sz="4" w:space="0" w:color="auto"/>
            </w:tcBorders>
            <w:shd w:val="clear" w:color="auto" w:fill="FFFFFF"/>
            <w:vAlign w:val="center"/>
          </w:tcPr>
          <w:p w14:paraId="44DFC599" w14:textId="77777777" w:rsidR="007C34A9" w:rsidRPr="006A719C" w:rsidRDefault="007C34A9" w:rsidP="00AB3961">
            <w:pPr>
              <w:jc w:val="center"/>
              <w:rPr>
                <w:rFonts w:eastAsia="Times New Roman"/>
                <w:sz w:val="20"/>
                <w:szCs w:val="20"/>
              </w:rPr>
            </w:pPr>
            <w:r w:rsidRPr="006A719C">
              <w:rPr>
                <w:rFonts w:eastAsia="Times New Roman"/>
                <w:sz w:val="20"/>
                <w:szCs w:val="20"/>
              </w:rPr>
              <w:t>Low Nonsocial Deviancy Aversion</w:t>
            </w:r>
          </w:p>
        </w:tc>
        <w:tc>
          <w:tcPr>
            <w:tcW w:w="3281" w:type="dxa"/>
            <w:tcBorders>
              <w:top w:val="single" w:sz="4" w:space="0" w:color="000000"/>
              <w:bottom w:val="single" w:sz="4" w:space="0" w:color="auto"/>
            </w:tcBorders>
            <w:shd w:val="clear" w:color="auto" w:fill="FFFFFF"/>
            <w:vAlign w:val="center"/>
          </w:tcPr>
          <w:p w14:paraId="57AC5D11" w14:textId="77777777" w:rsidR="007C34A9" w:rsidRPr="006A719C" w:rsidRDefault="007C34A9" w:rsidP="00AB3961">
            <w:pPr>
              <w:ind w:left="252"/>
              <w:jc w:val="center"/>
              <w:rPr>
                <w:rFonts w:eastAsia="Times New Roman"/>
                <w:sz w:val="20"/>
                <w:szCs w:val="20"/>
              </w:rPr>
            </w:pPr>
            <w:r w:rsidRPr="006A719C">
              <w:rPr>
                <w:rFonts w:eastAsia="Times New Roman"/>
                <w:sz w:val="20"/>
                <w:szCs w:val="20"/>
              </w:rPr>
              <w:t>Significance Test</w:t>
            </w:r>
          </w:p>
        </w:tc>
      </w:tr>
      <w:tr w:rsidR="007C34A9" w:rsidRPr="00D536FF" w14:paraId="12A4D43E" w14:textId="77777777" w:rsidTr="00AB3961">
        <w:trPr>
          <w:trHeight w:val="426"/>
        </w:trPr>
        <w:tc>
          <w:tcPr>
            <w:tcW w:w="3458" w:type="dxa"/>
            <w:tcBorders>
              <w:top w:val="single" w:sz="4" w:space="0" w:color="auto"/>
              <w:bottom w:val="single" w:sz="4" w:space="0" w:color="auto"/>
            </w:tcBorders>
            <w:shd w:val="clear" w:color="auto" w:fill="auto"/>
            <w:vAlign w:val="center"/>
          </w:tcPr>
          <w:p w14:paraId="330F5AE5" w14:textId="2BF06E2E" w:rsidR="007C34A9" w:rsidRPr="006A719C" w:rsidRDefault="007C34A9" w:rsidP="00AB3961">
            <w:pPr>
              <w:rPr>
                <w:rFonts w:eastAsia="Times New Roman"/>
                <w:sz w:val="20"/>
                <w:szCs w:val="20"/>
              </w:rPr>
            </w:pPr>
            <w:r>
              <w:rPr>
                <w:rFonts w:eastAsia="Times New Roman"/>
                <w:b/>
                <w:sz w:val="20"/>
                <w:szCs w:val="20"/>
              </w:rPr>
              <w:t xml:space="preserve">Study </w:t>
            </w:r>
            <w:r w:rsidR="00F46D53">
              <w:rPr>
                <w:rFonts w:eastAsia="Times New Roman"/>
                <w:b/>
                <w:sz w:val="20"/>
                <w:szCs w:val="20"/>
              </w:rPr>
              <w:t>S1</w:t>
            </w:r>
          </w:p>
        </w:tc>
        <w:tc>
          <w:tcPr>
            <w:tcW w:w="1951" w:type="dxa"/>
            <w:tcBorders>
              <w:top w:val="single" w:sz="4" w:space="0" w:color="auto"/>
              <w:bottom w:val="single" w:sz="4" w:space="0" w:color="auto"/>
            </w:tcBorders>
            <w:shd w:val="clear" w:color="auto" w:fill="auto"/>
            <w:vAlign w:val="center"/>
          </w:tcPr>
          <w:p w14:paraId="6F1EC247" w14:textId="77777777" w:rsidR="007C34A9" w:rsidRPr="006A719C" w:rsidRDefault="007C34A9" w:rsidP="00AB3961">
            <w:pPr>
              <w:jc w:val="center"/>
              <w:rPr>
                <w:rFonts w:eastAsia="Times New Roman"/>
                <w:sz w:val="20"/>
                <w:szCs w:val="20"/>
              </w:rPr>
            </w:pPr>
            <w:r w:rsidRPr="006A719C">
              <w:rPr>
                <w:rFonts w:eastAsia="Times New Roman"/>
                <w:i/>
                <w:sz w:val="20"/>
                <w:szCs w:val="20"/>
              </w:rPr>
              <w:t xml:space="preserve">n </w:t>
            </w:r>
            <w:r w:rsidRPr="006A719C">
              <w:rPr>
                <w:rFonts w:eastAsia="Times New Roman"/>
                <w:sz w:val="20"/>
                <w:szCs w:val="20"/>
              </w:rPr>
              <w:t>= 72</w:t>
            </w:r>
          </w:p>
        </w:tc>
        <w:tc>
          <w:tcPr>
            <w:tcW w:w="1773" w:type="dxa"/>
            <w:tcBorders>
              <w:top w:val="single" w:sz="4" w:space="0" w:color="auto"/>
              <w:bottom w:val="single" w:sz="4" w:space="0" w:color="auto"/>
            </w:tcBorders>
            <w:shd w:val="clear" w:color="auto" w:fill="auto"/>
            <w:vAlign w:val="center"/>
          </w:tcPr>
          <w:p w14:paraId="0A101BC0" w14:textId="77777777" w:rsidR="007C34A9" w:rsidRPr="006A719C" w:rsidRDefault="007C34A9" w:rsidP="00AB3961">
            <w:pPr>
              <w:jc w:val="center"/>
              <w:rPr>
                <w:rFonts w:eastAsia="Times New Roman"/>
                <w:sz w:val="20"/>
                <w:szCs w:val="20"/>
              </w:rPr>
            </w:pPr>
            <w:r w:rsidRPr="006A719C">
              <w:rPr>
                <w:rFonts w:eastAsia="Times New Roman"/>
                <w:i/>
                <w:sz w:val="20"/>
                <w:szCs w:val="20"/>
              </w:rPr>
              <w:t xml:space="preserve">n </w:t>
            </w:r>
            <w:r w:rsidRPr="006A719C">
              <w:rPr>
                <w:rFonts w:eastAsia="Times New Roman"/>
                <w:sz w:val="20"/>
                <w:szCs w:val="20"/>
              </w:rPr>
              <w:t>= 75</w:t>
            </w:r>
          </w:p>
        </w:tc>
        <w:tc>
          <w:tcPr>
            <w:tcW w:w="3281" w:type="dxa"/>
            <w:tcBorders>
              <w:top w:val="single" w:sz="4" w:space="0" w:color="auto"/>
              <w:left w:val="nil"/>
              <w:bottom w:val="single" w:sz="4" w:space="0" w:color="auto"/>
            </w:tcBorders>
            <w:shd w:val="clear" w:color="auto" w:fill="auto"/>
            <w:vAlign w:val="center"/>
          </w:tcPr>
          <w:p w14:paraId="27055544" w14:textId="77777777" w:rsidR="007C34A9" w:rsidRPr="006A719C" w:rsidRDefault="007C34A9" w:rsidP="00AB3961">
            <w:pPr>
              <w:rPr>
                <w:rFonts w:eastAsia="Times New Roman"/>
                <w:i/>
                <w:sz w:val="20"/>
                <w:szCs w:val="20"/>
              </w:rPr>
            </w:pPr>
          </w:p>
        </w:tc>
      </w:tr>
      <w:tr w:rsidR="007C34A9" w:rsidRPr="00D536FF" w14:paraId="2C42D0C9" w14:textId="77777777" w:rsidTr="00AB3961">
        <w:trPr>
          <w:trHeight w:val="330"/>
        </w:trPr>
        <w:tc>
          <w:tcPr>
            <w:tcW w:w="3458" w:type="dxa"/>
            <w:tcBorders>
              <w:top w:val="single" w:sz="4" w:space="0" w:color="auto"/>
            </w:tcBorders>
            <w:shd w:val="clear" w:color="auto" w:fill="auto"/>
            <w:vAlign w:val="center"/>
          </w:tcPr>
          <w:p w14:paraId="586F0D63" w14:textId="77777777" w:rsidR="007C34A9" w:rsidRPr="006A719C" w:rsidRDefault="007C34A9" w:rsidP="00AB3961">
            <w:pPr>
              <w:rPr>
                <w:rFonts w:eastAsia="Times New Roman"/>
                <w:sz w:val="20"/>
                <w:szCs w:val="20"/>
              </w:rPr>
            </w:pPr>
            <w:r w:rsidRPr="006A719C">
              <w:rPr>
                <w:rFonts w:eastAsia="Times New Roman"/>
                <w:sz w:val="20"/>
                <w:szCs w:val="20"/>
              </w:rPr>
              <w:t>Manipulation Check</w:t>
            </w:r>
          </w:p>
        </w:tc>
        <w:tc>
          <w:tcPr>
            <w:tcW w:w="1951" w:type="dxa"/>
            <w:tcBorders>
              <w:top w:val="single" w:sz="4" w:space="0" w:color="auto"/>
            </w:tcBorders>
            <w:shd w:val="clear" w:color="auto" w:fill="auto"/>
            <w:vAlign w:val="center"/>
          </w:tcPr>
          <w:p w14:paraId="37617804" w14:textId="77777777" w:rsidR="007C34A9" w:rsidRPr="006A719C" w:rsidRDefault="007C34A9" w:rsidP="00AB3961">
            <w:pPr>
              <w:jc w:val="center"/>
              <w:rPr>
                <w:rFonts w:eastAsia="Times New Roman"/>
                <w:sz w:val="20"/>
                <w:szCs w:val="20"/>
              </w:rPr>
            </w:pPr>
            <w:r w:rsidRPr="006A719C">
              <w:rPr>
                <w:rFonts w:eastAsia="Times New Roman"/>
                <w:i/>
                <w:sz w:val="20"/>
                <w:szCs w:val="20"/>
              </w:rPr>
              <w:t>M</w:t>
            </w:r>
            <w:r w:rsidRPr="006A719C">
              <w:rPr>
                <w:rFonts w:eastAsia="Times New Roman"/>
                <w:sz w:val="20"/>
                <w:szCs w:val="20"/>
              </w:rPr>
              <w:t xml:space="preserve">, </w:t>
            </w:r>
            <w:r w:rsidRPr="006A719C">
              <w:rPr>
                <w:rFonts w:eastAsia="Times New Roman"/>
                <w:i/>
                <w:sz w:val="20"/>
                <w:szCs w:val="20"/>
              </w:rPr>
              <w:t>SD</w:t>
            </w:r>
          </w:p>
        </w:tc>
        <w:tc>
          <w:tcPr>
            <w:tcW w:w="1773" w:type="dxa"/>
            <w:tcBorders>
              <w:top w:val="single" w:sz="4" w:space="0" w:color="auto"/>
            </w:tcBorders>
            <w:shd w:val="clear" w:color="auto" w:fill="auto"/>
            <w:vAlign w:val="center"/>
          </w:tcPr>
          <w:p w14:paraId="3145FE41" w14:textId="77777777" w:rsidR="007C34A9" w:rsidRPr="006A719C" w:rsidRDefault="007C34A9" w:rsidP="00AB3961">
            <w:pPr>
              <w:jc w:val="center"/>
              <w:rPr>
                <w:rFonts w:eastAsia="Times New Roman"/>
                <w:sz w:val="20"/>
                <w:szCs w:val="20"/>
              </w:rPr>
            </w:pPr>
            <w:r w:rsidRPr="006A719C">
              <w:rPr>
                <w:rFonts w:eastAsia="Times New Roman"/>
                <w:i/>
                <w:sz w:val="20"/>
                <w:szCs w:val="20"/>
              </w:rPr>
              <w:t>M</w:t>
            </w:r>
            <w:r w:rsidRPr="006A719C">
              <w:rPr>
                <w:rFonts w:eastAsia="Times New Roman"/>
                <w:sz w:val="20"/>
                <w:szCs w:val="20"/>
              </w:rPr>
              <w:t xml:space="preserve">, </w:t>
            </w:r>
            <w:r w:rsidRPr="006A719C">
              <w:rPr>
                <w:rFonts w:eastAsia="Times New Roman"/>
                <w:i/>
                <w:sz w:val="20"/>
                <w:szCs w:val="20"/>
              </w:rPr>
              <w:t>SD</w:t>
            </w:r>
          </w:p>
        </w:tc>
        <w:tc>
          <w:tcPr>
            <w:tcW w:w="3281" w:type="dxa"/>
            <w:tcBorders>
              <w:top w:val="single" w:sz="4" w:space="0" w:color="auto"/>
              <w:left w:val="nil"/>
            </w:tcBorders>
            <w:shd w:val="clear" w:color="auto" w:fill="auto"/>
            <w:vAlign w:val="center"/>
          </w:tcPr>
          <w:p w14:paraId="6537E46B" w14:textId="77777777" w:rsidR="007C34A9" w:rsidRPr="006A719C" w:rsidRDefault="007C34A9" w:rsidP="00AB3961">
            <w:pPr>
              <w:jc w:val="center"/>
              <w:rPr>
                <w:rFonts w:eastAsia="Times New Roman"/>
                <w:i/>
                <w:sz w:val="20"/>
                <w:szCs w:val="20"/>
              </w:rPr>
            </w:pPr>
          </w:p>
        </w:tc>
      </w:tr>
      <w:tr w:rsidR="007C34A9" w:rsidRPr="00D536FF" w14:paraId="2603B704" w14:textId="77777777" w:rsidTr="00AB3961">
        <w:trPr>
          <w:trHeight w:val="440"/>
        </w:trPr>
        <w:tc>
          <w:tcPr>
            <w:tcW w:w="3458" w:type="dxa"/>
            <w:shd w:val="clear" w:color="auto" w:fill="auto"/>
            <w:vAlign w:val="center"/>
          </w:tcPr>
          <w:p w14:paraId="1A5088C9" w14:textId="77777777" w:rsidR="007C34A9" w:rsidRPr="006A719C" w:rsidRDefault="007C34A9" w:rsidP="00AB3961">
            <w:pPr>
              <w:jc w:val="center"/>
              <w:rPr>
                <w:rFonts w:eastAsia="Times New Roman"/>
                <w:sz w:val="20"/>
                <w:szCs w:val="20"/>
              </w:rPr>
            </w:pPr>
            <w:r w:rsidRPr="006A719C">
              <w:rPr>
                <w:rFonts w:eastAsia="Times New Roman"/>
                <w:sz w:val="20"/>
                <w:szCs w:val="20"/>
              </w:rPr>
              <w:t>Deviancy Aversion</w:t>
            </w:r>
          </w:p>
        </w:tc>
        <w:tc>
          <w:tcPr>
            <w:tcW w:w="1951" w:type="dxa"/>
            <w:shd w:val="clear" w:color="auto" w:fill="auto"/>
            <w:vAlign w:val="center"/>
          </w:tcPr>
          <w:p w14:paraId="1E9C51BA" w14:textId="77777777" w:rsidR="007C34A9" w:rsidRPr="006A719C" w:rsidRDefault="007C34A9" w:rsidP="00AB3961">
            <w:pPr>
              <w:jc w:val="center"/>
              <w:rPr>
                <w:rFonts w:eastAsia="Times New Roman"/>
                <w:sz w:val="20"/>
                <w:szCs w:val="20"/>
              </w:rPr>
            </w:pPr>
            <w:r w:rsidRPr="006A719C">
              <w:rPr>
                <w:rFonts w:eastAsia="Times New Roman"/>
                <w:sz w:val="20"/>
                <w:szCs w:val="20"/>
              </w:rPr>
              <w:t>2.42, 1.71</w:t>
            </w:r>
          </w:p>
        </w:tc>
        <w:tc>
          <w:tcPr>
            <w:tcW w:w="1773" w:type="dxa"/>
            <w:shd w:val="clear" w:color="auto" w:fill="auto"/>
            <w:vAlign w:val="center"/>
          </w:tcPr>
          <w:p w14:paraId="6DF803B7" w14:textId="77777777" w:rsidR="007C34A9" w:rsidRPr="006A719C" w:rsidRDefault="007C34A9" w:rsidP="00AB3961">
            <w:pPr>
              <w:jc w:val="center"/>
              <w:rPr>
                <w:rFonts w:eastAsia="Times New Roman"/>
                <w:sz w:val="20"/>
                <w:szCs w:val="20"/>
              </w:rPr>
            </w:pPr>
            <w:r w:rsidRPr="006A719C">
              <w:rPr>
                <w:rFonts w:eastAsia="Times New Roman"/>
                <w:sz w:val="20"/>
                <w:szCs w:val="20"/>
              </w:rPr>
              <w:t>0.87, 1.46</w:t>
            </w:r>
          </w:p>
        </w:tc>
        <w:tc>
          <w:tcPr>
            <w:tcW w:w="3281" w:type="dxa"/>
            <w:tcBorders>
              <w:left w:val="nil"/>
            </w:tcBorders>
            <w:shd w:val="clear" w:color="auto" w:fill="auto"/>
            <w:vAlign w:val="center"/>
          </w:tcPr>
          <w:p w14:paraId="5EB377B1" w14:textId="77777777" w:rsidR="007C34A9" w:rsidRPr="006A719C" w:rsidRDefault="007C34A9" w:rsidP="00AB3961">
            <w:pPr>
              <w:jc w:val="center"/>
              <w:rPr>
                <w:rFonts w:eastAsia="Times New Roman"/>
                <w:i/>
                <w:sz w:val="20"/>
                <w:szCs w:val="20"/>
              </w:rPr>
            </w:pPr>
            <w:proofErr w:type="gramStart"/>
            <w:r w:rsidRPr="006A719C">
              <w:rPr>
                <w:i/>
                <w:sz w:val="20"/>
                <w:szCs w:val="20"/>
              </w:rPr>
              <w:t>F</w:t>
            </w:r>
            <w:r w:rsidRPr="006A719C">
              <w:rPr>
                <w:sz w:val="20"/>
                <w:szCs w:val="20"/>
              </w:rPr>
              <w:t>(</w:t>
            </w:r>
            <w:proofErr w:type="gramEnd"/>
            <w:r w:rsidRPr="006A719C">
              <w:rPr>
                <w:sz w:val="20"/>
                <w:szCs w:val="20"/>
              </w:rPr>
              <w:t xml:space="preserve">1, 145) = 35.28, </w:t>
            </w:r>
            <w:r w:rsidRPr="006A719C">
              <w:rPr>
                <w:i/>
                <w:sz w:val="20"/>
                <w:szCs w:val="20"/>
              </w:rPr>
              <w:t xml:space="preserve">p </w:t>
            </w:r>
            <w:r w:rsidRPr="006A719C">
              <w:rPr>
                <w:sz w:val="20"/>
                <w:szCs w:val="20"/>
              </w:rPr>
              <w:t>&lt; .001, η</w:t>
            </w:r>
            <w:r w:rsidRPr="006A719C">
              <w:rPr>
                <w:sz w:val="20"/>
                <w:szCs w:val="20"/>
                <w:vertAlign w:val="superscript"/>
              </w:rPr>
              <w:t xml:space="preserve">2 </w:t>
            </w:r>
            <w:r w:rsidRPr="006A719C">
              <w:rPr>
                <w:sz w:val="20"/>
                <w:szCs w:val="20"/>
              </w:rPr>
              <w:t>= .196</w:t>
            </w:r>
          </w:p>
        </w:tc>
      </w:tr>
      <w:tr w:rsidR="007C34A9" w:rsidRPr="00D536FF" w14:paraId="6DF8A86B" w14:textId="77777777" w:rsidTr="00AB3961">
        <w:trPr>
          <w:trHeight w:val="348"/>
        </w:trPr>
        <w:tc>
          <w:tcPr>
            <w:tcW w:w="3458" w:type="dxa"/>
            <w:shd w:val="clear" w:color="auto" w:fill="auto"/>
            <w:vAlign w:val="center"/>
          </w:tcPr>
          <w:p w14:paraId="7790D5A3" w14:textId="77777777" w:rsidR="007C34A9" w:rsidRPr="006A719C" w:rsidRDefault="007C34A9" w:rsidP="00AB3961">
            <w:pPr>
              <w:rPr>
                <w:rFonts w:eastAsia="Times New Roman"/>
                <w:sz w:val="20"/>
                <w:szCs w:val="20"/>
              </w:rPr>
            </w:pPr>
            <w:r w:rsidRPr="006A719C">
              <w:rPr>
                <w:rFonts w:eastAsia="Times New Roman"/>
                <w:sz w:val="20"/>
                <w:szCs w:val="20"/>
              </w:rPr>
              <w:t>Dependent Variables</w:t>
            </w:r>
          </w:p>
        </w:tc>
        <w:tc>
          <w:tcPr>
            <w:tcW w:w="1951" w:type="dxa"/>
            <w:shd w:val="clear" w:color="auto" w:fill="auto"/>
            <w:vAlign w:val="center"/>
          </w:tcPr>
          <w:p w14:paraId="0A60CF78" w14:textId="77777777" w:rsidR="007C34A9" w:rsidRPr="006A719C" w:rsidRDefault="007C34A9" w:rsidP="00AB3961">
            <w:pPr>
              <w:jc w:val="center"/>
              <w:rPr>
                <w:rFonts w:eastAsia="Times New Roman"/>
                <w:sz w:val="20"/>
                <w:szCs w:val="20"/>
              </w:rPr>
            </w:pPr>
          </w:p>
        </w:tc>
        <w:tc>
          <w:tcPr>
            <w:tcW w:w="1773" w:type="dxa"/>
            <w:shd w:val="clear" w:color="auto" w:fill="auto"/>
            <w:vAlign w:val="center"/>
          </w:tcPr>
          <w:p w14:paraId="3F03EECF" w14:textId="77777777" w:rsidR="007C34A9" w:rsidRPr="006A719C" w:rsidRDefault="007C34A9" w:rsidP="00AB3961">
            <w:pPr>
              <w:jc w:val="center"/>
              <w:rPr>
                <w:rFonts w:eastAsia="Times New Roman"/>
                <w:sz w:val="20"/>
                <w:szCs w:val="20"/>
              </w:rPr>
            </w:pPr>
          </w:p>
        </w:tc>
        <w:tc>
          <w:tcPr>
            <w:tcW w:w="3281" w:type="dxa"/>
            <w:tcBorders>
              <w:left w:val="nil"/>
            </w:tcBorders>
            <w:shd w:val="clear" w:color="auto" w:fill="auto"/>
            <w:vAlign w:val="center"/>
          </w:tcPr>
          <w:p w14:paraId="14ED483A" w14:textId="77777777" w:rsidR="007C34A9" w:rsidRPr="006A719C" w:rsidRDefault="007C34A9" w:rsidP="00AB3961">
            <w:pPr>
              <w:jc w:val="center"/>
              <w:rPr>
                <w:rFonts w:eastAsia="Times New Roman"/>
                <w:i/>
                <w:sz w:val="20"/>
                <w:szCs w:val="20"/>
              </w:rPr>
            </w:pPr>
          </w:p>
        </w:tc>
      </w:tr>
      <w:tr w:rsidR="007C34A9" w:rsidRPr="00D536FF" w14:paraId="5ABBBA51" w14:textId="77777777" w:rsidTr="00AB3961">
        <w:trPr>
          <w:trHeight w:val="697"/>
        </w:trPr>
        <w:tc>
          <w:tcPr>
            <w:tcW w:w="3458" w:type="dxa"/>
            <w:shd w:val="clear" w:color="auto" w:fill="auto"/>
            <w:vAlign w:val="center"/>
          </w:tcPr>
          <w:p w14:paraId="7761F86B" w14:textId="77777777" w:rsidR="007C34A9" w:rsidRPr="000F6045" w:rsidRDefault="007C34A9" w:rsidP="00AB3961">
            <w:pPr>
              <w:jc w:val="center"/>
              <w:rPr>
                <w:rFonts w:eastAsia="Times New Roman"/>
                <w:sz w:val="20"/>
                <w:szCs w:val="20"/>
              </w:rPr>
            </w:pPr>
            <w:r w:rsidRPr="000F6045">
              <w:rPr>
                <w:rFonts w:eastAsia="Times New Roman"/>
                <w:sz w:val="20"/>
                <w:szCs w:val="20"/>
              </w:rPr>
              <w:t xml:space="preserve">Negative Affect Towards </w:t>
            </w:r>
          </w:p>
          <w:p w14:paraId="04842247" w14:textId="77777777" w:rsidR="007C34A9" w:rsidRPr="006A719C" w:rsidRDefault="007C34A9" w:rsidP="00AB3961">
            <w:pPr>
              <w:jc w:val="center"/>
              <w:rPr>
                <w:rFonts w:eastAsia="Times New Roman"/>
                <w:sz w:val="20"/>
                <w:szCs w:val="20"/>
              </w:rPr>
            </w:pPr>
            <w:r w:rsidRPr="000F6045">
              <w:rPr>
                <w:rFonts w:eastAsia="Times New Roman"/>
                <w:sz w:val="20"/>
                <w:szCs w:val="20"/>
              </w:rPr>
              <w:t xml:space="preserve">Fictional Norm Breaking </w:t>
            </w:r>
            <w:r w:rsidRPr="000F6045">
              <w:rPr>
                <w:iCs/>
                <w:sz w:val="20"/>
                <w:szCs w:val="20"/>
              </w:rPr>
              <w:t>(</w:t>
            </w:r>
            <w:r w:rsidRPr="000F6045">
              <w:rPr>
                <w:i/>
                <w:sz w:val="20"/>
                <w:szCs w:val="20"/>
              </w:rPr>
              <w:t>ω</w:t>
            </w:r>
            <w:r w:rsidRPr="000F6045">
              <w:rPr>
                <w:sz w:val="20"/>
                <w:szCs w:val="20"/>
              </w:rPr>
              <w:t xml:space="preserve"> = .79)</w:t>
            </w:r>
          </w:p>
        </w:tc>
        <w:tc>
          <w:tcPr>
            <w:tcW w:w="1951" w:type="dxa"/>
            <w:shd w:val="clear" w:color="auto" w:fill="auto"/>
            <w:vAlign w:val="center"/>
          </w:tcPr>
          <w:p w14:paraId="5C23A594" w14:textId="77777777" w:rsidR="007C34A9" w:rsidRPr="006A719C" w:rsidRDefault="007C34A9" w:rsidP="00AB3961">
            <w:pPr>
              <w:jc w:val="center"/>
              <w:rPr>
                <w:rFonts w:eastAsia="Times New Roman"/>
                <w:sz w:val="20"/>
                <w:szCs w:val="20"/>
              </w:rPr>
            </w:pPr>
            <w:r w:rsidRPr="006A719C">
              <w:rPr>
                <w:rFonts w:eastAsia="Times New Roman"/>
                <w:sz w:val="20"/>
                <w:szCs w:val="20"/>
              </w:rPr>
              <w:t>4.17, 1.64</w:t>
            </w:r>
          </w:p>
        </w:tc>
        <w:tc>
          <w:tcPr>
            <w:tcW w:w="1773" w:type="dxa"/>
            <w:shd w:val="clear" w:color="auto" w:fill="auto"/>
            <w:vAlign w:val="center"/>
          </w:tcPr>
          <w:p w14:paraId="5E9409E9" w14:textId="77777777" w:rsidR="007C34A9" w:rsidRPr="006A719C" w:rsidRDefault="007C34A9" w:rsidP="00AB3961">
            <w:pPr>
              <w:jc w:val="center"/>
              <w:rPr>
                <w:rFonts w:eastAsia="Times New Roman"/>
                <w:sz w:val="20"/>
                <w:szCs w:val="20"/>
              </w:rPr>
            </w:pPr>
            <w:r w:rsidRPr="006A719C">
              <w:rPr>
                <w:rFonts w:eastAsia="Times New Roman"/>
                <w:sz w:val="20"/>
                <w:szCs w:val="20"/>
              </w:rPr>
              <w:t>3.15, 1.42</w:t>
            </w:r>
          </w:p>
        </w:tc>
        <w:tc>
          <w:tcPr>
            <w:tcW w:w="3281" w:type="dxa"/>
            <w:tcBorders>
              <w:left w:val="nil"/>
            </w:tcBorders>
            <w:shd w:val="clear" w:color="auto" w:fill="auto"/>
            <w:vAlign w:val="center"/>
          </w:tcPr>
          <w:p w14:paraId="704D261B" w14:textId="77777777" w:rsidR="007C34A9" w:rsidRPr="006A719C" w:rsidRDefault="007C34A9" w:rsidP="00AB3961">
            <w:pPr>
              <w:jc w:val="center"/>
              <w:rPr>
                <w:rFonts w:eastAsia="Times New Roman"/>
                <w:i/>
                <w:sz w:val="20"/>
                <w:szCs w:val="20"/>
              </w:rPr>
            </w:pPr>
            <w:proofErr w:type="gramStart"/>
            <w:r w:rsidRPr="006A719C">
              <w:rPr>
                <w:i/>
                <w:sz w:val="20"/>
                <w:szCs w:val="20"/>
              </w:rPr>
              <w:t>F</w:t>
            </w:r>
            <w:r w:rsidRPr="006A719C">
              <w:rPr>
                <w:sz w:val="20"/>
                <w:szCs w:val="20"/>
              </w:rPr>
              <w:t>(</w:t>
            </w:r>
            <w:proofErr w:type="gramEnd"/>
            <w:r w:rsidRPr="006A719C">
              <w:rPr>
                <w:sz w:val="20"/>
                <w:szCs w:val="20"/>
              </w:rPr>
              <w:t xml:space="preserve">1, 145) = 16.32, </w:t>
            </w:r>
            <w:r w:rsidRPr="006A719C">
              <w:rPr>
                <w:i/>
                <w:sz w:val="20"/>
                <w:szCs w:val="20"/>
              </w:rPr>
              <w:t xml:space="preserve">p </w:t>
            </w:r>
            <w:r w:rsidRPr="006A719C">
              <w:rPr>
                <w:sz w:val="20"/>
                <w:szCs w:val="20"/>
              </w:rPr>
              <w:t>&lt; .001, η</w:t>
            </w:r>
            <w:r w:rsidRPr="006A719C">
              <w:rPr>
                <w:sz w:val="20"/>
                <w:szCs w:val="20"/>
                <w:vertAlign w:val="superscript"/>
              </w:rPr>
              <w:t xml:space="preserve">2 </w:t>
            </w:r>
            <w:r w:rsidRPr="006A719C">
              <w:rPr>
                <w:sz w:val="20"/>
                <w:szCs w:val="20"/>
              </w:rPr>
              <w:t>= .101</w:t>
            </w:r>
          </w:p>
        </w:tc>
      </w:tr>
      <w:tr w:rsidR="007C34A9" w:rsidRPr="00D536FF" w14:paraId="782BE19B" w14:textId="77777777" w:rsidTr="00AB3961">
        <w:trPr>
          <w:trHeight w:val="689"/>
        </w:trPr>
        <w:tc>
          <w:tcPr>
            <w:tcW w:w="3458" w:type="dxa"/>
            <w:shd w:val="clear" w:color="auto" w:fill="auto"/>
            <w:vAlign w:val="center"/>
          </w:tcPr>
          <w:p w14:paraId="6EE78D77" w14:textId="77777777" w:rsidR="007C34A9" w:rsidRPr="006A719C" w:rsidRDefault="007C34A9" w:rsidP="00AB3961">
            <w:pPr>
              <w:jc w:val="center"/>
              <w:rPr>
                <w:rFonts w:eastAsia="Times New Roman"/>
                <w:sz w:val="20"/>
                <w:szCs w:val="20"/>
              </w:rPr>
            </w:pPr>
            <w:r w:rsidRPr="006A719C">
              <w:rPr>
                <w:rFonts w:eastAsia="Times New Roman"/>
                <w:sz w:val="20"/>
                <w:szCs w:val="20"/>
              </w:rPr>
              <w:t xml:space="preserve">Negative Affect Towards </w:t>
            </w:r>
          </w:p>
          <w:p w14:paraId="442AF87B" w14:textId="77777777" w:rsidR="007C34A9" w:rsidRPr="006A719C" w:rsidRDefault="007C34A9" w:rsidP="00AB3961">
            <w:pPr>
              <w:jc w:val="center"/>
              <w:rPr>
                <w:rFonts w:eastAsia="Times New Roman"/>
                <w:sz w:val="20"/>
                <w:szCs w:val="20"/>
              </w:rPr>
            </w:pPr>
            <w:r>
              <w:rPr>
                <w:rFonts w:eastAsia="Times New Roman"/>
                <w:sz w:val="20"/>
                <w:szCs w:val="20"/>
              </w:rPr>
              <w:t>Non-Fictional</w:t>
            </w:r>
            <w:r w:rsidRPr="006A719C">
              <w:rPr>
                <w:rFonts w:eastAsia="Times New Roman"/>
                <w:sz w:val="20"/>
                <w:szCs w:val="20"/>
              </w:rPr>
              <w:t xml:space="preserve"> Norm Breaking</w:t>
            </w:r>
            <w:r>
              <w:rPr>
                <w:rFonts w:eastAsia="Times New Roman"/>
                <w:sz w:val="20"/>
                <w:szCs w:val="20"/>
              </w:rPr>
              <w:t xml:space="preserve"> </w:t>
            </w:r>
            <w:r w:rsidRPr="000F6045">
              <w:rPr>
                <w:iCs/>
                <w:sz w:val="20"/>
                <w:szCs w:val="20"/>
              </w:rPr>
              <w:t>(</w:t>
            </w:r>
            <w:r w:rsidRPr="000F6045">
              <w:rPr>
                <w:i/>
                <w:sz w:val="20"/>
                <w:szCs w:val="20"/>
              </w:rPr>
              <w:t>ω</w:t>
            </w:r>
            <w:r w:rsidRPr="000F6045">
              <w:rPr>
                <w:sz w:val="20"/>
                <w:szCs w:val="20"/>
              </w:rPr>
              <w:t xml:space="preserve"> = .</w:t>
            </w:r>
            <w:r>
              <w:rPr>
                <w:sz w:val="20"/>
                <w:szCs w:val="20"/>
              </w:rPr>
              <w:t>90</w:t>
            </w:r>
            <w:r w:rsidRPr="000F6045">
              <w:rPr>
                <w:sz w:val="20"/>
                <w:szCs w:val="20"/>
              </w:rPr>
              <w:t>)</w:t>
            </w:r>
          </w:p>
        </w:tc>
        <w:tc>
          <w:tcPr>
            <w:tcW w:w="1951" w:type="dxa"/>
            <w:shd w:val="clear" w:color="auto" w:fill="auto"/>
            <w:vAlign w:val="center"/>
          </w:tcPr>
          <w:p w14:paraId="3F8B500A" w14:textId="77777777" w:rsidR="007C34A9" w:rsidRPr="006A719C" w:rsidRDefault="007C34A9" w:rsidP="00AB3961">
            <w:pPr>
              <w:jc w:val="center"/>
              <w:rPr>
                <w:rFonts w:eastAsia="Times New Roman"/>
                <w:sz w:val="20"/>
                <w:szCs w:val="20"/>
              </w:rPr>
            </w:pPr>
            <w:r w:rsidRPr="006A719C">
              <w:rPr>
                <w:rFonts w:eastAsia="Times New Roman"/>
                <w:sz w:val="20"/>
                <w:szCs w:val="20"/>
              </w:rPr>
              <w:t>5.21, 0.98</w:t>
            </w:r>
          </w:p>
        </w:tc>
        <w:tc>
          <w:tcPr>
            <w:tcW w:w="1773" w:type="dxa"/>
            <w:shd w:val="clear" w:color="auto" w:fill="auto"/>
            <w:vAlign w:val="center"/>
          </w:tcPr>
          <w:p w14:paraId="5E8A62CD" w14:textId="77777777" w:rsidR="007C34A9" w:rsidRPr="006A719C" w:rsidRDefault="007C34A9" w:rsidP="00AB3961">
            <w:pPr>
              <w:jc w:val="center"/>
              <w:rPr>
                <w:rFonts w:eastAsia="Times New Roman"/>
                <w:sz w:val="20"/>
                <w:szCs w:val="20"/>
              </w:rPr>
            </w:pPr>
            <w:r w:rsidRPr="006A719C">
              <w:rPr>
                <w:rFonts w:eastAsia="Times New Roman"/>
                <w:sz w:val="20"/>
                <w:szCs w:val="20"/>
              </w:rPr>
              <w:t>4.68, 1.18</w:t>
            </w:r>
          </w:p>
        </w:tc>
        <w:tc>
          <w:tcPr>
            <w:tcW w:w="3281" w:type="dxa"/>
            <w:tcBorders>
              <w:left w:val="nil"/>
            </w:tcBorders>
            <w:shd w:val="clear" w:color="auto" w:fill="auto"/>
            <w:vAlign w:val="center"/>
          </w:tcPr>
          <w:p w14:paraId="7DFD4423" w14:textId="77777777" w:rsidR="007C34A9" w:rsidRPr="006A719C" w:rsidRDefault="007C34A9" w:rsidP="00AB3961">
            <w:pPr>
              <w:jc w:val="center"/>
              <w:rPr>
                <w:i/>
                <w:sz w:val="20"/>
                <w:szCs w:val="20"/>
              </w:rPr>
            </w:pPr>
            <w:proofErr w:type="gramStart"/>
            <w:r w:rsidRPr="006A719C">
              <w:rPr>
                <w:i/>
                <w:sz w:val="20"/>
                <w:szCs w:val="20"/>
              </w:rPr>
              <w:t>F</w:t>
            </w:r>
            <w:r w:rsidRPr="006A719C">
              <w:rPr>
                <w:sz w:val="20"/>
                <w:szCs w:val="20"/>
              </w:rPr>
              <w:t>(</w:t>
            </w:r>
            <w:proofErr w:type="gramEnd"/>
            <w:r w:rsidRPr="006A719C">
              <w:rPr>
                <w:sz w:val="20"/>
                <w:szCs w:val="20"/>
              </w:rPr>
              <w:t xml:space="preserve">1, 145) = 8.93, </w:t>
            </w:r>
            <w:r w:rsidRPr="006A719C">
              <w:rPr>
                <w:i/>
                <w:sz w:val="20"/>
                <w:szCs w:val="20"/>
              </w:rPr>
              <w:t xml:space="preserve">p </w:t>
            </w:r>
            <w:r w:rsidRPr="006A719C">
              <w:rPr>
                <w:sz w:val="20"/>
                <w:szCs w:val="20"/>
              </w:rPr>
              <w:t>= .003, η</w:t>
            </w:r>
            <w:r w:rsidRPr="006A719C">
              <w:rPr>
                <w:sz w:val="20"/>
                <w:szCs w:val="20"/>
                <w:vertAlign w:val="superscript"/>
              </w:rPr>
              <w:t xml:space="preserve">2 </w:t>
            </w:r>
            <w:r w:rsidRPr="006A719C">
              <w:rPr>
                <w:sz w:val="20"/>
                <w:szCs w:val="20"/>
              </w:rPr>
              <w:t>= .058</w:t>
            </w:r>
          </w:p>
        </w:tc>
      </w:tr>
      <w:tr w:rsidR="007C34A9" w:rsidRPr="00D536FF" w14:paraId="6907F8AA" w14:textId="77777777" w:rsidTr="00AB3961">
        <w:trPr>
          <w:trHeight w:val="697"/>
        </w:trPr>
        <w:tc>
          <w:tcPr>
            <w:tcW w:w="3458" w:type="dxa"/>
            <w:shd w:val="clear" w:color="auto" w:fill="auto"/>
            <w:vAlign w:val="center"/>
          </w:tcPr>
          <w:p w14:paraId="467AF0EB" w14:textId="77777777" w:rsidR="007C34A9" w:rsidRPr="00123451" w:rsidRDefault="007C34A9" w:rsidP="00AB3961">
            <w:pPr>
              <w:jc w:val="center"/>
              <w:rPr>
                <w:rFonts w:eastAsia="Times New Roman"/>
                <w:sz w:val="20"/>
                <w:szCs w:val="20"/>
              </w:rPr>
            </w:pPr>
            <w:r w:rsidRPr="00123451">
              <w:rPr>
                <w:rFonts w:eastAsia="Times New Roman"/>
                <w:sz w:val="20"/>
                <w:szCs w:val="20"/>
              </w:rPr>
              <w:t xml:space="preserve">Self-Reported </w:t>
            </w:r>
          </w:p>
          <w:p w14:paraId="757939B7" w14:textId="77777777" w:rsidR="007C34A9" w:rsidRPr="00123451" w:rsidRDefault="007C34A9" w:rsidP="00AB3961">
            <w:pPr>
              <w:jc w:val="center"/>
              <w:rPr>
                <w:rFonts w:eastAsia="Times New Roman"/>
                <w:sz w:val="20"/>
                <w:szCs w:val="20"/>
              </w:rPr>
            </w:pPr>
            <w:r w:rsidRPr="00123451">
              <w:rPr>
                <w:rFonts w:eastAsia="Times New Roman"/>
                <w:sz w:val="20"/>
                <w:szCs w:val="20"/>
              </w:rPr>
              <w:t xml:space="preserve">Norm Following Behavior </w:t>
            </w:r>
            <w:r>
              <w:rPr>
                <w:iCs/>
                <w:sz w:val="20"/>
                <w:szCs w:val="20"/>
              </w:rPr>
              <w:t>(</w:t>
            </w:r>
            <w:r w:rsidRPr="00123451">
              <w:rPr>
                <w:i/>
                <w:sz w:val="20"/>
                <w:szCs w:val="20"/>
              </w:rPr>
              <w:t xml:space="preserve">α </w:t>
            </w:r>
            <w:r w:rsidRPr="00123451">
              <w:rPr>
                <w:sz w:val="20"/>
                <w:szCs w:val="20"/>
              </w:rPr>
              <w:t>= .68</w:t>
            </w:r>
            <w:r>
              <w:rPr>
                <w:sz w:val="20"/>
                <w:szCs w:val="20"/>
              </w:rPr>
              <w:t>)</w:t>
            </w:r>
          </w:p>
        </w:tc>
        <w:tc>
          <w:tcPr>
            <w:tcW w:w="1951" w:type="dxa"/>
            <w:shd w:val="clear" w:color="auto" w:fill="auto"/>
            <w:vAlign w:val="center"/>
          </w:tcPr>
          <w:p w14:paraId="46A81339" w14:textId="77777777" w:rsidR="007C34A9" w:rsidRPr="006A719C" w:rsidRDefault="007C34A9" w:rsidP="00AB3961">
            <w:pPr>
              <w:jc w:val="center"/>
              <w:rPr>
                <w:rFonts w:eastAsia="Times New Roman"/>
                <w:sz w:val="20"/>
                <w:szCs w:val="20"/>
              </w:rPr>
            </w:pPr>
            <w:r w:rsidRPr="006A719C">
              <w:rPr>
                <w:rFonts w:eastAsia="Times New Roman"/>
                <w:sz w:val="20"/>
                <w:szCs w:val="20"/>
              </w:rPr>
              <w:t>4.99, 1.64</w:t>
            </w:r>
          </w:p>
        </w:tc>
        <w:tc>
          <w:tcPr>
            <w:tcW w:w="1773" w:type="dxa"/>
            <w:shd w:val="clear" w:color="auto" w:fill="auto"/>
            <w:vAlign w:val="center"/>
          </w:tcPr>
          <w:p w14:paraId="38F6415B" w14:textId="77777777" w:rsidR="007C34A9" w:rsidRPr="006A719C" w:rsidRDefault="007C34A9" w:rsidP="00AB3961">
            <w:pPr>
              <w:jc w:val="center"/>
              <w:rPr>
                <w:rFonts w:eastAsia="Times New Roman"/>
                <w:sz w:val="20"/>
                <w:szCs w:val="20"/>
              </w:rPr>
            </w:pPr>
            <w:r w:rsidRPr="006A719C">
              <w:rPr>
                <w:rFonts w:eastAsia="Times New Roman"/>
                <w:sz w:val="20"/>
                <w:szCs w:val="20"/>
              </w:rPr>
              <w:t>4.30, 1.56</w:t>
            </w:r>
          </w:p>
        </w:tc>
        <w:tc>
          <w:tcPr>
            <w:tcW w:w="3281" w:type="dxa"/>
            <w:tcBorders>
              <w:left w:val="nil"/>
            </w:tcBorders>
            <w:shd w:val="clear" w:color="auto" w:fill="auto"/>
            <w:vAlign w:val="center"/>
          </w:tcPr>
          <w:p w14:paraId="5A361D1E" w14:textId="77777777" w:rsidR="007C34A9" w:rsidRPr="006A719C" w:rsidRDefault="007C34A9" w:rsidP="00AB3961">
            <w:pPr>
              <w:jc w:val="center"/>
              <w:rPr>
                <w:i/>
                <w:sz w:val="20"/>
                <w:szCs w:val="20"/>
              </w:rPr>
            </w:pPr>
            <w:proofErr w:type="gramStart"/>
            <w:r w:rsidRPr="006A719C">
              <w:rPr>
                <w:i/>
                <w:sz w:val="20"/>
                <w:szCs w:val="20"/>
              </w:rPr>
              <w:t>F</w:t>
            </w:r>
            <w:r w:rsidRPr="006A719C">
              <w:rPr>
                <w:sz w:val="20"/>
                <w:szCs w:val="20"/>
              </w:rPr>
              <w:t>(</w:t>
            </w:r>
            <w:proofErr w:type="gramEnd"/>
            <w:r w:rsidRPr="006A719C">
              <w:rPr>
                <w:sz w:val="20"/>
                <w:szCs w:val="20"/>
              </w:rPr>
              <w:t xml:space="preserve">1, 145) = 6.86, </w:t>
            </w:r>
            <w:r w:rsidRPr="006A719C">
              <w:rPr>
                <w:i/>
                <w:sz w:val="20"/>
                <w:szCs w:val="20"/>
              </w:rPr>
              <w:t xml:space="preserve">p </w:t>
            </w:r>
            <w:r w:rsidRPr="006A719C">
              <w:rPr>
                <w:sz w:val="20"/>
                <w:szCs w:val="20"/>
              </w:rPr>
              <w:t>= .010, η</w:t>
            </w:r>
            <w:r w:rsidRPr="006A719C">
              <w:rPr>
                <w:sz w:val="20"/>
                <w:szCs w:val="20"/>
                <w:vertAlign w:val="superscript"/>
              </w:rPr>
              <w:t xml:space="preserve">2 </w:t>
            </w:r>
            <w:r w:rsidRPr="006A719C">
              <w:rPr>
                <w:sz w:val="20"/>
                <w:szCs w:val="20"/>
              </w:rPr>
              <w:t>= .045</w:t>
            </w:r>
          </w:p>
        </w:tc>
      </w:tr>
      <w:tr w:rsidR="007C34A9" w:rsidRPr="00D536FF" w14:paraId="5A4CA32B" w14:textId="77777777" w:rsidTr="00AB3961">
        <w:trPr>
          <w:trHeight w:val="706"/>
        </w:trPr>
        <w:tc>
          <w:tcPr>
            <w:tcW w:w="3458" w:type="dxa"/>
            <w:tcBorders>
              <w:bottom w:val="single" w:sz="4" w:space="0" w:color="auto"/>
            </w:tcBorders>
            <w:shd w:val="clear" w:color="auto" w:fill="auto"/>
            <w:vAlign w:val="center"/>
          </w:tcPr>
          <w:p w14:paraId="71DB79C1" w14:textId="77777777" w:rsidR="007C34A9" w:rsidRPr="00123451" w:rsidRDefault="007C34A9" w:rsidP="00AB3961">
            <w:pPr>
              <w:jc w:val="center"/>
              <w:rPr>
                <w:rFonts w:eastAsia="Times New Roman"/>
                <w:sz w:val="20"/>
                <w:szCs w:val="20"/>
              </w:rPr>
            </w:pPr>
            <w:r w:rsidRPr="00123451">
              <w:rPr>
                <w:rFonts w:eastAsia="Times New Roman"/>
                <w:sz w:val="20"/>
                <w:szCs w:val="20"/>
              </w:rPr>
              <w:t xml:space="preserve">Self-Reported </w:t>
            </w:r>
          </w:p>
          <w:p w14:paraId="0BDAE5D1" w14:textId="77777777" w:rsidR="007C34A9" w:rsidRPr="00123451" w:rsidRDefault="007C34A9" w:rsidP="00AB3961">
            <w:pPr>
              <w:jc w:val="center"/>
              <w:rPr>
                <w:rFonts w:eastAsia="Times New Roman"/>
                <w:sz w:val="20"/>
                <w:szCs w:val="20"/>
              </w:rPr>
            </w:pPr>
            <w:r w:rsidRPr="00123451">
              <w:rPr>
                <w:rFonts w:eastAsia="Times New Roman"/>
                <w:sz w:val="20"/>
                <w:szCs w:val="20"/>
              </w:rPr>
              <w:t xml:space="preserve">Norm Breaking Behavior </w:t>
            </w:r>
            <w:r>
              <w:rPr>
                <w:iCs/>
                <w:sz w:val="20"/>
                <w:szCs w:val="20"/>
              </w:rPr>
              <w:t>(</w:t>
            </w:r>
            <w:r w:rsidRPr="00123451">
              <w:rPr>
                <w:i/>
                <w:sz w:val="20"/>
                <w:szCs w:val="20"/>
              </w:rPr>
              <w:t xml:space="preserve">α </w:t>
            </w:r>
            <w:r w:rsidRPr="00123451">
              <w:rPr>
                <w:sz w:val="20"/>
                <w:szCs w:val="20"/>
              </w:rPr>
              <w:t>= .78</w:t>
            </w:r>
            <w:r>
              <w:rPr>
                <w:sz w:val="20"/>
                <w:szCs w:val="20"/>
              </w:rPr>
              <w:t>)</w:t>
            </w:r>
          </w:p>
        </w:tc>
        <w:tc>
          <w:tcPr>
            <w:tcW w:w="1951" w:type="dxa"/>
            <w:tcBorders>
              <w:bottom w:val="single" w:sz="4" w:space="0" w:color="auto"/>
            </w:tcBorders>
            <w:shd w:val="clear" w:color="auto" w:fill="auto"/>
            <w:vAlign w:val="center"/>
          </w:tcPr>
          <w:p w14:paraId="67AF2A69" w14:textId="77777777" w:rsidR="007C34A9" w:rsidRPr="006A719C" w:rsidRDefault="007C34A9" w:rsidP="00AB3961">
            <w:pPr>
              <w:jc w:val="center"/>
              <w:rPr>
                <w:rFonts w:eastAsia="Times New Roman"/>
                <w:sz w:val="20"/>
                <w:szCs w:val="20"/>
              </w:rPr>
            </w:pPr>
            <w:r w:rsidRPr="006A719C">
              <w:rPr>
                <w:rFonts w:eastAsia="Times New Roman"/>
                <w:sz w:val="20"/>
                <w:szCs w:val="20"/>
              </w:rPr>
              <w:t>2.64, 1.50</w:t>
            </w:r>
          </w:p>
        </w:tc>
        <w:tc>
          <w:tcPr>
            <w:tcW w:w="1773" w:type="dxa"/>
            <w:tcBorders>
              <w:bottom w:val="single" w:sz="4" w:space="0" w:color="auto"/>
            </w:tcBorders>
            <w:shd w:val="clear" w:color="auto" w:fill="auto"/>
            <w:vAlign w:val="center"/>
          </w:tcPr>
          <w:p w14:paraId="45FAF3C8" w14:textId="77777777" w:rsidR="007C34A9" w:rsidRPr="006A719C" w:rsidRDefault="007C34A9" w:rsidP="00AB3961">
            <w:pPr>
              <w:jc w:val="center"/>
              <w:rPr>
                <w:rFonts w:eastAsia="Times New Roman"/>
                <w:sz w:val="20"/>
                <w:szCs w:val="20"/>
              </w:rPr>
            </w:pPr>
            <w:r w:rsidRPr="006A719C">
              <w:rPr>
                <w:rFonts w:eastAsia="Times New Roman"/>
                <w:sz w:val="20"/>
                <w:szCs w:val="20"/>
              </w:rPr>
              <w:t>3.60, 1.59</w:t>
            </w:r>
          </w:p>
        </w:tc>
        <w:tc>
          <w:tcPr>
            <w:tcW w:w="3281" w:type="dxa"/>
            <w:tcBorders>
              <w:left w:val="nil"/>
              <w:bottom w:val="single" w:sz="4" w:space="0" w:color="auto"/>
            </w:tcBorders>
            <w:shd w:val="clear" w:color="auto" w:fill="auto"/>
            <w:vAlign w:val="center"/>
          </w:tcPr>
          <w:p w14:paraId="4767203D" w14:textId="77777777" w:rsidR="007C34A9" w:rsidRPr="006A719C" w:rsidRDefault="007C34A9" w:rsidP="00AB3961">
            <w:pPr>
              <w:jc w:val="center"/>
              <w:rPr>
                <w:i/>
                <w:sz w:val="20"/>
                <w:szCs w:val="20"/>
              </w:rPr>
            </w:pPr>
            <w:proofErr w:type="gramStart"/>
            <w:r w:rsidRPr="006A719C">
              <w:rPr>
                <w:i/>
                <w:sz w:val="20"/>
                <w:szCs w:val="20"/>
              </w:rPr>
              <w:t>F</w:t>
            </w:r>
            <w:r w:rsidRPr="006A719C">
              <w:rPr>
                <w:sz w:val="20"/>
                <w:szCs w:val="20"/>
              </w:rPr>
              <w:t>(</w:t>
            </w:r>
            <w:proofErr w:type="gramEnd"/>
            <w:r w:rsidRPr="006A719C">
              <w:rPr>
                <w:sz w:val="20"/>
                <w:szCs w:val="20"/>
              </w:rPr>
              <w:t xml:space="preserve">1, 145) = 14.13, </w:t>
            </w:r>
            <w:r w:rsidRPr="006A719C">
              <w:rPr>
                <w:i/>
                <w:sz w:val="20"/>
                <w:szCs w:val="20"/>
              </w:rPr>
              <w:t xml:space="preserve">p </w:t>
            </w:r>
            <w:r w:rsidRPr="006A719C">
              <w:rPr>
                <w:sz w:val="20"/>
                <w:szCs w:val="20"/>
              </w:rPr>
              <w:t>&lt; .001,  η</w:t>
            </w:r>
            <w:r w:rsidRPr="006A719C">
              <w:rPr>
                <w:sz w:val="20"/>
                <w:szCs w:val="20"/>
                <w:vertAlign w:val="superscript"/>
              </w:rPr>
              <w:t xml:space="preserve">2 </w:t>
            </w:r>
            <w:r w:rsidRPr="006A719C">
              <w:rPr>
                <w:sz w:val="20"/>
                <w:szCs w:val="20"/>
              </w:rPr>
              <w:t>= .089</w:t>
            </w:r>
          </w:p>
        </w:tc>
      </w:tr>
    </w:tbl>
    <w:p w14:paraId="491C8EC0" w14:textId="77777777" w:rsidR="007C34A9" w:rsidRDefault="007C34A9" w:rsidP="007C34A9">
      <w:pPr>
        <w:rPr>
          <w:rFonts w:eastAsia="Times New Roman"/>
          <w:b/>
          <w:szCs w:val="20"/>
        </w:rPr>
      </w:pPr>
    </w:p>
    <w:p w14:paraId="679D2554" w14:textId="77777777" w:rsidR="007C34A9" w:rsidRPr="00803815" w:rsidRDefault="007C34A9" w:rsidP="007C34A9">
      <w:pPr>
        <w:pStyle w:val="SMSubheading"/>
        <w:spacing w:line="480" w:lineRule="auto"/>
        <w:rPr>
          <w:color w:val="C00000"/>
          <w:u w:val="none"/>
        </w:rPr>
      </w:pPr>
      <w:r>
        <w:rPr>
          <w:noProof/>
          <w:u w:val="none"/>
        </w:rPr>
        <w:lastRenderedPageBreak/>
        <w:drawing>
          <wp:inline distT="0" distB="0" distL="0" distR="0" wp14:anchorId="21E2438D" wp14:editId="004640E8">
            <wp:extent cx="5937250" cy="59372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250" cy="5937250"/>
                    </a:xfrm>
                    <a:prstGeom prst="rect">
                      <a:avLst/>
                    </a:prstGeom>
                    <a:noFill/>
                    <a:ln>
                      <a:noFill/>
                    </a:ln>
                  </pic:spPr>
                </pic:pic>
              </a:graphicData>
            </a:graphic>
          </wp:inline>
        </w:drawing>
      </w:r>
    </w:p>
    <w:p w14:paraId="12ADEF98" w14:textId="08552764" w:rsidR="007C34A9" w:rsidRPr="00BD1312" w:rsidRDefault="007C34A9" w:rsidP="007C34A9">
      <w:pPr>
        <w:pStyle w:val="SMSubheading"/>
        <w:rPr>
          <w:iCs/>
          <w:u w:val="none"/>
        </w:rPr>
      </w:pPr>
      <w:r w:rsidRPr="00BD1312">
        <w:rPr>
          <w:i/>
          <w:u w:val="none"/>
        </w:rPr>
        <w:t xml:space="preserve">Figure </w:t>
      </w:r>
      <w:r w:rsidR="00224263">
        <w:rPr>
          <w:i/>
          <w:u w:val="none"/>
        </w:rPr>
        <w:t>S</w:t>
      </w:r>
      <w:r w:rsidR="0047198D">
        <w:rPr>
          <w:i/>
          <w:u w:val="none"/>
        </w:rPr>
        <w:t>3</w:t>
      </w:r>
      <w:r w:rsidRPr="00BD1312">
        <w:rPr>
          <w:i/>
          <w:u w:val="none"/>
        </w:rPr>
        <w:t xml:space="preserve">. </w:t>
      </w:r>
      <w:r>
        <w:rPr>
          <w:iCs/>
          <w:u w:val="none"/>
        </w:rPr>
        <w:t>The effect of D</w:t>
      </w:r>
      <w:r w:rsidRPr="00BD1312">
        <w:rPr>
          <w:iCs/>
          <w:u w:val="none"/>
        </w:rPr>
        <w:t xml:space="preserve">eviancy </w:t>
      </w:r>
      <w:r>
        <w:rPr>
          <w:iCs/>
          <w:u w:val="none"/>
        </w:rPr>
        <w:t>A</w:t>
      </w:r>
      <w:r w:rsidRPr="00BD1312">
        <w:rPr>
          <w:iCs/>
          <w:u w:val="none"/>
        </w:rPr>
        <w:t xml:space="preserve">version </w:t>
      </w:r>
      <w:r>
        <w:rPr>
          <w:iCs/>
          <w:u w:val="none"/>
        </w:rPr>
        <w:t>on A) negative affect towards fictional norm violations, B) negative affect towards non-fictional norm violations, C) self-reported norm breaking, and C) self-reported norm following.</w:t>
      </w:r>
      <w:r w:rsidRPr="00BD1312">
        <w:rPr>
          <w:iCs/>
          <w:u w:val="none"/>
        </w:rPr>
        <w:t xml:space="preserve"> Error </w:t>
      </w:r>
      <w:r>
        <w:rPr>
          <w:iCs/>
          <w:u w:val="none"/>
        </w:rPr>
        <w:t>b</w:t>
      </w:r>
      <w:r w:rsidRPr="00BD1312">
        <w:rPr>
          <w:iCs/>
          <w:u w:val="none"/>
        </w:rPr>
        <w:t xml:space="preserve">ars: +- 1 </w:t>
      </w:r>
      <w:r w:rsidRPr="00BD1312">
        <w:rPr>
          <w:i/>
          <w:u w:val="none"/>
        </w:rPr>
        <w:t>SE</w:t>
      </w:r>
      <w:r w:rsidRPr="00BD1312">
        <w:rPr>
          <w:iCs/>
          <w:u w:val="none"/>
        </w:rPr>
        <w:t xml:space="preserve">. </w:t>
      </w:r>
    </w:p>
    <w:p w14:paraId="35CD5929" w14:textId="77777777" w:rsidR="007C34A9" w:rsidRDefault="007C34A9" w:rsidP="007C34A9">
      <w:pPr>
        <w:rPr>
          <w:rFonts w:eastAsia="Times New Roman"/>
          <w:b/>
          <w:lang w:eastAsia="zh-CN"/>
        </w:rPr>
      </w:pPr>
    </w:p>
    <w:p w14:paraId="26F9EA13" w14:textId="77777777" w:rsidR="00DD0741" w:rsidRDefault="00DD0741" w:rsidP="00DD0741">
      <w:pPr>
        <w:spacing w:line="480" w:lineRule="auto"/>
        <w:rPr>
          <w:rFonts w:eastAsia="Times New Roman"/>
          <w:b/>
          <w:lang w:eastAsia="zh-CN"/>
        </w:rPr>
      </w:pPr>
    </w:p>
    <w:p w14:paraId="31ECB97E" w14:textId="77777777" w:rsidR="00DD0741" w:rsidRDefault="00DD0741" w:rsidP="00DD0741">
      <w:pPr>
        <w:spacing w:line="480" w:lineRule="auto"/>
        <w:rPr>
          <w:rFonts w:eastAsia="Times New Roman"/>
          <w:b/>
          <w:lang w:eastAsia="zh-CN"/>
        </w:rPr>
      </w:pPr>
    </w:p>
    <w:p w14:paraId="0EB430C3" w14:textId="77777777" w:rsidR="00E77CA0" w:rsidRDefault="00E77CA0" w:rsidP="00C0251F">
      <w:pPr>
        <w:spacing w:line="480" w:lineRule="auto"/>
        <w:jc w:val="center"/>
        <w:rPr>
          <w:rFonts w:eastAsia="Times New Roman"/>
          <w:b/>
          <w:lang w:eastAsia="zh-CN"/>
        </w:rPr>
      </w:pPr>
    </w:p>
    <w:p w14:paraId="15EEF978" w14:textId="77777777" w:rsidR="00E77CA0" w:rsidRDefault="00E77CA0" w:rsidP="00C0251F">
      <w:pPr>
        <w:spacing w:line="480" w:lineRule="auto"/>
        <w:jc w:val="center"/>
        <w:rPr>
          <w:rFonts w:eastAsia="Times New Roman"/>
          <w:b/>
          <w:lang w:eastAsia="zh-CN"/>
        </w:rPr>
      </w:pPr>
    </w:p>
    <w:p w14:paraId="5ABC1573" w14:textId="31BF60BD" w:rsidR="00C0251F" w:rsidRPr="007044CA" w:rsidRDefault="00C0251F" w:rsidP="00C0251F">
      <w:pPr>
        <w:spacing w:line="480" w:lineRule="auto"/>
        <w:jc w:val="center"/>
        <w:rPr>
          <w:rFonts w:eastAsia="Times New Roman"/>
          <w:b/>
          <w:lang w:eastAsia="zh-CN"/>
        </w:rPr>
      </w:pPr>
      <w:r w:rsidRPr="007044CA">
        <w:rPr>
          <w:rFonts w:eastAsia="Times New Roman"/>
          <w:b/>
          <w:lang w:eastAsia="zh-CN"/>
        </w:rPr>
        <w:lastRenderedPageBreak/>
        <w:t xml:space="preserve">Study </w:t>
      </w:r>
      <w:r>
        <w:rPr>
          <w:rFonts w:eastAsia="Times New Roman"/>
          <w:b/>
          <w:lang w:eastAsia="zh-CN"/>
        </w:rPr>
        <w:t xml:space="preserve">S2: </w:t>
      </w:r>
      <w:r>
        <w:rPr>
          <w:rFonts w:eastAsia="Times New Roman"/>
          <w:b/>
        </w:rPr>
        <w:t xml:space="preserve">Directly Accounting for Negativity Aversion </w:t>
      </w:r>
    </w:p>
    <w:p w14:paraId="7C8FCDEA" w14:textId="75AF6F14" w:rsidR="00C0251F" w:rsidRPr="007044CA" w:rsidRDefault="00C0251F" w:rsidP="00C0251F">
      <w:pPr>
        <w:spacing w:line="480" w:lineRule="auto"/>
        <w:jc w:val="both"/>
        <w:rPr>
          <w:rFonts w:eastAsia="Times New Roman"/>
          <w:lang w:eastAsia="zh-CN"/>
        </w:rPr>
      </w:pPr>
      <w:r w:rsidRPr="007044CA">
        <w:rPr>
          <w:rFonts w:eastAsia="Times New Roman"/>
          <w:lang w:eastAsia="zh-CN"/>
        </w:rPr>
        <w:tab/>
      </w:r>
      <w:r>
        <w:rPr>
          <w:rFonts w:eastAsia="Times New Roman"/>
          <w:lang w:eastAsia="zh-CN"/>
        </w:rPr>
        <w:t xml:space="preserve">Building on </w:t>
      </w:r>
      <w:r w:rsidR="00B74193">
        <w:rPr>
          <w:rFonts w:eastAsia="Times New Roman"/>
          <w:lang w:eastAsia="zh-CN"/>
        </w:rPr>
        <w:t xml:space="preserve">Study </w:t>
      </w:r>
      <w:r w:rsidR="009875E3">
        <w:rPr>
          <w:rFonts w:eastAsia="Times New Roman"/>
          <w:lang w:eastAsia="zh-CN"/>
        </w:rPr>
        <w:t>S1</w:t>
      </w:r>
      <w:r>
        <w:rPr>
          <w:rFonts w:eastAsia="Times New Roman"/>
          <w:lang w:eastAsia="zh-CN"/>
        </w:rPr>
        <w:t xml:space="preserve">, Study </w:t>
      </w:r>
      <w:r w:rsidR="0056246F">
        <w:rPr>
          <w:rFonts w:eastAsia="Times New Roman"/>
          <w:lang w:eastAsia="zh-CN"/>
        </w:rPr>
        <w:t>S2</w:t>
      </w:r>
      <w:r>
        <w:rPr>
          <w:rFonts w:eastAsia="Times New Roman"/>
          <w:lang w:eastAsia="zh-CN"/>
        </w:rPr>
        <w:t xml:space="preserve"> examined whether inducing deviancy aversion heightens norm adherence compared to a closely matched negativity aversion control condition. We examined whether inducing aversion towards deviancy heightens norm adherence as compared to inducing aversion towards negative but not deviant stimuli (aversion towards scenes of poor weather).</w:t>
      </w:r>
    </w:p>
    <w:p w14:paraId="33DB94DA" w14:textId="77777777" w:rsidR="00C0251F" w:rsidRPr="007044CA" w:rsidRDefault="00C0251F" w:rsidP="00C0251F">
      <w:pPr>
        <w:spacing w:line="480" w:lineRule="auto"/>
        <w:jc w:val="both"/>
        <w:rPr>
          <w:rFonts w:eastAsia="Times New Roman"/>
          <w:lang w:eastAsia="zh-CN"/>
        </w:rPr>
      </w:pPr>
      <w:r w:rsidRPr="007044CA">
        <w:rPr>
          <w:rFonts w:eastAsia="Times New Roman"/>
          <w:b/>
          <w:lang w:eastAsia="zh-CN"/>
        </w:rPr>
        <w:t>Method</w:t>
      </w:r>
    </w:p>
    <w:p w14:paraId="09EA3901" w14:textId="13B842F9" w:rsidR="00C0251F" w:rsidRPr="007044CA" w:rsidRDefault="00C0251F" w:rsidP="00C0251F">
      <w:pPr>
        <w:spacing w:line="480" w:lineRule="auto"/>
        <w:ind w:firstLine="720"/>
        <w:jc w:val="both"/>
        <w:rPr>
          <w:rFonts w:eastAsia="Times New Roman"/>
          <w:lang w:eastAsia="zh-CN"/>
        </w:rPr>
      </w:pPr>
      <w:r w:rsidRPr="00866254">
        <w:rPr>
          <w:rFonts w:eastAsia="Times New Roman"/>
          <w:b/>
          <w:lang w:eastAsia="zh-CN"/>
        </w:rPr>
        <w:t>Participants</w:t>
      </w:r>
      <w:r w:rsidRPr="00866254">
        <w:rPr>
          <w:rFonts w:eastAsia="Times New Roman"/>
          <w:lang w:eastAsia="zh-CN"/>
        </w:rPr>
        <w:t xml:space="preserve">. The power-analysis was based on the </w:t>
      </w:r>
      <w:r>
        <w:rPr>
          <w:rFonts w:eastAsia="Times New Roman"/>
          <w:lang w:eastAsia="zh-CN"/>
        </w:rPr>
        <w:t xml:space="preserve">smallest </w:t>
      </w:r>
      <w:r w:rsidRPr="00866254">
        <w:rPr>
          <w:rFonts w:eastAsia="Times New Roman"/>
          <w:lang w:eastAsia="zh-CN"/>
        </w:rPr>
        <w:t xml:space="preserve">effect </w:t>
      </w:r>
      <w:r>
        <w:rPr>
          <w:rFonts w:eastAsia="Times New Roman"/>
          <w:lang w:eastAsia="zh-CN"/>
        </w:rPr>
        <w:t xml:space="preserve">in </w:t>
      </w:r>
      <w:r w:rsidR="00B74193">
        <w:rPr>
          <w:rFonts w:eastAsia="Times New Roman"/>
          <w:lang w:eastAsia="zh-CN"/>
        </w:rPr>
        <w:t xml:space="preserve">Study </w:t>
      </w:r>
      <w:r w:rsidR="003A0065">
        <w:rPr>
          <w:rFonts w:eastAsia="Times New Roman"/>
          <w:lang w:eastAsia="zh-CN"/>
        </w:rPr>
        <w:t>S1</w:t>
      </w:r>
      <w:r w:rsidRPr="00866254">
        <w:rPr>
          <w:rFonts w:eastAsia="Times New Roman"/>
          <w:lang w:eastAsia="zh-CN"/>
        </w:rPr>
        <w:t xml:space="preserve"> </w:t>
      </w:r>
      <w:r w:rsidRPr="00866254">
        <w:rPr>
          <w:rFonts w:eastAsia="DengXian"/>
          <w:lang w:eastAsia="zh-CN"/>
        </w:rPr>
        <w:t>(</w:t>
      </w:r>
      <w:r w:rsidRPr="00866254">
        <w:rPr>
          <w:rFonts w:eastAsia="DengXian"/>
          <w:i/>
          <w:lang w:eastAsia="zh-CN"/>
        </w:rPr>
        <w:t xml:space="preserve">f </w:t>
      </w:r>
      <w:r w:rsidRPr="00866254">
        <w:rPr>
          <w:rFonts w:eastAsia="DengXian"/>
          <w:lang w:eastAsia="zh-CN"/>
        </w:rPr>
        <w:t>= .23)</w:t>
      </w:r>
      <w:r w:rsidRPr="00866254">
        <w:rPr>
          <w:rFonts w:eastAsia="Times New Roman"/>
          <w:lang w:eastAsia="zh-CN"/>
        </w:rPr>
        <w:t xml:space="preserve">. </w:t>
      </w:r>
      <w:r>
        <w:rPr>
          <w:rFonts w:eastAsia="Times New Roman"/>
          <w:lang w:eastAsia="zh-CN"/>
        </w:rPr>
        <w:t>W</w:t>
      </w:r>
      <w:r w:rsidRPr="007044CA">
        <w:rPr>
          <w:rFonts w:eastAsia="Times New Roman"/>
          <w:lang w:eastAsia="zh-CN"/>
        </w:rPr>
        <w:t>e need</w:t>
      </w:r>
      <w:r>
        <w:rPr>
          <w:rFonts w:eastAsia="Times New Roman"/>
          <w:lang w:eastAsia="zh-CN"/>
        </w:rPr>
        <w:t>ed</w:t>
      </w:r>
      <w:r w:rsidRPr="007044CA">
        <w:rPr>
          <w:rFonts w:eastAsia="Times New Roman"/>
          <w:lang w:eastAsia="zh-CN"/>
        </w:rPr>
        <w:t xml:space="preserve"> 1</w:t>
      </w:r>
      <w:r>
        <w:rPr>
          <w:rFonts w:eastAsia="Times New Roman"/>
          <w:lang w:eastAsia="zh-CN"/>
        </w:rPr>
        <w:t>46</w:t>
      </w:r>
      <w:r w:rsidRPr="007044CA">
        <w:rPr>
          <w:rFonts w:eastAsia="Times New Roman"/>
          <w:lang w:eastAsia="zh-CN"/>
        </w:rPr>
        <w:t xml:space="preserve"> participants to have </w:t>
      </w:r>
      <w:r>
        <w:rPr>
          <w:rFonts w:eastAsia="Times New Roman"/>
          <w:lang w:eastAsia="zh-CN"/>
        </w:rPr>
        <w:t>8</w:t>
      </w:r>
      <w:r w:rsidRPr="007044CA">
        <w:rPr>
          <w:rFonts w:eastAsia="Times New Roman"/>
          <w:lang w:eastAsia="zh-CN"/>
        </w:rPr>
        <w:t xml:space="preserve">0% power. We aimed to recruit 200 participants </w:t>
      </w:r>
      <w:r>
        <w:rPr>
          <w:rFonts w:eastAsia="Times New Roman"/>
          <w:lang w:eastAsia="zh-CN"/>
        </w:rPr>
        <w:t>and recruited</w:t>
      </w:r>
      <w:r w:rsidRPr="007044CA">
        <w:rPr>
          <w:rFonts w:eastAsia="Times New Roman"/>
          <w:lang w:eastAsia="zh-CN"/>
        </w:rPr>
        <w:t xml:space="preserve"> 19</w:t>
      </w:r>
      <w:r>
        <w:rPr>
          <w:rFonts w:eastAsia="Times New Roman"/>
          <w:lang w:eastAsia="zh-CN"/>
        </w:rPr>
        <w:t>6</w:t>
      </w:r>
      <w:r w:rsidRPr="007044CA">
        <w:rPr>
          <w:rFonts w:eastAsia="Times New Roman"/>
          <w:lang w:eastAsia="zh-CN"/>
        </w:rPr>
        <w:t xml:space="preserve"> participants (</w:t>
      </w:r>
      <w:proofErr w:type="spellStart"/>
      <w:r w:rsidRPr="007044CA">
        <w:rPr>
          <w:rFonts w:eastAsia="Times New Roman"/>
          <w:lang w:eastAsia="zh-CN"/>
        </w:rPr>
        <w:t>MTurk</w:t>
      </w:r>
      <w:proofErr w:type="spellEnd"/>
      <w:r w:rsidRPr="007044CA">
        <w:rPr>
          <w:rFonts w:eastAsia="Times New Roman"/>
          <w:lang w:eastAsia="zh-CN"/>
        </w:rPr>
        <w:t>; 1</w:t>
      </w:r>
      <w:r>
        <w:rPr>
          <w:rFonts w:eastAsia="Times New Roman"/>
          <w:lang w:eastAsia="zh-CN"/>
        </w:rPr>
        <w:t>19</w:t>
      </w:r>
      <w:r w:rsidRPr="007044CA">
        <w:rPr>
          <w:rFonts w:eastAsia="Times New Roman"/>
          <w:lang w:eastAsia="zh-CN"/>
        </w:rPr>
        <w:t xml:space="preserve"> </w:t>
      </w:r>
      <w:r>
        <w:rPr>
          <w:rFonts w:eastAsia="Times New Roman"/>
          <w:lang w:eastAsia="zh-CN"/>
        </w:rPr>
        <w:t>F</w:t>
      </w:r>
      <w:r w:rsidRPr="007044CA">
        <w:rPr>
          <w:rFonts w:eastAsia="Times New Roman"/>
          <w:lang w:eastAsia="zh-CN"/>
        </w:rPr>
        <w:t xml:space="preserve">emale; </w:t>
      </w:r>
      <w:r w:rsidRPr="007044CA">
        <w:rPr>
          <w:rFonts w:eastAsia="Times New Roman"/>
          <w:i/>
          <w:lang w:eastAsia="zh-CN"/>
        </w:rPr>
        <w:t>M</w:t>
      </w:r>
      <w:r w:rsidRPr="00F94810">
        <w:rPr>
          <w:rFonts w:eastAsia="Times New Roman"/>
          <w:vertAlign w:val="subscript"/>
          <w:lang w:eastAsia="zh-CN"/>
        </w:rPr>
        <w:t>age</w:t>
      </w:r>
      <w:r w:rsidRPr="007044CA">
        <w:rPr>
          <w:rFonts w:eastAsia="Times New Roman"/>
          <w:i/>
          <w:lang w:eastAsia="zh-CN"/>
        </w:rPr>
        <w:t xml:space="preserve"> </w:t>
      </w:r>
      <w:r w:rsidRPr="007044CA">
        <w:rPr>
          <w:rFonts w:eastAsia="Times New Roman"/>
          <w:lang w:eastAsia="zh-CN"/>
        </w:rPr>
        <w:t>= 3</w:t>
      </w:r>
      <w:r>
        <w:rPr>
          <w:rFonts w:eastAsia="Times New Roman"/>
          <w:lang w:eastAsia="zh-CN"/>
        </w:rPr>
        <w:t>8</w:t>
      </w:r>
      <w:r w:rsidRPr="007044CA">
        <w:rPr>
          <w:rFonts w:eastAsia="Times New Roman"/>
          <w:lang w:eastAsia="zh-CN"/>
        </w:rPr>
        <w:t>.</w:t>
      </w:r>
      <w:r>
        <w:rPr>
          <w:rFonts w:eastAsia="Times New Roman"/>
          <w:lang w:eastAsia="zh-CN"/>
        </w:rPr>
        <w:t>64</w:t>
      </w:r>
      <w:r w:rsidRPr="007044CA">
        <w:rPr>
          <w:rFonts w:eastAsia="Times New Roman"/>
          <w:lang w:eastAsia="zh-CN"/>
        </w:rPr>
        <w:t xml:space="preserve">, </w:t>
      </w:r>
      <w:proofErr w:type="spellStart"/>
      <w:r w:rsidRPr="007044CA">
        <w:rPr>
          <w:rFonts w:eastAsia="Times New Roman"/>
          <w:i/>
          <w:lang w:eastAsia="zh-CN"/>
        </w:rPr>
        <w:t>SD</w:t>
      </w:r>
      <w:r w:rsidRPr="00F94810">
        <w:rPr>
          <w:rFonts w:eastAsia="Times New Roman"/>
          <w:vertAlign w:val="subscript"/>
          <w:lang w:eastAsia="zh-CN"/>
        </w:rPr>
        <w:t>age</w:t>
      </w:r>
      <w:proofErr w:type="spellEnd"/>
      <w:r w:rsidRPr="007044CA">
        <w:rPr>
          <w:rFonts w:eastAsia="Times New Roman"/>
          <w:i/>
          <w:lang w:eastAsia="zh-CN"/>
        </w:rPr>
        <w:t xml:space="preserve"> </w:t>
      </w:r>
      <w:r w:rsidRPr="007044CA">
        <w:rPr>
          <w:rFonts w:eastAsia="Times New Roman"/>
          <w:lang w:eastAsia="zh-CN"/>
        </w:rPr>
        <w:t>= 1</w:t>
      </w:r>
      <w:r>
        <w:rPr>
          <w:rFonts w:eastAsia="Times New Roman"/>
          <w:lang w:eastAsia="zh-CN"/>
        </w:rPr>
        <w:t>2</w:t>
      </w:r>
      <w:r w:rsidRPr="007044CA">
        <w:rPr>
          <w:rFonts w:eastAsia="Times New Roman"/>
          <w:lang w:eastAsia="zh-CN"/>
        </w:rPr>
        <w:t>.6</w:t>
      </w:r>
      <w:r>
        <w:rPr>
          <w:rFonts w:eastAsia="Times New Roman"/>
          <w:lang w:eastAsia="zh-CN"/>
        </w:rPr>
        <w:t>2</w:t>
      </w:r>
      <w:r w:rsidRPr="007044CA">
        <w:rPr>
          <w:rFonts w:eastAsia="Times New Roman"/>
          <w:lang w:eastAsia="zh-CN"/>
        </w:rPr>
        <w:t xml:space="preserve">). </w:t>
      </w:r>
      <w:r>
        <w:rPr>
          <w:rFonts w:eastAsia="Times New Roman"/>
          <w:lang w:eastAsia="zh-CN"/>
        </w:rPr>
        <w:t>Fifteen</w:t>
      </w:r>
      <w:r w:rsidRPr="007044CA">
        <w:rPr>
          <w:rFonts w:eastAsia="Times New Roman"/>
          <w:lang w:eastAsia="zh-CN"/>
        </w:rPr>
        <w:t xml:space="preserve"> responses were excluded</w:t>
      </w:r>
      <w:r>
        <w:rPr>
          <w:rFonts w:eastAsia="Times New Roman"/>
          <w:lang w:eastAsia="zh-CN"/>
        </w:rPr>
        <w:t xml:space="preserve"> for</w:t>
      </w:r>
      <w:r w:rsidRPr="007044CA">
        <w:rPr>
          <w:rFonts w:eastAsia="Times New Roman"/>
          <w:lang w:eastAsia="zh-CN"/>
        </w:rPr>
        <w:t xml:space="preserve"> attention </w:t>
      </w:r>
      <w:r>
        <w:rPr>
          <w:rFonts w:eastAsia="Times New Roman"/>
          <w:lang w:eastAsia="zh-CN"/>
        </w:rPr>
        <w:t>failures or for completing the study twice.</w:t>
      </w:r>
      <w:r w:rsidRPr="007044CA">
        <w:rPr>
          <w:rFonts w:eastAsia="Times New Roman"/>
          <w:lang w:eastAsia="zh-CN"/>
        </w:rPr>
        <w:t xml:space="preserve"> </w:t>
      </w:r>
      <w:r>
        <w:rPr>
          <w:rFonts w:eastAsia="Times New Roman"/>
          <w:lang w:eastAsia="zh-CN"/>
        </w:rPr>
        <w:t>W</w:t>
      </w:r>
      <w:r w:rsidRPr="007044CA">
        <w:rPr>
          <w:rFonts w:eastAsia="Times New Roman"/>
          <w:lang w:eastAsia="zh-CN"/>
        </w:rPr>
        <w:t xml:space="preserve">ith </w:t>
      </w:r>
      <w:r>
        <w:rPr>
          <w:rFonts w:eastAsia="Times New Roman"/>
          <w:lang w:eastAsia="zh-CN"/>
        </w:rPr>
        <w:t>our final sample (</w:t>
      </w:r>
      <w:r>
        <w:rPr>
          <w:rFonts w:eastAsia="Times New Roman"/>
          <w:i/>
          <w:iCs/>
          <w:lang w:eastAsia="zh-CN"/>
        </w:rPr>
        <w:t xml:space="preserve">N </w:t>
      </w:r>
      <w:r>
        <w:rPr>
          <w:rFonts w:eastAsia="Times New Roman"/>
          <w:lang w:eastAsia="zh-CN"/>
        </w:rPr>
        <w:t>=</w:t>
      </w:r>
      <w:r w:rsidRPr="007044CA">
        <w:rPr>
          <w:rFonts w:eastAsia="Times New Roman"/>
          <w:lang w:eastAsia="zh-CN"/>
        </w:rPr>
        <w:t xml:space="preserve"> 1</w:t>
      </w:r>
      <w:r>
        <w:rPr>
          <w:rFonts w:eastAsia="Times New Roman"/>
          <w:lang w:eastAsia="zh-CN"/>
        </w:rPr>
        <w:t>8</w:t>
      </w:r>
      <w:r w:rsidRPr="007044CA">
        <w:rPr>
          <w:rFonts w:eastAsia="Times New Roman"/>
          <w:lang w:eastAsia="zh-CN"/>
        </w:rPr>
        <w:t>1</w:t>
      </w:r>
      <w:r>
        <w:rPr>
          <w:rFonts w:eastAsia="Times New Roman"/>
          <w:lang w:eastAsia="zh-CN"/>
        </w:rPr>
        <w:t>),</w:t>
      </w:r>
      <w:r w:rsidRPr="007044CA">
        <w:rPr>
          <w:rFonts w:eastAsia="Times New Roman"/>
          <w:lang w:eastAsia="zh-CN"/>
        </w:rPr>
        <w:t xml:space="preserve"> we had 90% power to observe a</w:t>
      </w:r>
      <w:r>
        <w:rPr>
          <w:rFonts w:eastAsia="Times New Roman"/>
          <w:lang w:eastAsia="zh-CN"/>
        </w:rPr>
        <w:t>n</w:t>
      </w:r>
      <w:r w:rsidRPr="007044CA">
        <w:rPr>
          <w:rFonts w:eastAsia="Times New Roman"/>
          <w:lang w:eastAsia="zh-CN"/>
        </w:rPr>
        <w:t xml:space="preserve"> effect-size of </w:t>
      </w:r>
      <w:r w:rsidRPr="007044CA">
        <w:rPr>
          <w:rFonts w:eastAsia="Times New Roman"/>
          <w:i/>
          <w:lang w:eastAsia="zh-CN"/>
        </w:rPr>
        <w:t xml:space="preserve">f </w:t>
      </w:r>
      <w:r w:rsidRPr="007044CA">
        <w:rPr>
          <w:rFonts w:eastAsia="Times New Roman"/>
          <w:lang w:eastAsia="zh-CN"/>
        </w:rPr>
        <w:t>= .2</w:t>
      </w:r>
      <w:r>
        <w:rPr>
          <w:rFonts w:eastAsia="Times New Roman"/>
          <w:lang w:eastAsia="zh-CN"/>
        </w:rPr>
        <w:t>4</w:t>
      </w:r>
      <w:r w:rsidRPr="007044CA">
        <w:rPr>
          <w:rFonts w:eastAsia="Times New Roman"/>
          <w:lang w:eastAsia="zh-CN"/>
        </w:rPr>
        <w:t xml:space="preserve">. </w:t>
      </w:r>
      <w:r>
        <w:rPr>
          <w:rFonts w:eastAsia="Times New Roman"/>
          <w:lang w:eastAsia="zh-CN"/>
        </w:rPr>
        <w:t xml:space="preserve">The study was not pre-registered. Verbatim Materials </w:t>
      </w:r>
      <w:hyperlink r:id="rId12" w:history="1">
        <w:r w:rsidRPr="00043FF8">
          <w:rPr>
            <w:rStyle w:val="Hyperlink"/>
            <w:rFonts w:eastAsia="Times New Roman"/>
            <w:lang w:eastAsia="zh-CN"/>
          </w:rPr>
          <w:t>here</w:t>
        </w:r>
      </w:hyperlink>
      <w:r>
        <w:rPr>
          <w:rFonts w:eastAsia="Times New Roman"/>
          <w:lang w:eastAsia="zh-CN"/>
        </w:rPr>
        <w:t>.</w:t>
      </w:r>
    </w:p>
    <w:p w14:paraId="79998B9D" w14:textId="4376C37C" w:rsidR="00C0251F" w:rsidRPr="005519BA" w:rsidRDefault="00C0251F" w:rsidP="00C0251F">
      <w:pPr>
        <w:spacing w:line="480" w:lineRule="auto"/>
        <w:ind w:firstLine="720"/>
        <w:jc w:val="both"/>
        <w:rPr>
          <w:rFonts w:eastAsia="Times New Roman"/>
          <w:lang w:eastAsia="zh-CN"/>
        </w:rPr>
      </w:pPr>
      <w:r>
        <w:rPr>
          <w:rFonts w:eastAsia="Times New Roman"/>
          <w:b/>
          <w:lang w:eastAsia="zh-CN"/>
        </w:rPr>
        <w:t>Aversion</w:t>
      </w:r>
      <w:r w:rsidRPr="007044CA">
        <w:rPr>
          <w:rFonts w:eastAsia="Times New Roman"/>
          <w:b/>
          <w:lang w:eastAsia="zh-CN"/>
        </w:rPr>
        <w:t xml:space="preserve">. </w:t>
      </w:r>
      <w:r>
        <w:rPr>
          <w:rFonts w:eastAsia="Times New Roman"/>
          <w:lang w:eastAsia="zh-CN"/>
        </w:rPr>
        <w:t xml:space="preserve">The deviancy aversion condition was the high deviancy aversion condition of Study </w:t>
      </w:r>
      <w:r w:rsidR="00372B41">
        <w:rPr>
          <w:rFonts w:eastAsia="Times New Roman"/>
          <w:lang w:eastAsia="zh-CN"/>
        </w:rPr>
        <w:t>S1</w:t>
      </w:r>
      <w:r>
        <w:rPr>
          <w:rFonts w:eastAsia="Times New Roman"/>
          <w:lang w:eastAsia="zh-CN"/>
        </w:rPr>
        <w:t>. The negativity aversion condition was identical except participants reflected on the negative aspects of poor weather instead of deviancy: “</w:t>
      </w:r>
      <w:r w:rsidRPr="002B3667">
        <w:rPr>
          <w:rFonts w:eastAsia="Times New Roman"/>
          <w:lang w:eastAsia="zh-CN"/>
        </w:rPr>
        <w:t>Think of cloudy, grey, and overcast weather</w:t>
      </w:r>
      <w:r>
        <w:rPr>
          <w:rFonts w:eastAsia="Times New Roman"/>
          <w:lang w:eastAsia="zh-CN"/>
        </w:rPr>
        <w:t>…”</w:t>
      </w:r>
      <w:r w:rsidRPr="00D0166C">
        <w:rPr>
          <w:rFonts w:eastAsia="Times New Roman"/>
          <w:lang w:eastAsia="zh-CN"/>
        </w:rPr>
        <w:t xml:space="preserve"> </w:t>
      </w:r>
      <w:r>
        <w:rPr>
          <w:rFonts w:eastAsia="Times New Roman"/>
          <w:lang w:eastAsia="zh-CN"/>
        </w:rPr>
        <w:t xml:space="preserve">See Verbatim Materials. </w:t>
      </w:r>
    </w:p>
    <w:p w14:paraId="128E0557" w14:textId="17386024" w:rsidR="00C0251F" w:rsidRDefault="00C0251F" w:rsidP="00C0251F">
      <w:pPr>
        <w:spacing w:line="480" w:lineRule="auto"/>
        <w:ind w:firstLine="720"/>
        <w:jc w:val="both"/>
        <w:rPr>
          <w:rFonts w:eastAsia="Times New Roman"/>
          <w:lang w:eastAsia="zh-CN"/>
        </w:rPr>
      </w:pPr>
      <w:r>
        <w:rPr>
          <w:rFonts w:eastAsia="Times New Roman"/>
          <w:b/>
          <w:lang w:eastAsia="zh-CN"/>
        </w:rPr>
        <w:t>Norm Adherence</w:t>
      </w:r>
      <w:r w:rsidRPr="007044CA">
        <w:rPr>
          <w:rFonts w:eastAsia="Times New Roman"/>
          <w:b/>
          <w:lang w:eastAsia="zh-CN"/>
        </w:rPr>
        <w:t>.</w:t>
      </w:r>
      <w:r>
        <w:rPr>
          <w:rFonts w:eastAsia="Times New Roman"/>
          <w:b/>
          <w:lang w:eastAsia="zh-CN"/>
        </w:rPr>
        <w:t xml:space="preserve"> </w:t>
      </w:r>
      <w:r>
        <w:rPr>
          <w:rFonts w:eastAsia="Times New Roman"/>
          <w:lang w:eastAsia="zh-CN"/>
        </w:rPr>
        <w:t xml:space="preserve">We included the negative affect towards fictional norm violations measure of </w:t>
      </w:r>
      <w:r w:rsidR="00B74193">
        <w:rPr>
          <w:rFonts w:eastAsia="Times New Roman"/>
          <w:lang w:eastAsia="zh-CN"/>
        </w:rPr>
        <w:t xml:space="preserve">Study </w:t>
      </w:r>
      <w:r w:rsidR="0036284D">
        <w:rPr>
          <w:rFonts w:eastAsia="Times New Roman"/>
          <w:lang w:eastAsia="zh-CN"/>
        </w:rPr>
        <w:t>S1</w:t>
      </w:r>
      <w:r>
        <w:rPr>
          <w:rFonts w:eastAsia="Times New Roman"/>
          <w:lang w:eastAsia="zh-CN"/>
        </w:rPr>
        <w:t xml:space="preserve">. </w:t>
      </w:r>
    </w:p>
    <w:p w14:paraId="6D6FA575" w14:textId="642D39FE" w:rsidR="00C0251F" w:rsidRPr="00A04017" w:rsidRDefault="00C0251F" w:rsidP="00C0251F">
      <w:pPr>
        <w:spacing w:line="480" w:lineRule="auto"/>
        <w:ind w:firstLine="720"/>
        <w:jc w:val="both"/>
        <w:rPr>
          <w:rFonts w:eastAsia="DengXian"/>
          <w:lang w:eastAsia="zh-CN"/>
        </w:rPr>
      </w:pPr>
      <w:r w:rsidRPr="007044CA">
        <w:rPr>
          <w:rFonts w:eastAsia="Times New Roman"/>
          <w:b/>
          <w:lang w:eastAsia="zh-CN"/>
        </w:rPr>
        <w:t>Manipulation</w:t>
      </w:r>
      <w:r>
        <w:rPr>
          <w:rFonts w:eastAsia="Times New Roman"/>
          <w:b/>
          <w:lang w:eastAsia="zh-CN"/>
        </w:rPr>
        <w:t xml:space="preserve"> C</w:t>
      </w:r>
      <w:r w:rsidRPr="007044CA">
        <w:rPr>
          <w:rFonts w:eastAsia="Times New Roman"/>
          <w:b/>
          <w:lang w:eastAsia="zh-CN"/>
        </w:rPr>
        <w:t>heck</w:t>
      </w:r>
      <w:r>
        <w:rPr>
          <w:rFonts w:eastAsia="Times New Roman"/>
          <w:b/>
          <w:lang w:eastAsia="zh-CN"/>
        </w:rPr>
        <w:t>s</w:t>
      </w:r>
      <w:r w:rsidRPr="007044CA">
        <w:rPr>
          <w:rFonts w:eastAsia="Times New Roman"/>
          <w:b/>
          <w:lang w:eastAsia="zh-CN"/>
        </w:rPr>
        <w:t xml:space="preserve">. </w:t>
      </w:r>
      <w:r w:rsidRPr="007044CA">
        <w:rPr>
          <w:rFonts w:eastAsia="DengXian"/>
          <w:lang w:eastAsia="zh-CN"/>
        </w:rPr>
        <w:t xml:space="preserve">The </w:t>
      </w:r>
      <w:r>
        <w:rPr>
          <w:rFonts w:eastAsia="DengXian"/>
          <w:lang w:eastAsia="zh-CN"/>
        </w:rPr>
        <w:t>deviancy aversion</w:t>
      </w:r>
      <w:r w:rsidRPr="007044CA">
        <w:rPr>
          <w:rFonts w:eastAsia="DengXian"/>
          <w:lang w:eastAsia="zh-CN"/>
        </w:rPr>
        <w:t xml:space="preserve"> manipulation</w:t>
      </w:r>
      <w:r>
        <w:rPr>
          <w:rFonts w:eastAsia="DengXian"/>
          <w:lang w:eastAsia="zh-CN"/>
        </w:rPr>
        <w:t xml:space="preserve"> check</w:t>
      </w:r>
      <w:r w:rsidRPr="007044CA">
        <w:rPr>
          <w:rFonts w:eastAsia="DengXian"/>
          <w:lang w:eastAsia="zh-CN"/>
        </w:rPr>
        <w:t xml:space="preserve"> </w:t>
      </w:r>
      <w:r>
        <w:rPr>
          <w:rFonts w:eastAsia="DengXian"/>
          <w:lang w:eastAsia="zh-CN"/>
        </w:rPr>
        <w:t xml:space="preserve">was as in </w:t>
      </w:r>
      <w:r w:rsidR="00B74193">
        <w:rPr>
          <w:rFonts w:eastAsia="DengXian"/>
          <w:lang w:eastAsia="zh-CN"/>
        </w:rPr>
        <w:t xml:space="preserve">Study </w:t>
      </w:r>
      <w:r w:rsidR="00D6115A">
        <w:rPr>
          <w:rFonts w:eastAsia="DengXian"/>
          <w:lang w:eastAsia="zh-CN"/>
        </w:rPr>
        <w:t>S1</w:t>
      </w:r>
      <w:r>
        <w:rPr>
          <w:rFonts w:eastAsia="DengXian"/>
          <w:lang w:eastAsia="zh-CN"/>
        </w:rPr>
        <w:t xml:space="preserve">. Aversion towards poor weather (over good weather) served as a further </w:t>
      </w:r>
      <w:r w:rsidRPr="007044CA">
        <w:rPr>
          <w:rFonts w:eastAsia="DengXian"/>
          <w:lang w:eastAsia="zh-CN"/>
        </w:rPr>
        <w:t xml:space="preserve">manipulation </w:t>
      </w:r>
      <w:r>
        <w:rPr>
          <w:rFonts w:eastAsia="DengXian"/>
          <w:lang w:eastAsia="zh-CN"/>
        </w:rPr>
        <w:t>check (see Verbatim Materials).</w:t>
      </w:r>
    </w:p>
    <w:p w14:paraId="6F2B64F3" w14:textId="4FA39FC2" w:rsidR="00C0251F" w:rsidRPr="007044CA" w:rsidRDefault="00C0251F" w:rsidP="00C0251F">
      <w:pPr>
        <w:spacing w:line="480" w:lineRule="auto"/>
        <w:ind w:firstLine="720"/>
        <w:jc w:val="both"/>
        <w:rPr>
          <w:rFonts w:eastAsia="Times New Roman"/>
          <w:lang w:eastAsia="zh-CN"/>
        </w:rPr>
      </w:pPr>
      <w:r w:rsidRPr="007044CA">
        <w:rPr>
          <w:rFonts w:eastAsia="DengXian"/>
          <w:b/>
          <w:lang w:eastAsia="zh-CN"/>
        </w:rPr>
        <w:lastRenderedPageBreak/>
        <w:t xml:space="preserve"> Attention </w:t>
      </w:r>
      <w:r>
        <w:rPr>
          <w:rFonts w:eastAsia="DengXian"/>
          <w:b/>
          <w:lang w:eastAsia="zh-CN"/>
        </w:rPr>
        <w:t>C</w:t>
      </w:r>
      <w:r w:rsidRPr="007044CA">
        <w:rPr>
          <w:rFonts w:eastAsia="DengXian"/>
          <w:b/>
          <w:lang w:eastAsia="zh-CN"/>
        </w:rPr>
        <w:t>heck</w:t>
      </w:r>
      <w:r>
        <w:rPr>
          <w:rFonts w:eastAsia="DengXian"/>
          <w:b/>
          <w:lang w:eastAsia="zh-CN"/>
        </w:rPr>
        <w:t>s</w:t>
      </w:r>
      <w:r w:rsidRPr="007044CA">
        <w:rPr>
          <w:rFonts w:eastAsia="DengXian"/>
          <w:b/>
          <w:lang w:eastAsia="zh-CN"/>
        </w:rPr>
        <w:t xml:space="preserve">. </w:t>
      </w:r>
      <w:r>
        <w:rPr>
          <w:rFonts w:eastAsia="DengXian"/>
          <w:lang w:eastAsia="zh-CN"/>
        </w:rPr>
        <w:t xml:space="preserve">Attention checks were as in </w:t>
      </w:r>
      <w:r w:rsidR="00B74193">
        <w:rPr>
          <w:rFonts w:eastAsia="DengXian"/>
          <w:lang w:eastAsia="zh-CN"/>
        </w:rPr>
        <w:t xml:space="preserve">Study </w:t>
      </w:r>
      <w:r w:rsidR="005C69D9">
        <w:rPr>
          <w:rFonts w:eastAsia="DengXian"/>
          <w:lang w:eastAsia="zh-CN"/>
        </w:rPr>
        <w:t>S1</w:t>
      </w:r>
      <w:r>
        <w:rPr>
          <w:rFonts w:eastAsia="DengXian"/>
          <w:lang w:eastAsia="zh-CN"/>
        </w:rPr>
        <w:t xml:space="preserve"> except adapted to Study </w:t>
      </w:r>
      <w:r w:rsidR="005E2329">
        <w:rPr>
          <w:rFonts w:eastAsia="DengXian"/>
          <w:lang w:eastAsia="zh-CN"/>
        </w:rPr>
        <w:t>S2</w:t>
      </w:r>
      <w:r>
        <w:rPr>
          <w:rFonts w:eastAsia="DengXian"/>
          <w:lang w:eastAsia="zh-CN"/>
        </w:rPr>
        <w:t>’s manipulation.</w:t>
      </w:r>
    </w:p>
    <w:p w14:paraId="6ECCAA65" w14:textId="77777777" w:rsidR="00C0251F" w:rsidRPr="007044CA" w:rsidRDefault="00C0251F" w:rsidP="00C0251F">
      <w:pPr>
        <w:spacing w:line="480" w:lineRule="auto"/>
        <w:ind w:firstLine="720"/>
        <w:jc w:val="both"/>
        <w:rPr>
          <w:rFonts w:eastAsia="DengXian"/>
          <w:lang w:eastAsia="zh-CN"/>
        </w:rPr>
      </w:pPr>
      <w:r w:rsidRPr="007044CA">
        <w:rPr>
          <w:rFonts w:eastAsia="Times New Roman"/>
          <w:b/>
          <w:lang w:eastAsia="zh-CN"/>
        </w:rPr>
        <w:t xml:space="preserve">Procedure. </w:t>
      </w:r>
      <w:r w:rsidRPr="007044CA">
        <w:rPr>
          <w:rFonts w:eastAsia="Times New Roman"/>
          <w:lang w:eastAsia="zh-CN"/>
        </w:rPr>
        <w:t>Participants completed the manipulation</w:t>
      </w:r>
      <w:r>
        <w:rPr>
          <w:rFonts w:eastAsia="Times New Roman"/>
          <w:lang w:eastAsia="zh-CN"/>
        </w:rPr>
        <w:t xml:space="preserve"> and then</w:t>
      </w:r>
      <w:r w:rsidRPr="007044CA">
        <w:rPr>
          <w:rFonts w:eastAsia="Times New Roman"/>
          <w:lang w:eastAsia="zh-CN"/>
        </w:rPr>
        <w:t xml:space="preserve"> the </w:t>
      </w:r>
      <w:r>
        <w:rPr>
          <w:rFonts w:eastAsia="Times New Roman"/>
          <w:lang w:eastAsia="zh-CN"/>
        </w:rPr>
        <w:t>norm adherence measure</w:t>
      </w:r>
      <w:r w:rsidRPr="007044CA">
        <w:rPr>
          <w:rFonts w:eastAsia="Times New Roman"/>
          <w:lang w:eastAsia="zh-CN"/>
        </w:rPr>
        <w:t xml:space="preserve">. </w:t>
      </w:r>
      <w:r>
        <w:rPr>
          <w:rFonts w:eastAsia="Times New Roman"/>
          <w:lang w:eastAsia="zh-CN"/>
        </w:rPr>
        <w:t>T</w:t>
      </w:r>
      <w:r w:rsidRPr="007044CA">
        <w:rPr>
          <w:rFonts w:eastAsia="Times New Roman"/>
          <w:lang w:eastAsia="zh-CN"/>
        </w:rPr>
        <w:t>hey</w:t>
      </w:r>
      <w:r>
        <w:rPr>
          <w:rFonts w:eastAsia="Times New Roman"/>
          <w:lang w:eastAsia="zh-CN"/>
        </w:rPr>
        <w:t xml:space="preserve"> then</w:t>
      </w:r>
      <w:r w:rsidRPr="007044CA">
        <w:rPr>
          <w:rFonts w:eastAsia="Times New Roman"/>
          <w:lang w:eastAsia="zh-CN"/>
        </w:rPr>
        <w:t xml:space="preserve"> completed the manipulation check</w:t>
      </w:r>
      <w:r>
        <w:rPr>
          <w:rFonts w:eastAsia="Times New Roman"/>
          <w:lang w:eastAsia="zh-CN"/>
        </w:rPr>
        <w:t xml:space="preserve">s, </w:t>
      </w:r>
      <w:r w:rsidRPr="007044CA">
        <w:rPr>
          <w:rFonts w:eastAsia="Times New Roman"/>
          <w:lang w:eastAsia="zh-CN"/>
        </w:rPr>
        <w:t>attention check</w:t>
      </w:r>
      <w:r>
        <w:rPr>
          <w:rFonts w:eastAsia="Times New Roman"/>
          <w:lang w:eastAsia="zh-CN"/>
        </w:rPr>
        <w:t xml:space="preserve">s, </w:t>
      </w:r>
      <w:r w:rsidRPr="007044CA">
        <w:rPr>
          <w:rFonts w:eastAsia="Times New Roman"/>
          <w:lang w:eastAsia="zh-CN"/>
        </w:rPr>
        <w:t>and demographics.</w:t>
      </w:r>
    </w:p>
    <w:p w14:paraId="3CB1E917" w14:textId="77777777" w:rsidR="00C0251F" w:rsidRPr="007044CA" w:rsidRDefault="00C0251F" w:rsidP="00C0251F">
      <w:pPr>
        <w:spacing w:line="480" w:lineRule="auto"/>
        <w:jc w:val="both"/>
        <w:rPr>
          <w:rFonts w:eastAsia="Times New Roman"/>
          <w:b/>
          <w:lang w:eastAsia="zh-CN"/>
        </w:rPr>
      </w:pPr>
      <w:r w:rsidRPr="007044CA">
        <w:rPr>
          <w:rFonts w:eastAsia="Times New Roman"/>
          <w:b/>
          <w:lang w:eastAsia="zh-CN"/>
        </w:rPr>
        <w:t>Results</w:t>
      </w:r>
    </w:p>
    <w:p w14:paraId="1047EFB3" w14:textId="6CEC9FE1" w:rsidR="00C0251F" w:rsidRDefault="00C0251F" w:rsidP="00C0251F">
      <w:pPr>
        <w:spacing w:line="480" w:lineRule="auto"/>
        <w:ind w:firstLine="480"/>
        <w:jc w:val="both"/>
        <w:rPr>
          <w:rFonts w:eastAsia="Times New Roman"/>
          <w:szCs w:val="20"/>
        </w:rPr>
      </w:pPr>
      <w:r>
        <w:rPr>
          <w:rFonts w:eastAsia="Times New Roman"/>
          <w:szCs w:val="20"/>
        </w:rPr>
        <w:t>The manipulation was successful. Deviancy aversion (versus negativity aversion)</w:t>
      </w:r>
      <w:r w:rsidRPr="007044CA">
        <w:rPr>
          <w:rFonts w:eastAsia="Times New Roman"/>
          <w:szCs w:val="20"/>
        </w:rPr>
        <w:t xml:space="preserve"> </w:t>
      </w:r>
      <w:r>
        <w:rPr>
          <w:rFonts w:eastAsia="Times New Roman"/>
          <w:szCs w:val="20"/>
        </w:rPr>
        <w:t>induced</w:t>
      </w:r>
      <w:r w:rsidRPr="007044CA">
        <w:rPr>
          <w:rFonts w:eastAsia="Times New Roman"/>
          <w:szCs w:val="20"/>
        </w:rPr>
        <w:t xml:space="preserve"> higher </w:t>
      </w:r>
      <w:r>
        <w:rPr>
          <w:rFonts w:eastAsia="Times New Roman"/>
          <w:szCs w:val="20"/>
        </w:rPr>
        <w:t xml:space="preserve">deviancy aversion, </w:t>
      </w:r>
      <w:r>
        <w:rPr>
          <w:rFonts w:eastAsia="Times New Roman"/>
          <w:i/>
          <w:szCs w:val="20"/>
        </w:rPr>
        <w:t xml:space="preserve">p </w:t>
      </w:r>
      <w:r>
        <w:rPr>
          <w:rFonts w:eastAsia="Times New Roman"/>
          <w:szCs w:val="20"/>
        </w:rPr>
        <w:t>&lt; .001</w:t>
      </w:r>
      <w:r w:rsidRPr="007044CA">
        <w:rPr>
          <w:rFonts w:eastAsia="Times New Roman"/>
          <w:szCs w:val="20"/>
        </w:rPr>
        <w:t xml:space="preserve">. </w:t>
      </w:r>
      <w:r>
        <w:rPr>
          <w:rFonts w:eastAsia="Times New Roman"/>
          <w:szCs w:val="20"/>
        </w:rPr>
        <w:t xml:space="preserve">Additionally, negativity aversion (versus deviancy aversion) induced higher negativity aversion, </w:t>
      </w:r>
      <w:r>
        <w:rPr>
          <w:rFonts w:eastAsia="Times New Roman"/>
          <w:i/>
          <w:szCs w:val="20"/>
        </w:rPr>
        <w:t xml:space="preserve">p </w:t>
      </w:r>
      <w:r>
        <w:rPr>
          <w:rFonts w:eastAsia="Times New Roman"/>
          <w:szCs w:val="20"/>
        </w:rPr>
        <w:t xml:space="preserve">= .003 (Table </w:t>
      </w:r>
      <w:r w:rsidR="00411E73">
        <w:rPr>
          <w:rFonts w:eastAsia="Times New Roman"/>
          <w:szCs w:val="20"/>
        </w:rPr>
        <w:t>S</w:t>
      </w:r>
      <w:r w:rsidR="00AB3961">
        <w:rPr>
          <w:rFonts w:eastAsia="Times New Roman"/>
          <w:szCs w:val="20"/>
        </w:rPr>
        <w:t>7</w:t>
      </w:r>
      <w:r>
        <w:rPr>
          <w:rFonts w:eastAsia="Times New Roman"/>
          <w:szCs w:val="20"/>
        </w:rPr>
        <w:t xml:space="preserve">). </w:t>
      </w:r>
    </w:p>
    <w:p w14:paraId="32C35F6C" w14:textId="3F1288D1" w:rsidR="00C0251F" w:rsidRPr="001C79A4" w:rsidRDefault="00C0251F" w:rsidP="00C0251F">
      <w:pPr>
        <w:spacing w:line="480" w:lineRule="auto"/>
        <w:ind w:firstLine="480"/>
        <w:jc w:val="both"/>
        <w:rPr>
          <w:rFonts w:eastAsia="Times New Roman"/>
          <w:szCs w:val="20"/>
        </w:rPr>
      </w:pPr>
      <w:r>
        <w:rPr>
          <w:rFonts w:eastAsia="Times New Roman"/>
          <w:szCs w:val="20"/>
        </w:rPr>
        <w:t xml:space="preserve"> Replicating </w:t>
      </w:r>
      <w:r w:rsidR="00B74193">
        <w:rPr>
          <w:rFonts w:eastAsia="Times New Roman"/>
          <w:szCs w:val="20"/>
        </w:rPr>
        <w:t xml:space="preserve">Study </w:t>
      </w:r>
      <w:r w:rsidR="009A50B8">
        <w:rPr>
          <w:rFonts w:eastAsia="Times New Roman"/>
          <w:szCs w:val="20"/>
        </w:rPr>
        <w:t>S1</w:t>
      </w:r>
      <w:r>
        <w:rPr>
          <w:rFonts w:eastAsia="Times New Roman"/>
          <w:szCs w:val="20"/>
        </w:rPr>
        <w:t>,</w:t>
      </w:r>
      <w:r w:rsidRPr="007044CA">
        <w:rPr>
          <w:rFonts w:eastAsia="Times New Roman"/>
          <w:szCs w:val="20"/>
        </w:rPr>
        <w:t xml:space="preserve"> GLM</w:t>
      </w:r>
      <w:r>
        <w:rPr>
          <w:rFonts w:eastAsia="Times New Roman"/>
          <w:szCs w:val="20"/>
        </w:rPr>
        <w:t>s</w:t>
      </w:r>
      <w:r w:rsidRPr="007044CA">
        <w:rPr>
          <w:rFonts w:eastAsia="Times New Roman"/>
          <w:szCs w:val="20"/>
        </w:rPr>
        <w:t xml:space="preserve"> </w:t>
      </w:r>
      <w:r>
        <w:rPr>
          <w:rFonts w:eastAsia="Times New Roman"/>
          <w:szCs w:val="20"/>
        </w:rPr>
        <w:t>found</w:t>
      </w:r>
      <w:r w:rsidRPr="007044CA">
        <w:rPr>
          <w:rFonts w:eastAsia="Times New Roman"/>
          <w:szCs w:val="20"/>
        </w:rPr>
        <w:t xml:space="preserve"> that in</w:t>
      </w:r>
      <w:r>
        <w:rPr>
          <w:rFonts w:eastAsia="Times New Roman"/>
          <w:szCs w:val="20"/>
        </w:rPr>
        <w:t>ducing deviancy aversion</w:t>
      </w:r>
      <w:r w:rsidRPr="007044CA">
        <w:rPr>
          <w:rFonts w:eastAsia="Times New Roman"/>
          <w:szCs w:val="20"/>
        </w:rPr>
        <w:t xml:space="preserve"> </w:t>
      </w:r>
      <w:r>
        <w:rPr>
          <w:rFonts w:eastAsia="Times New Roman"/>
          <w:szCs w:val="20"/>
        </w:rPr>
        <w:t xml:space="preserve">(versus negativity aversion) </w:t>
      </w:r>
      <w:r w:rsidRPr="007044CA">
        <w:rPr>
          <w:rFonts w:eastAsia="Times New Roman"/>
          <w:szCs w:val="20"/>
        </w:rPr>
        <w:t>heighten</w:t>
      </w:r>
      <w:r>
        <w:rPr>
          <w:rFonts w:eastAsia="Times New Roman"/>
          <w:szCs w:val="20"/>
        </w:rPr>
        <w:t>s</w:t>
      </w:r>
      <w:r w:rsidRPr="007044CA">
        <w:rPr>
          <w:rFonts w:eastAsia="Times New Roman"/>
          <w:szCs w:val="20"/>
        </w:rPr>
        <w:t xml:space="preserve"> participants’ negative affect towards fictional norm violations, </w:t>
      </w:r>
      <w:r w:rsidRPr="007044CA">
        <w:rPr>
          <w:rFonts w:eastAsia="Times New Roman"/>
          <w:i/>
          <w:szCs w:val="20"/>
        </w:rPr>
        <w:t xml:space="preserve">p </w:t>
      </w:r>
      <w:r w:rsidRPr="007044CA">
        <w:rPr>
          <w:rFonts w:eastAsia="Times New Roman"/>
          <w:szCs w:val="20"/>
        </w:rPr>
        <w:t>&lt; .001</w:t>
      </w:r>
      <w:r>
        <w:rPr>
          <w:rFonts w:eastAsia="Times New Roman"/>
          <w:szCs w:val="20"/>
        </w:rPr>
        <w:t xml:space="preserve">, </w:t>
      </w:r>
      <w:r w:rsidRPr="00111F7D">
        <w:rPr>
          <w:rFonts w:eastAsia="Times New Roman"/>
          <w:szCs w:val="20"/>
        </w:rPr>
        <w:t>η</w:t>
      </w:r>
      <w:r w:rsidRPr="00111F7D">
        <w:rPr>
          <w:rFonts w:eastAsia="Times New Roman"/>
          <w:szCs w:val="20"/>
          <w:vertAlign w:val="superscript"/>
        </w:rPr>
        <w:t xml:space="preserve">2 </w:t>
      </w:r>
      <w:r w:rsidRPr="00111F7D">
        <w:rPr>
          <w:rFonts w:eastAsia="Times New Roman"/>
          <w:szCs w:val="20"/>
        </w:rPr>
        <w:t xml:space="preserve">= .081 </w:t>
      </w:r>
      <w:r w:rsidRPr="007044CA">
        <w:rPr>
          <w:rFonts w:eastAsia="Times New Roman"/>
          <w:szCs w:val="20"/>
        </w:rPr>
        <w:t xml:space="preserve">(Table </w:t>
      </w:r>
      <w:r w:rsidR="00E83906">
        <w:rPr>
          <w:rFonts w:eastAsia="Times New Roman"/>
          <w:szCs w:val="20"/>
        </w:rPr>
        <w:t>S</w:t>
      </w:r>
      <w:r w:rsidR="00AB3961">
        <w:rPr>
          <w:rFonts w:eastAsia="Times New Roman"/>
          <w:szCs w:val="20"/>
        </w:rPr>
        <w:t>7</w:t>
      </w:r>
      <w:r>
        <w:rPr>
          <w:rFonts w:eastAsia="Times New Roman"/>
          <w:szCs w:val="20"/>
        </w:rPr>
        <w:t xml:space="preserve">; Figure </w:t>
      </w:r>
      <w:r w:rsidR="00DF0E9C">
        <w:rPr>
          <w:rFonts w:eastAsia="Times New Roman"/>
          <w:szCs w:val="20"/>
        </w:rPr>
        <w:t>S</w:t>
      </w:r>
      <w:r w:rsidR="0047198D">
        <w:rPr>
          <w:rFonts w:eastAsia="Times New Roman"/>
          <w:szCs w:val="20"/>
        </w:rPr>
        <w:t>4</w:t>
      </w:r>
      <w:r w:rsidRPr="007044CA">
        <w:rPr>
          <w:rFonts w:eastAsia="Times New Roman"/>
          <w:szCs w:val="20"/>
        </w:rPr>
        <w:t>).</w:t>
      </w:r>
      <w:r>
        <w:rPr>
          <w:rFonts w:eastAsia="Times New Roman"/>
          <w:szCs w:val="20"/>
        </w:rPr>
        <w:t xml:space="preserve"> Additionally, as in </w:t>
      </w:r>
      <w:r w:rsidR="00B74193">
        <w:rPr>
          <w:rFonts w:eastAsia="Times New Roman"/>
          <w:szCs w:val="20"/>
        </w:rPr>
        <w:t xml:space="preserve">Study </w:t>
      </w:r>
      <w:r w:rsidR="00B35190">
        <w:rPr>
          <w:rFonts w:eastAsia="Times New Roman"/>
          <w:szCs w:val="20"/>
        </w:rPr>
        <w:t>S1</w:t>
      </w:r>
      <w:r>
        <w:rPr>
          <w:rFonts w:eastAsia="Times New Roman"/>
          <w:szCs w:val="20"/>
        </w:rPr>
        <w:t xml:space="preserve">, and as expected, </w:t>
      </w:r>
      <w:r>
        <w:t xml:space="preserve">mediation analyses revealed that our effects occurred via heightened deviancy aversion, </w:t>
      </w:r>
      <w:r>
        <w:rPr>
          <w:i/>
          <w:iCs/>
        </w:rPr>
        <w:t xml:space="preserve">B </w:t>
      </w:r>
      <w:r>
        <w:t xml:space="preserve">= .29, 95% </w:t>
      </w:r>
      <w:proofErr w:type="gramStart"/>
      <w:r>
        <w:t>CI[</w:t>
      </w:r>
      <w:proofErr w:type="gramEnd"/>
      <w:r>
        <w:t xml:space="preserve">.08, .55] and not via negativity aversion, </w:t>
      </w:r>
      <w:r>
        <w:rPr>
          <w:i/>
          <w:iCs/>
        </w:rPr>
        <w:t xml:space="preserve">B </w:t>
      </w:r>
      <w:r>
        <w:t>= -.01, 95% CI[-.13, .08].</w:t>
      </w:r>
      <w:r w:rsidR="0082542C">
        <w:t xml:space="preserve"> </w:t>
      </w:r>
    </w:p>
    <w:p w14:paraId="0C309152" w14:textId="293C7885" w:rsidR="00C0251F" w:rsidRDefault="00C0251F" w:rsidP="00C0251F">
      <w:pPr>
        <w:rPr>
          <w:rFonts w:eastAsia="Times New Roman"/>
          <w:szCs w:val="20"/>
        </w:rPr>
      </w:pPr>
    </w:p>
    <w:p w14:paraId="105EB481" w14:textId="77777777" w:rsidR="00F57E5A" w:rsidRDefault="00F57E5A" w:rsidP="00C0251F">
      <w:pPr>
        <w:rPr>
          <w:rFonts w:eastAsia="Times New Roman"/>
          <w:szCs w:val="20"/>
        </w:rPr>
      </w:pPr>
    </w:p>
    <w:p w14:paraId="4A3A1F9C" w14:textId="77777777" w:rsidR="00F57E5A" w:rsidRDefault="00F57E5A" w:rsidP="00C0251F">
      <w:pPr>
        <w:rPr>
          <w:rFonts w:eastAsia="Times New Roman"/>
          <w:szCs w:val="20"/>
        </w:rPr>
      </w:pPr>
    </w:p>
    <w:p w14:paraId="2B50A668" w14:textId="77777777" w:rsidR="00F57E5A" w:rsidRDefault="00F57E5A" w:rsidP="00C0251F">
      <w:pPr>
        <w:rPr>
          <w:rFonts w:eastAsia="Times New Roman"/>
          <w:szCs w:val="20"/>
        </w:rPr>
      </w:pPr>
    </w:p>
    <w:p w14:paraId="0047867A" w14:textId="77777777" w:rsidR="00F57E5A" w:rsidRDefault="00F57E5A" w:rsidP="00C0251F">
      <w:pPr>
        <w:rPr>
          <w:rFonts w:eastAsia="Times New Roman"/>
          <w:szCs w:val="20"/>
        </w:rPr>
      </w:pPr>
    </w:p>
    <w:p w14:paraId="0DD2E944" w14:textId="77777777" w:rsidR="00B75EA1" w:rsidRDefault="00B75EA1">
      <w:pPr>
        <w:spacing w:after="160" w:line="259" w:lineRule="auto"/>
        <w:rPr>
          <w:rFonts w:eastAsia="Times New Roman"/>
          <w:szCs w:val="20"/>
        </w:rPr>
      </w:pPr>
      <w:r>
        <w:rPr>
          <w:rFonts w:eastAsia="Times New Roman"/>
          <w:szCs w:val="20"/>
        </w:rPr>
        <w:br w:type="page"/>
      </w:r>
    </w:p>
    <w:p w14:paraId="3E43BD86" w14:textId="3536303F" w:rsidR="00C0251F" w:rsidRPr="007044CA" w:rsidRDefault="00C0251F" w:rsidP="00C0251F">
      <w:pPr>
        <w:rPr>
          <w:rFonts w:eastAsia="Times New Roman"/>
          <w:szCs w:val="20"/>
        </w:rPr>
      </w:pPr>
      <w:r w:rsidRPr="007044CA">
        <w:rPr>
          <w:rFonts w:eastAsia="Times New Roman"/>
          <w:szCs w:val="20"/>
        </w:rPr>
        <w:lastRenderedPageBreak/>
        <w:t xml:space="preserve">Table </w:t>
      </w:r>
      <w:r w:rsidR="001376FA">
        <w:rPr>
          <w:rFonts w:eastAsia="Times New Roman"/>
          <w:szCs w:val="20"/>
        </w:rPr>
        <w:t>S</w:t>
      </w:r>
      <w:r w:rsidR="00AB3961">
        <w:rPr>
          <w:rFonts w:eastAsia="Times New Roman"/>
          <w:szCs w:val="20"/>
        </w:rPr>
        <w:t>7</w:t>
      </w:r>
    </w:p>
    <w:p w14:paraId="47CA8323" w14:textId="49BA8693" w:rsidR="00C0251F" w:rsidRDefault="00C0251F" w:rsidP="00C0251F">
      <w:pPr>
        <w:rPr>
          <w:rFonts w:eastAsia="Times New Roman"/>
          <w:i/>
          <w:szCs w:val="20"/>
        </w:rPr>
      </w:pPr>
      <w:r w:rsidRPr="007044CA">
        <w:rPr>
          <w:rFonts w:eastAsia="Times New Roman"/>
          <w:i/>
          <w:szCs w:val="20"/>
        </w:rPr>
        <w:t xml:space="preserve">Means, SDs, and Results of the Aversion Manipulation in Study </w:t>
      </w:r>
      <w:r w:rsidR="0060715C">
        <w:rPr>
          <w:rFonts w:eastAsia="Times New Roman"/>
          <w:i/>
          <w:szCs w:val="20"/>
        </w:rPr>
        <w:t>S2</w:t>
      </w:r>
      <w:r w:rsidRPr="007044CA">
        <w:rPr>
          <w:rFonts w:eastAsia="Times New Roman"/>
          <w:i/>
          <w:szCs w:val="20"/>
        </w:rPr>
        <w:t xml:space="preserve">. </w:t>
      </w:r>
    </w:p>
    <w:p w14:paraId="3F15BE2A" w14:textId="77777777" w:rsidR="00C0251F" w:rsidRDefault="00C0251F" w:rsidP="00C0251F">
      <w:pPr>
        <w:rPr>
          <w:rFonts w:eastAsia="Times New Roman"/>
          <w:i/>
          <w:szCs w:val="20"/>
        </w:rPr>
      </w:pPr>
    </w:p>
    <w:tbl>
      <w:tblPr>
        <w:tblpPr w:leftFromText="180" w:rightFromText="180" w:vertAnchor="page" w:horzAnchor="margin" w:tblpY="2238"/>
        <w:tblW w:w="10463" w:type="dxa"/>
        <w:tblLayout w:type="fixed"/>
        <w:tblLook w:val="0400" w:firstRow="0" w:lastRow="0" w:firstColumn="0" w:lastColumn="0" w:noHBand="0" w:noVBand="1"/>
      </w:tblPr>
      <w:tblGrid>
        <w:gridCol w:w="3458"/>
        <w:gridCol w:w="1852"/>
        <w:gridCol w:w="1890"/>
        <w:gridCol w:w="3263"/>
      </w:tblGrid>
      <w:tr w:rsidR="00F57E5A" w:rsidRPr="00D536FF" w14:paraId="6C84223A" w14:textId="77777777" w:rsidTr="00F57E5A">
        <w:trPr>
          <w:trHeight w:val="710"/>
        </w:trPr>
        <w:tc>
          <w:tcPr>
            <w:tcW w:w="3458" w:type="dxa"/>
            <w:tcBorders>
              <w:top w:val="single" w:sz="4" w:space="0" w:color="000000"/>
              <w:bottom w:val="single" w:sz="4" w:space="0" w:color="auto"/>
            </w:tcBorders>
            <w:shd w:val="clear" w:color="auto" w:fill="FFFFFF"/>
            <w:vAlign w:val="center"/>
          </w:tcPr>
          <w:p w14:paraId="608D80CD" w14:textId="77777777" w:rsidR="00F57E5A" w:rsidRPr="006A719C" w:rsidRDefault="00F57E5A" w:rsidP="00F57E5A">
            <w:pPr>
              <w:rPr>
                <w:rFonts w:eastAsia="Times New Roman"/>
                <w:sz w:val="20"/>
                <w:szCs w:val="20"/>
              </w:rPr>
            </w:pPr>
          </w:p>
          <w:p w14:paraId="2F932EC9" w14:textId="77777777" w:rsidR="00F57E5A" w:rsidRPr="006A719C" w:rsidRDefault="00F57E5A" w:rsidP="00F57E5A">
            <w:pPr>
              <w:rPr>
                <w:rFonts w:eastAsia="Times New Roman"/>
                <w:sz w:val="20"/>
                <w:szCs w:val="20"/>
              </w:rPr>
            </w:pPr>
          </w:p>
        </w:tc>
        <w:tc>
          <w:tcPr>
            <w:tcW w:w="1852" w:type="dxa"/>
            <w:tcBorders>
              <w:top w:val="single" w:sz="4" w:space="0" w:color="000000"/>
              <w:bottom w:val="single" w:sz="4" w:space="0" w:color="auto"/>
            </w:tcBorders>
            <w:shd w:val="clear" w:color="auto" w:fill="FFFFFF"/>
            <w:vAlign w:val="center"/>
          </w:tcPr>
          <w:p w14:paraId="3C76A797" w14:textId="77777777" w:rsidR="00F57E5A" w:rsidRPr="006A719C" w:rsidRDefault="00F57E5A" w:rsidP="00F57E5A">
            <w:pPr>
              <w:jc w:val="center"/>
              <w:rPr>
                <w:rFonts w:eastAsia="Times New Roman"/>
                <w:i/>
                <w:sz w:val="20"/>
                <w:szCs w:val="20"/>
              </w:rPr>
            </w:pPr>
            <w:r w:rsidRPr="006A719C">
              <w:rPr>
                <w:rFonts w:eastAsia="Times New Roman"/>
                <w:sz w:val="20"/>
                <w:szCs w:val="20"/>
              </w:rPr>
              <w:t>Deviancy Aversion</w:t>
            </w:r>
          </w:p>
        </w:tc>
        <w:tc>
          <w:tcPr>
            <w:tcW w:w="1890" w:type="dxa"/>
            <w:tcBorders>
              <w:top w:val="single" w:sz="4" w:space="0" w:color="000000"/>
              <w:bottom w:val="single" w:sz="4" w:space="0" w:color="auto"/>
            </w:tcBorders>
            <w:shd w:val="clear" w:color="auto" w:fill="FFFFFF"/>
            <w:vAlign w:val="center"/>
          </w:tcPr>
          <w:p w14:paraId="2F082C24" w14:textId="77777777" w:rsidR="00F57E5A" w:rsidRPr="006A719C" w:rsidRDefault="00F57E5A" w:rsidP="00F57E5A">
            <w:pPr>
              <w:jc w:val="center"/>
              <w:rPr>
                <w:rFonts w:eastAsia="Times New Roman"/>
                <w:sz w:val="20"/>
                <w:szCs w:val="20"/>
              </w:rPr>
            </w:pPr>
            <w:r>
              <w:rPr>
                <w:rFonts w:eastAsia="Times New Roman"/>
                <w:sz w:val="20"/>
                <w:szCs w:val="20"/>
              </w:rPr>
              <w:t>Negativity</w:t>
            </w:r>
            <w:r w:rsidRPr="006A719C">
              <w:rPr>
                <w:rFonts w:eastAsia="Times New Roman"/>
                <w:sz w:val="20"/>
                <w:szCs w:val="20"/>
              </w:rPr>
              <w:t xml:space="preserve"> Aversion</w:t>
            </w:r>
          </w:p>
        </w:tc>
        <w:tc>
          <w:tcPr>
            <w:tcW w:w="3263" w:type="dxa"/>
            <w:tcBorders>
              <w:top w:val="single" w:sz="4" w:space="0" w:color="000000"/>
              <w:bottom w:val="single" w:sz="4" w:space="0" w:color="auto"/>
            </w:tcBorders>
            <w:shd w:val="clear" w:color="auto" w:fill="FFFFFF"/>
            <w:vAlign w:val="center"/>
          </w:tcPr>
          <w:p w14:paraId="67922436" w14:textId="77777777" w:rsidR="00F57E5A" w:rsidRPr="006A719C" w:rsidRDefault="00F57E5A" w:rsidP="00F57E5A">
            <w:pPr>
              <w:jc w:val="center"/>
              <w:rPr>
                <w:rFonts w:eastAsia="Times New Roman"/>
                <w:sz w:val="20"/>
                <w:szCs w:val="20"/>
              </w:rPr>
            </w:pPr>
            <w:r w:rsidRPr="006A719C">
              <w:rPr>
                <w:rFonts w:eastAsia="Times New Roman"/>
                <w:sz w:val="20"/>
                <w:szCs w:val="20"/>
              </w:rPr>
              <w:t>Significance Test</w:t>
            </w:r>
          </w:p>
        </w:tc>
      </w:tr>
      <w:tr w:rsidR="00F57E5A" w:rsidRPr="00D536FF" w14:paraId="5219EACD" w14:textId="77777777" w:rsidTr="00F57E5A">
        <w:trPr>
          <w:trHeight w:val="426"/>
        </w:trPr>
        <w:tc>
          <w:tcPr>
            <w:tcW w:w="3458" w:type="dxa"/>
            <w:tcBorders>
              <w:top w:val="single" w:sz="4" w:space="0" w:color="auto"/>
              <w:bottom w:val="single" w:sz="4" w:space="0" w:color="auto"/>
            </w:tcBorders>
            <w:shd w:val="clear" w:color="auto" w:fill="auto"/>
            <w:vAlign w:val="center"/>
          </w:tcPr>
          <w:p w14:paraId="2421F984" w14:textId="77777777" w:rsidR="00F57E5A" w:rsidRPr="006A719C" w:rsidRDefault="00F57E5A" w:rsidP="00F57E5A">
            <w:pPr>
              <w:rPr>
                <w:rFonts w:eastAsia="Times New Roman"/>
                <w:sz w:val="20"/>
                <w:szCs w:val="20"/>
              </w:rPr>
            </w:pPr>
            <w:r w:rsidRPr="006A719C">
              <w:rPr>
                <w:rFonts w:eastAsia="Times New Roman"/>
                <w:b/>
                <w:sz w:val="20"/>
                <w:szCs w:val="20"/>
              </w:rPr>
              <w:t xml:space="preserve">Study </w:t>
            </w:r>
            <w:r>
              <w:rPr>
                <w:rFonts w:eastAsia="Times New Roman"/>
                <w:b/>
                <w:sz w:val="20"/>
                <w:szCs w:val="20"/>
              </w:rPr>
              <w:t>S2</w:t>
            </w:r>
          </w:p>
        </w:tc>
        <w:tc>
          <w:tcPr>
            <w:tcW w:w="1852" w:type="dxa"/>
            <w:tcBorders>
              <w:top w:val="single" w:sz="4" w:space="0" w:color="auto"/>
              <w:bottom w:val="single" w:sz="4" w:space="0" w:color="auto"/>
            </w:tcBorders>
            <w:shd w:val="clear" w:color="auto" w:fill="auto"/>
            <w:vAlign w:val="center"/>
          </w:tcPr>
          <w:p w14:paraId="466E0CE7" w14:textId="77777777" w:rsidR="00F57E5A" w:rsidRPr="006A719C" w:rsidRDefault="00F57E5A" w:rsidP="00F57E5A">
            <w:pPr>
              <w:jc w:val="center"/>
              <w:rPr>
                <w:rFonts w:eastAsia="Times New Roman"/>
                <w:sz w:val="20"/>
                <w:szCs w:val="20"/>
              </w:rPr>
            </w:pPr>
            <w:r w:rsidRPr="006A719C">
              <w:rPr>
                <w:rFonts w:eastAsia="Times New Roman"/>
                <w:i/>
                <w:sz w:val="20"/>
                <w:szCs w:val="20"/>
              </w:rPr>
              <w:t xml:space="preserve">n </w:t>
            </w:r>
            <w:r w:rsidRPr="006A719C">
              <w:rPr>
                <w:rFonts w:eastAsia="Times New Roman"/>
                <w:sz w:val="20"/>
                <w:szCs w:val="20"/>
              </w:rPr>
              <w:t>= 7</w:t>
            </w:r>
            <w:r>
              <w:rPr>
                <w:rFonts w:eastAsia="Times New Roman"/>
                <w:sz w:val="20"/>
                <w:szCs w:val="20"/>
              </w:rPr>
              <w:t>5</w:t>
            </w:r>
          </w:p>
        </w:tc>
        <w:tc>
          <w:tcPr>
            <w:tcW w:w="1890" w:type="dxa"/>
            <w:tcBorders>
              <w:top w:val="single" w:sz="4" w:space="0" w:color="auto"/>
              <w:bottom w:val="single" w:sz="4" w:space="0" w:color="auto"/>
            </w:tcBorders>
            <w:shd w:val="clear" w:color="auto" w:fill="auto"/>
            <w:vAlign w:val="center"/>
          </w:tcPr>
          <w:p w14:paraId="06F1CC7E" w14:textId="77777777" w:rsidR="00F57E5A" w:rsidRPr="006A719C" w:rsidRDefault="00F57E5A" w:rsidP="00F57E5A">
            <w:pPr>
              <w:jc w:val="center"/>
              <w:rPr>
                <w:rFonts w:eastAsia="Times New Roman"/>
                <w:sz w:val="20"/>
                <w:szCs w:val="20"/>
              </w:rPr>
            </w:pPr>
            <w:r w:rsidRPr="006A719C">
              <w:rPr>
                <w:rFonts w:eastAsia="Times New Roman"/>
                <w:i/>
                <w:sz w:val="20"/>
                <w:szCs w:val="20"/>
              </w:rPr>
              <w:t xml:space="preserve">n </w:t>
            </w:r>
            <w:r w:rsidRPr="006A719C">
              <w:rPr>
                <w:rFonts w:eastAsia="Times New Roman"/>
                <w:sz w:val="20"/>
                <w:szCs w:val="20"/>
              </w:rPr>
              <w:t xml:space="preserve">= </w:t>
            </w:r>
            <w:r>
              <w:rPr>
                <w:rFonts w:eastAsia="Times New Roman"/>
                <w:sz w:val="20"/>
                <w:szCs w:val="20"/>
              </w:rPr>
              <w:t>106</w:t>
            </w:r>
          </w:p>
        </w:tc>
        <w:tc>
          <w:tcPr>
            <w:tcW w:w="3263" w:type="dxa"/>
            <w:tcBorders>
              <w:top w:val="single" w:sz="4" w:space="0" w:color="auto"/>
              <w:left w:val="nil"/>
              <w:bottom w:val="single" w:sz="4" w:space="0" w:color="auto"/>
            </w:tcBorders>
            <w:shd w:val="clear" w:color="auto" w:fill="auto"/>
            <w:vAlign w:val="center"/>
          </w:tcPr>
          <w:p w14:paraId="053EB7B2" w14:textId="77777777" w:rsidR="00F57E5A" w:rsidRPr="006A719C" w:rsidRDefault="00F57E5A" w:rsidP="00F57E5A">
            <w:pPr>
              <w:rPr>
                <w:rFonts w:eastAsia="Times New Roman"/>
                <w:i/>
                <w:sz w:val="20"/>
                <w:szCs w:val="20"/>
              </w:rPr>
            </w:pPr>
          </w:p>
        </w:tc>
      </w:tr>
      <w:tr w:rsidR="00F57E5A" w:rsidRPr="00D536FF" w14:paraId="0E2EE4C8" w14:textId="77777777" w:rsidTr="00F57E5A">
        <w:trPr>
          <w:trHeight w:val="330"/>
        </w:trPr>
        <w:tc>
          <w:tcPr>
            <w:tcW w:w="3458" w:type="dxa"/>
            <w:tcBorders>
              <w:top w:val="single" w:sz="4" w:space="0" w:color="auto"/>
            </w:tcBorders>
            <w:shd w:val="clear" w:color="auto" w:fill="auto"/>
            <w:vAlign w:val="center"/>
          </w:tcPr>
          <w:p w14:paraId="47518AB9" w14:textId="77777777" w:rsidR="00F57E5A" w:rsidRPr="006A719C" w:rsidRDefault="00F57E5A" w:rsidP="00F57E5A">
            <w:pPr>
              <w:rPr>
                <w:rFonts w:eastAsia="Times New Roman"/>
                <w:sz w:val="20"/>
                <w:szCs w:val="20"/>
              </w:rPr>
            </w:pPr>
            <w:r w:rsidRPr="006A719C">
              <w:rPr>
                <w:rFonts w:eastAsia="Times New Roman"/>
                <w:sz w:val="20"/>
                <w:szCs w:val="20"/>
              </w:rPr>
              <w:t>Manipulation Check</w:t>
            </w:r>
          </w:p>
        </w:tc>
        <w:tc>
          <w:tcPr>
            <w:tcW w:w="1852" w:type="dxa"/>
            <w:tcBorders>
              <w:top w:val="single" w:sz="4" w:space="0" w:color="auto"/>
            </w:tcBorders>
            <w:shd w:val="clear" w:color="auto" w:fill="auto"/>
            <w:vAlign w:val="center"/>
          </w:tcPr>
          <w:p w14:paraId="1E43A34A" w14:textId="77777777" w:rsidR="00F57E5A" w:rsidRPr="006A719C" w:rsidRDefault="00F57E5A" w:rsidP="00F57E5A">
            <w:pPr>
              <w:jc w:val="center"/>
              <w:rPr>
                <w:rFonts w:eastAsia="Times New Roman"/>
                <w:sz w:val="20"/>
                <w:szCs w:val="20"/>
              </w:rPr>
            </w:pPr>
            <w:r w:rsidRPr="006A719C">
              <w:rPr>
                <w:rFonts w:eastAsia="Times New Roman"/>
                <w:i/>
                <w:sz w:val="20"/>
                <w:szCs w:val="20"/>
              </w:rPr>
              <w:t>M</w:t>
            </w:r>
            <w:r w:rsidRPr="006A719C">
              <w:rPr>
                <w:rFonts w:eastAsia="Times New Roman"/>
                <w:sz w:val="20"/>
                <w:szCs w:val="20"/>
              </w:rPr>
              <w:t xml:space="preserve">, </w:t>
            </w:r>
            <w:r w:rsidRPr="006A719C">
              <w:rPr>
                <w:rFonts w:eastAsia="Times New Roman"/>
                <w:i/>
                <w:sz w:val="20"/>
                <w:szCs w:val="20"/>
              </w:rPr>
              <w:t>SD</w:t>
            </w:r>
          </w:p>
        </w:tc>
        <w:tc>
          <w:tcPr>
            <w:tcW w:w="1890" w:type="dxa"/>
            <w:tcBorders>
              <w:top w:val="single" w:sz="4" w:space="0" w:color="auto"/>
            </w:tcBorders>
            <w:shd w:val="clear" w:color="auto" w:fill="auto"/>
            <w:vAlign w:val="center"/>
          </w:tcPr>
          <w:p w14:paraId="23DC1DAF" w14:textId="77777777" w:rsidR="00F57E5A" w:rsidRPr="006A719C" w:rsidRDefault="00F57E5A" w:rsidP="00F57E5A">
            <w:pPr>
              <w:jc w:val="center"/>
              <w:rPr>
                <w:rFonts w:eastAsia="Times New Roman"/>
                <w:sz w:val="20"/>
                <w:szCs w:val="20"/>
              </w:rPr>
            </w:pPr>
            <w:r w:rsidRPr="006A719C">
              <w:rPr>
                <w:rFonts w:eastAsia="Times New Roman"/>
                <w:i/>
                <w:sz w:val="20"/>
                <w:szCs w:val="20"/>
              </w:rPr>
              <w:t>M</w:t>
            </w:r>
            <w:r w:rsidRPr="006A719C">
              <w:rPr>
                <w:rFonts w:eastAsia="Times New Roman"/>
                <w:sz w:val="20"/>
                <w:szCs w:val="20"/>
              </w:rPr>
              <w:t xml:space="preserve">, </w:t>
            </w:r>
            <w:r w:rsidRPr="006A719C">
              <w:rPr>
                <w:rFonts w:eastAsia="Times New Roman"/>
                <w:i/>
                <w:sz w:val="20"/>
                <w:szCs w:val="20"/>
              </w:rPr>
              <w:t>SD</w:t>
            </w:r>
          </w:p>
        </w:tc>
        <w:tc>
          <w:tcPr>
            <w:tcW w:w="3263" w:type="dxa"/>
            <w:tcBorders>
              <w:top w:val="single" w:sz="4" w:space="0" w:color="auto"/>
              <w:left w:val="nil"/>
            </w:tcBorders>
            <w:shd w:val="clear" w:color="auto" w:fill="auto"/>
            <w:vAlign w:val="center"/>
          </w:tcPr>
          <w:p w14:paraId="4E6B8735" w14:textId="77777777" w:rsidR="00F57E5A" w:rsidRPr="006A719C" w:rsidRDefault="00F57E5A" w:rsidP="00F57E5A">
            <w:pPr>
              <w:jc w:val="center"/>
              <w:rPr>
                <w:rFonts w:eastAsia="Times New Roman"/>
                <w:i/>
                <w:sz w:val="20"/>
                <w:szCs w:val="20"/>
              </w:rPr>
            </w:pPr>
          </w:p>
        </w:tc>
      </w:tr>
      <w:tr w:rsidR="00F57E5A" w:rsidRPr="00D536FF" w14:paraId="6E8D02E2" w14:textId="77777777" w:rsidTr="00F57E5A">
        <w:trPr>
          <w:trHeight w:val="440"/>
        </w:trPr>
        <w:tc>
          <w:tcPr>
            <w:tcW w:w="3458" w:type="dxa"/>
            <w:shd w:val="clear" w:color="auto" w:fill="auto"/>
            <w:vAlign w:val="center"/>
          </w:tcPr>
          <w:p w14:paraId="380B8F0B" w14:textId="77777777" w:rsidR="00F57E5A" w:rsidRPr="006A719C" w:rsidRDefault="00F57E5A" w:rsidP="00F57E5A">
            <w:pPr>
              <w:jc w:val="center"/>
              <w:rPr>
                <w:rFonts w:eastAsia="Times New Roman"/>
                <w:sz w:val="20"/>
                <w:szCs w:val="20"/>
              </w:rPr>
            </w:pPr>
            <w:r w:rsidRPr="007044CA">
              <w:rPr>
                <w:rFonts w:eastAsia="Times New Roman"/>
                <w:sz w:val="20"/>
                <w:szCs w:val="20"/>
                <w:lang w:eastAsia="zh-CN"/>
              </w:rPr>
              <w:t>Deviancy Aversion</w:t>
            </w:r>
          </w:p>
        </w:tc>
        <w:tc>
          <w:tcPr>
            <w:tcW w:w="1852" w:type="dxa"/>
            <w:shd w:val="clear" w:color="auto" w:fill="auto"/>
            <w:vAlign w:val="center"/>
          </w:tcPr>
          <w:p w14:paraId="2E7B704A" w14:textId="77777777" w:rsidR="00F57E5A" w:rsidRPr="006A719C" w:rsidRDefault="00F57E5A" w:rsidP="00F57E5A">
            <w:pPr>
              <w:jc w:val="center"/>
              <w:rPr>
                <w:rFonts w:eastAsia="Times New Roman"/>
                <w:sz w:val="20"/>
                <w:szCs w:val="20"/>
              </w:rPr>
            </w:pPr>
            <w:r w:rsidRPr="007044CA">
              <w:rPr>
                <w:rFonts w:eastAsia="Times New Roman"/>
                <w:sz w:val="20"/>
                <w:szCs w:val="20"/>
                <w:lang w:eastAsia="zh-CN"/>
              </w:rPr>
              <w:t>2.</w:t>
            </w:r>
            <w:r>
              <w:rPr>
                <w:rFonts w:eastAsia="Times New Roman"/>
                <w:sz w:val="20"/>
                <w:szCs w:val="20"/>
                <w:lang w:eastAsia="zh-CN"/>
              </w:rPr>
              <w:t>83</w:t>
            </w:r>
            <w:r w:rsidRPr="007044CA">
              <w:rPr>
                <w:rFonts w:eastAsia="Times New Roman"/>
                <w:sz w:val="20"/>
                <w:szCs w:val="20"/>
                <w:lang w:eastAsia="zh-CN"/>
              </w:rPr>
              <w:t xml:space="preserve">, </w:t>
            </w:r>
            <w:r>
              <w:rPr>
                <w:rFonts w:eastAsia="Times New Roman"/>
                <w:sz w:val="20"/>
                <w:szCs w:val="20"/>
                <w:lang w:eastAsia="zh-CN"/>
              </w:rPr>
              <w:t>1.67</w:t>
            </w:r>
          </w:p>
        </w:tc>
        <w:tc>
          <w:tcPr>
            <w:tcW w:w="1890" w:type="dxa"/>
            <w:shd w:val="clear" w:color="auto" w:fill="auto"/>
            <w:vAlign w:val="center"/>
          </w:tcPr>
          <w:p w14:paraId="508F91CF" w14:textId="77777777" w:rsidR="00F57E5A" w:rsidRPr="006A719C" w:rsidRDefault="00F57E5A" w:rsidP="00F57E5A">
            <w:pPr>
              <w:jc w:val="center"/>
              <w:rPr>
                <w:rFonts w:eastAsia="Times New Roman"/>
                <w:sz w:val="20"/>
                <w:szCs w:val="20"/>
              </w:rPr>
            </w:pPr>
            <w:r>
              <w:rPr>
                <w:rFonts w:eastAsia="Times New Roman"/>
                <w:sz w:val="20"/>
                <w:szCs w:val="20"/>
                <w:lang w:eastAsia="zh-CN"/>
              </w:rPr>
              <w:t>1</w:t>
            </w:r>
            <w:r w:rsidRPr="007044CA">
              <w:rPr>
                <w:rFonts w:eastAsia="Times New Roman"/>
                <w:sz w:val="20"/>
                <w:szCs w:val="20"/>
                <w:lang w:eastAsia="zh-CN"/>
              </w:rPr>
              <w:t>.</w:t>
            </w:r>
            <w:r>
              <w:rPr>
                <w:rFonts w:eastAsia="Times New Roman"/>
                <w:sz w:val="20"/>
                <w:szCs w:val="20"/>
                <w:lang w:eastAsia="zh-CN"/>
              </w:rPr>
              <w:t>23</w:t>
            </w:r>
            <w:r w:rsidRPr="007044CA">
              <w:rPr>
                <w:rFonts w:eastAsia="Times New Roman"/>
                <w:sz w:val="20"/>
                <w:szCs w:val="20"/>
                <w:lang w:eastAsia="zh-CN"/>
              </w:rPr>
              <w:t>, 1.</w:t>
            </w:r>
            <w:r>
              <w:rPr>
                <w:rFonts w:eastAsia="Times New Roman"/>
                <w:sz w:val="20"/>
                <w:szCs w:val="20"/>
                <w:lang w:eastAsia="zh-CN"/>
              </w:rPr>
              <w:t>73</w:t>
            </w:r>
          </w:p>
        </w:tc>
        <w:tc>
          <w:tcPr>
            <w:tcW w:w="3263" w:type="dxa"/>
            <w:tcBorders>
              <w:left w:val="nil"/>
            </w:tcBorders>
            <w:shd w:val="clear" w:color="auto" w:fill="auto"/>
            <w:vAlign w:val="center"/>
          </w:tcPr>
          <w:p w14:paraId="2ED9A49E" w14:textId="77777777" w:rsidR="00F57E5A" w:rsidRPr="006A719C" w:rsidRDefault="00F57E5A" w:rsidP="00F57E5A">
            <w:pPr>
              <w:jc w:val="center"/>
              <w:rPr>
                <w:rFonts w:eastAsia="Times New Roman"/>
                <w:i/>
                <w:sz w:val="20"/>
                <w:szCs w:val="20"/>
              </w:rPr>
            </w:pPr>
            <w:proofErr w:type="gramStart"/>
            <w:r w:rsidRPr="007044CA">
              <w:rPr>
                <w:rFonts w:eastAsia="DengXian"/>
                <w:i/>
                <w:sz w:val="20"/>
                <w:szCs w:val="20"/>
                <w:lang w:eastAsia="zh-CN"/>
              </w:rPr>
              <w:t>F</w:t>
            </w:r>
            <w:r w:rsidRPr="007044CA">
              <w:rPr>
                <w:rFonts w:eastAsia="DengXian"/>
                <w:sz w:val="20"/>
                <w:szCs w:val="20"/>
                <w:lang w:eastAsia="zh-CN"/>
              </w:rPr>
              <w:t>(</w:t>
            </w:r>
            <w:proofErr w:type="gramEnd"/>
            <w:r w:rsidRPr="007044CA">
              <w:rPr>
                <w:rFonts w:eastAsia="DengXian"/>
                <w:sz w:val="20"/>
                <w:szCs w:val="20"/>
                <w:lang w:eastAsia="zh-CN"/>
              </w:rPr>
              <w:t xml:space="preserve">1, </w:t>
            </w:r>
            <w:r>
              <w:rPr>
                <w:rFonts w:eastAsia="DengXian"/>
                <w:sz w:val="20"/>
                <w:szCs w:val="20"/>
                <w:lang w:eastAsia="zh-CN"/>
              </w:rPr>
              <w:t>179</w:t>
            </w:r>
            <w:r w:rsidRPr="007044CA">
              <w:rPr>
                <w:rFonts w:eastAsia="DengXian"/>
                <w:sz w:val="20"/>
                <w:szCs w:val="20"/>
                <w:lang w:eastAsia="zh-CN"/>
              </w:rPr>
              <w:t>) = 3</w:t>
            </w:r>
            <w:r>
              <w:rPr>
                <w:rFonts w:eastAsia="DengXian"/>
                <w:sz w:val="20"/>
                <w:szCs w:val="20"/>
                <w:lang w:eastAsia="zh-CN"/>
              </w:rPr>
              <w:t>9</w:t>
            </w:r>
            <w:r w:rsidRPr="007044CA">
              <w:rPr>
                <w:rFonts w:eastAsia="DengXian"/>
                <w:sz w:val="20"/>
                <w:szCs w:val="20"/>
                <w:lang w:eastAsia="zh-CN"/>
              </w:rPr>
              <w:t>.</w:t>
            </w:r>
            <w:r>
              <w:rPr>
                <w:rFonts w:eastAsia="DengXian"/>
                <w:sz w:val="20"/>
                <w:szCs w:val="20"/>
                <w:lang w:eastAsia="zh-CN"/>
              </w:rPr>
              <w:t>18</w:t>
            </w:r>
            <w:r w:rsidRPr="007044CA">
              <w:rPr>
                <w:rFonts w:eastAsia="DengXian"/>
                <w:sz w:val="20"/>
                <w:szCs w:val="20"/>
                <w:lang w:eastAsia="zh-CN"/>
              </w:rPr>
              <w:t xml:space="preserve">, </w:t>
            </w:r>
            <w:r w:rsidRPr="007044CA">
              <w:rPr>
                <w:rFonts w:eastAsia="DengXian"/>
                <w:i/>
                <w:sz w:val="20"/>
                <w:szCs w:val="20"/>
                <w:lang w:eastAsia="zh-CN"/>
              </w:rPr>
              <w:t xml:space="preserve">p </w:t>
            </w:r>
            <w:r w:rsidRPr="007044CA">
              <w:rPr>
                <w:rFonts w:eastAsia="DengXian"/>
                <w:sz w:val="20"/>
                <w:szCs w:val="20"/>
                <w:lang w:eastAsia="zh-CN"/>
              </w:rPr>
              <w:t>&lt; .001, η</w:t>
            </w:r>
            <w:r w:rsidRPr="007044CA">
              <w:rPr>
                <w:rFonts w:eastAsia="DengXian"/>
                <w:sz w:val="20"/>
                <w:szCs w:val="20"/>
                <w:vertAlign w:val="superscript"/>
                <w:lang w:eastAsia="zh-CN"/>
              </w:rPr>
              <w:t xml:space="preserve">2 </w:t>
            </w:r>
            <w:r w:rsidRPr="007044CA">
              <w:rPr>
                <w:rFonts w:eastAsia="DengXian"/>
                <w:sz w:val="20"/>
                <w:szCs w:val="20"/>
                <w:lang w:eastAsia="zh-CN"/>
              </w:rPr>
              <w:t>= .1</w:t>
            </w:r>
            <w:r>
              <w:rPr>
                <w:rFonts w:eastAsia="DengXian"/>
                <w:sz w:val="20"/>
                <w:szCs w:val="20"/>
                <w:lang w:eastAsia="zh-CN"/>
              </w:rPr>
              <w:t>80</w:t>
            </w:r>
          </w:p>
        </w:tc>
      </w:tr>
      <w:tr w:rsidR="00F57E5A" w:rsidRPr="00D536FF" w14:paraId="6FEE5816" w14:textId="77777777" w:rsidTr="00F57E5A">
        <w:trPr>
          <w:trHeight w:val="440"/>
        </w:trPr>
        <w:tc>
          <w:tcPr>
            <w:tcW w:w="3458" w:type="dxa"/>
            <w:shd w:val="clear" w:color="auto" w:fill="auto"/>
            <w:vAlign w:val="center"/>
          </w:tcPr>
          <w:p w14:paraId="32B48EDD" w14:textId="77777777" w:rsidR="00F57E5A" w:rsidRPr="006A719C" w:rsidRDefault="00F57E5A" w:rsidP="00F57E5A">
            <w:pPr>
              <w:jc w:val="center"/>
              <w:rPr>
                <w:rFonts w:eastAsia="Times New Roman"/>
                <w:sz w:val="20"/>
                <w:szCs w:val="20"/>
              </w:rPr>
            </w:pPr>
            <w:r>
              <w:rPr>
                <w:rFonts w:eastAsia="Times New Roman"/>
                <w:sz w:val="20"/>
                <w:szCs w:val="20"/>
                <w:lang w:eastAsia="zh-CN"/>
              </w:rPr>
              <w:t>Negativity Aversion</w:t>
            </w:r>
          </w:p>
        </w:tc>
        <w:tc>
          <w:tcPr>
            <w:tcW w:w="1852" w:type="dxa"/>
            <w:shd w:val="clear" w:color="auto" w:fill="auto"/>
            <w:vAlign w:val="center"/>
          </w:tcPr>
          <w:p w14:paraId="53D98A60" w14:textId="77777777" w:rsidR="00F57E5A" w:rsidRPr="006A719C" w:rsidRDefault="00F57E5A" w:rsidP="00F57E5A">
            <w:pPr>
              <w:jc w:val="center"/>
              <w:rPr>
                <w:rFonts w:eastAsia="Times New Roman"/>
                <w:sz w:val="20"/>
                <w:szCs w:val="20"/>
              </w:rPr>
            </w:pPr>
            <w:r>
              <w:rPr>
                <w:rFonts w:eastAsia="Times New Roman"/>
                <w:sz w:val="20"/>
                <w:szCs w:val="20"/>
                <w:lang w:eastAsia="zh-CN"/>
              </w:rPr>
              <w:t>0</w:t>
            </w:r>
            <w:r w:rsidRPr="007044CA">
              <w:rPr>
                <w:rFonts w:eastAsia="Times New Roman"/>
                <w:sz w:val="20"/>
                <w:szCs w:val="20"/>
                <w:lang w:eastAsia="zh-CN"/>
              </w:rPr>
              <w:t>.</w:t>
            </w:r>
            <w:r>
              <w:rPr>
                <w:rFonts w:eastAsia="Times New Roman"/>
                <w:sz w:val="20"/>
                <w:szCs w:val="20"/>
                <w:lang w:eastAsia="zh-CN"/>
              </w:rPr>
              <w:t>54</w:t>
            </w:r>
            <w:r w:rsidRPr="007044CA">
              <w:rPr>
                <w:rFonts w:eastAsia="Times New Roman"/>
                <w:sz w:val="20"/>
                <w:szCs w:val="20"/>
                <w:lang w:eastAsia="zh-CN"/>
              </w:rPr>
              <w:t xml:space="preserve">, </w:t>
            </w:r>
            <w:r>
              <w:rPr>
                <w:rFonts w:eastAsia="Times New Roman"/>
                <w:sz w:val="20"/>
                <w:szCs w:val="20"/>
                <w:lang w:eastAsia="zh-CN"/>
              </w:rPr>
              <w:t>0.62</w:t>
            </w:r>
          </w:p>
        </w:tc>
        <w:tc>
          <w:tcPr>
            <w:tcW w:w="1890" w:type="dxa"/>
            <w:shd w:val="clear" w:color="auto" w:fill="auto"/>
            <w:vAlign w:val="center"/>
          </w:tcPr>
          <w:p w14:paraId="5B9E79C3" w14:textId="77777777" w:rsidR="00F57E5A" w:rsidRPr="006A719C" w:rsidRDefault="00F57E5A" w:rsidP="00F57E5A">
            <w:pPr>
              <w:jc w:val="center"/>
              <w:rPr>
                <w:rFonts w:eastAsia="Times New Roman"/>
                <w:sz w:val="20"/>
                <w:szCs w:val="20"/>
              </w:rPr>
            </w:pPr>
            <w:r>
              <w:rPr>
                <w:rFonts w:eastAsia="Times New Roman"/>
                <w:sz w:val="20"/>
                <w:szCs w:val="20"/>
                <w:lang w:eastAsia="zh-CN"/>
              </w:rPr>
              <w:t>0</w:t>
            </w:r>
            <w:r w:rsidRPr="007044CA">
              <w:rPr>
                <w:rFonts w:eastAsia="Times New Roman"/>
                <w:sz w:val="20"/>
                <w:szCs w:val="20"/>
                <w:lang w:eastAsia="zh-CN"/>
              </w:rPr>
              <w:t>.</w:t>
            </w:r>
            <w:r>
              <w:rPr>
                <w:rFonts w:eastAsia="Times New Roman"/>
                <w:sz w:val="20"/>
                <w:szCs w:val="20"/>
                <w:lang w:eastAsia="zh-CN"/>
              </w:rPr>
              <w:t>88</w:t>
            </w:r>
            <w:r w:rsidRPr="007044CA">
              <w:rPr>
                <w:rFonts w:eastAsia="Times New Roman"/>
                <w:sz w:val="20"/>
                <w:szCs w:val="20"/>
                <w:lang w:eastAsia="zh-CN"/>
              </w:rPr>
              <w:t xml:space="preserve">, </w:t>
            </w:r>
            <w:r>
              <w:rPr>
                <w:rFonts w:eastAsia="Times New Roman"/>
                <w:sz w:val="20"/>
                <w:szCs w:val="20"/>
                <w:lang w:eastAsia="zh-CN"/>
              </w:rPr>
              <w:t>0</w:t>
            </w:r>
            <w:r w:rsidRPr="007044CA">
              <w:rPr>
                <w:rFonts w:eastAsia="Times New Roman"/>
                <w:sz w:val="20"/>
                <w:szCs w:val="20"/>
                <w:lang w:eastAsia="zh-CN"/>
              </w:rPr>
              <w:t>.</w:t>
            </w:r>
            <w:r>
              <w:rPr>
                <w:rFonts w:eastAsia="Times New Roman"/>
                <w:sz w:val="20"/>
                <w:szCs w:val="20"/>
                <w:lang w:eastAsia="zh-CN"/>
              </w:rPr>
              <w:t>85</w:t>
            </w:r>
          </w:p>
        </w:tc>
        <w:tc>
          <w:tcPr>
            <w:tcW w:w="3263" w:type="dxa"/>
            <w:tcBorders>
              <w:left w:val="nil"/>
            </w:tcBorders>
            <w:shd w:val="clear" w:color="auto" w:fill="auto"/>
            <w:vAlign w:val="center"/>
          </w:tcPr>
          <w:p w14:paraId="69B21577" w14:textId="77777777" w:rsidR="00F57E5A" w:rsidRPr="006A719C" w:rsidRDefault="00F57E5A" w:rsidP="00F57E5A">
            <w:pPr>
              <w:jc w:val="center"/>
              <w:rPr>
                <w:i/>
                <w:sz w:val="20"/>
                <w:szCs w:val="20"/>
              </w:rPr>
            </w:pPr>
            <w:proofErr w:type="gramStart"/>
            <w:r w:rsidRPr="007044CA">
              <w:rPr>
                <w:rFonts w:eastAsia="DengXian"/>
                <w:i/>
                <w:sz w:val="20"/>
                <w:szCs w:val="20"/>
                <w:lang w:eastAsia="zh-CN"/>
              </w:rPr>
              <w:t>F</w:t>
            </w:r>
            <w:r w:rsidRPr="007044CA">
              <w:rPr>
                <w:rFonts w:eastAsia="DengXian"/>
                <w:sz w:val="20"/>
                <w:szCs w:val="20"/>
                <w:lang w:eastAsia="zh-CN"/>
              </w:rPr>
              <w:t>(</w:t>
            </w:r>
            <w:proofErr w:type="gramEnd"/>
            <w:r w:rsidRPr="007044CA">
              <w:rPr>
                <w:rFonts w:eastAsia="DengXian"/>
                <w:sz w:val="20"/>
                <w:szCs w:val="20"/>
                <w:lang w:eastAsia="zh-CN"/>
              </w:rPr>
              <w:t xml:space="preserve">1, </w:t>
            </w:r>
            <w:r>
              <w:rPr>
                <w:rFonts w:eastAsia="DengXian"/>
                <w:sz w:val="20"/>
                <w:szCs w:val="20"/>
                <w:lang w:eastAsia="zh-CN"/>
              </w:rPr>
              <w:t>179</w:t>
            </w:r>
            <w:r w:rsidRPr="007044CA">
              <w:rPr>
                <w:rFonts w:eastAsia="DengXian"/>
                <w:sz w:val="20"/>
                <w:szCs w:val="20"/>
                <w:lang w:eastAsia="zh-CN"/>
              </w:rPr>
              <w:t xml:space="preserve">) = </w:t>
            </w:r>
            <w:r>
              <w:rPr>
                <w:rFonts w:eastAsia="DengXian"/>
                <w:sz w:val="20"/>
                <w:szCs w:val="20"/>
                <w:lang w:eastAsia="zh-CN"/>
              </w:rPr>
              <w:t>8</w:t>
            </w:r>
            <w:r w:rsidRPr="007044CA">
              <w:rPr>
                <w:rFonts w:eastAsia="DengXian"/>
                <w:sz w:val="20"/>
                <w:szCs w:val="20"/>
                <w:lang w:eastAsia="zh-CN"/>
              </w:rPr>
              <w:t>.</w:t>
            </w:r>
            <w:r>
              <w:rPr>
                <w:rFonts w:eastAsia="DengXian"/>
                <w:sz w:val="20"/>
                <w:szCs w:val="20"/>
                <w:lang w:eastAsia="zh-CN"/>
              </w:rPr>
              <w:t>85</w:t>
            </w:r>
            <w:r w:rsidRPr="007044CA">
              <w:rPr>
                <w:rFonts w:eastAsia="DengXian"/>
                <w:sz w:val="20"/>
                <w:szCs w:val="20"/>
                <w:lang w:eastAsia="zh-CN"/>
              </w:rPr>
              <w:t xml:space="preserve">, </w:t>
            </w:r>
            <w:r w:rsidRPr="007044CA">
              <w:rPr>
                <w:rFonts w:eastAsia="DengXian"/>
                <w:i/>
                <w:sz w:val="20"/>
                <w:szCs w:val="20"/>
                <w:lang w:eastAsia="zh-CN"/>
              </w:rPr>
              <w:t xml:space="preserve">p </w:t>
            </w:r>
            <w:r>
              <w:rPr>
                <w:rFonts w:eastAsia="DengXian"/>
                <w:sz w:val="20"/>
                <w:szCs w:val="20"/>
                <w:lang w:eastAsia="zh-CN"/>
              </w:rPr>
              <w:t>=</w:t>
            </w:r>
            <w:r w:rsidRPr="007044CA">
              <w:rPr>
                <w:rFonts w:eastAsia="DengXian"/>
                <w:sz w:val="20"/>
                <w:szCs w:val="20"/>
                <w:lang w:eastAsia="zh-CN"/>
              </w:rPr>
              <w:t xml:space="preserve"> .00</w:t>
            </w:r>
            <w:r>
              <w:rPr>
                <w:rFonts w:eastAsia="DengXian"/>
                <w:sz w:val="20"/>
                <w:szCs w:val="20"/>
                <w:lang w:eastAsia="zh-CN"/>
              </w:rPr>
              <w:t>3</w:t>
            </w:r>
            <w:r w:rsidRPr="007044CA">
              <w:rPr>
                <w:rFonts w:eastAsia="DengXian"/>
                <w:sz w:val="20"/>
                <w:szCs w:val="20"/>
                <w:lang w:eastAsia="zh-CN"/>
              </w:rPr>
              <w:t>, η</w:t>
            </w:r>
            <w:r w:rsidRPr="007044CA">
              <w:rPr>
                <w:rFonts w:eastAsia="DengXian"/>
                <w:sz w:val="20"/>
                <w:szCs w:val="20"/>
                <w:vertAlign w:val="superscript"/>
                <w:lang w:eastAsia="zh-CN"/>
              </w:rPr>
              <w:t xml:space="preserve">2 </w:t>
            </w:r>
            <w:r w:rsidRPr="007044CA">
              <w:rPr>
                <w:rFonts w:eastAsia="DengXian"/>
                <w:sz w:val="20"/>
                <w:szCs w:val="20"/>
                <w:lang w:eastAsia="zh-CN"/>
              </w:rPr>
              <w:t>= .</w:t>
            </w:r>
            <w:r>
              <w:rPr>
                <w:rFonts w:eastAsia="DengXian"/>
                <w:sz w:val="20"/>
                <w:szCs w:val="20"/>
                <w:lang w:eastAsia="zh-CN"/>
              </w:rPr>
              <w:t>047</w:t>
            </w:r>
          </w:p>
        </w:tc>
      </w:tr>
      <w:tr w:rsidR="00F57E5A" w:rsidRPr="00D536FF" w14:paraId="440F94F0" w14:textId="77777777" w:rsidTr="00F57E5A">
        <w:trPr>
          <w:trHeight w:val="348"/>
        </w:trPr>
        <w:tc>
          <w:tcPr>
            <w:tcW w:w="3458" w:type="dxa"/>
            <w:shd w:val="clear" w:color="auto" w:fill="auto"/>
            <w:vAlign w:val="center"/>
          </w:tcPr>
          <w:p w14:paraId="25B62660" w14:textId="77777777" w:rsidR="00F57E5A" w:rsidRPr="006A719C" w:rsidRDefault="00F57E5A" w:rsidP="00F57E5A">
            <w:pPr>
              <w:rPr>
                <w:rFonts w:eastAsia="Times New Roman"/>
                <w:sz w:val="20"/>
                <w:szCs w:val="20"/>
              </w:rPr>
            </w:pPr>
            <w:r w:rsidRPr="006A719C">
              <w:rPr>
                <w:rFonts w:eastAsia="Times New Roman"/>
                <w:sz w:val="20"/>
                <w:szCs w:val="20"/>
              </w:rPr>
              <w:t>Dependent Variables</w:t>
            </w:r>
          </w:p>
        </w:tc>
        <w:tc>
          <w:tcPr>
            <w:tcW w:w="1852" w:type="dxa"/>
            <w:shd w:val="clear" w:color="auto" w:fill="auto"/>
            <w:vAlign w:val="center"/>
          </w:tcPr>
          <w:p w14:paraId="57EAF762" w14:textId="77777777" w:rsidR="00F57E5A" w:rsidRPr="006A719C" w:rsidRDefault="00F57E5A" w:rsidP="00F57E5A">
            <w:pPr>
              <w:jc w:val="center"/>
              <w:rPr>
                <w:rFonts w:eastAsia="Times New Roman"/>
                <w:sz w:val="20"/>
                <w:szCs w:val="20"/>
              </w:rPr>
            </w:pPr>
          </w:p>
        </w:tc>
        <w:tc>
          <w:tcPr>
            <w:tcW w:w="1890" w:type="dxa"/>
            <w:shd w:val="clear" w:color="auto" w:fill="auto"/>
            <w:vAlign w:val="center"/>
          </w:tcPr>
          <w:p w14:paraId="6C214184" w14:textId="77777777" w:rsidR="00F57E5A" w:rsidRPr="006A719C" w:rsidRDefault="00F57E5A" w:rsidP="00F57E5A">
            <w:pPr>
              <w:jc w:val="center"/>
              <w:rPr>
                <w:rFonts w:eastAsia="Times New Roman"/>
                <w:sz w:val="20"/>
                <w:szCs w:val="20"/>
              </w:rPr>
            </w:pPr>
          </w:p>
        </w:tc>
        <w:tc>
          <w:tcPr>
            <w:tcW w:w="3263" w:type="dxa"/>
            <w:tcBorders>
              <w:left w:val="nil"/>
            </w:tcBorders>
            <w:shd w:val="clear" w:color="auto" w:fill="auto"/>
            <w:vAlign w:val="center"/>
          </w:tcPr>
          <w:p w14:paraId="52DB59C4" w14:textId="77777777" w:rsidR="00F57E5A" w:rsidRPr="006A719C" w:rsidRDefault="00F57E5A" w:rsidP="00F57E5A">
            <w:pPr>
              <w:jc w:val="center"/>
              <w:rPr>
                <w:rFonts w:eastAsia="Times New Roman"/>
                <w:i/>
                <w:sz w:val="20"/>
                <w:szCs w:val="20"/>
              </w:rPr>
            </w:pPr>
          </w:p>
        </w:tc>
      </w:tr>
      <w:tr w:rsidR="00F57E5A" w:rsidRPr="00D536FF" w14:paraId="274C9495" w14:textId="77777777" w:rsidTr="00F57E5A">
        <w:trPr>
          <w:trHeight w:val="697"/>
        </w:trPr>
        <w:tc>
          <w:tcPr>
            <w:tcW w:w="3458" w:type="dxa"/>
            <w:shd w:val="clear" w:color="auto" w:fill="auto"/>
            <w:vAlign w:val="center"/>
          </w:tcPr>
          <w:p w14:paraId="24D181C6" w14:textId="77777777" w:rsidR="00F57E5A" w:rsidRPr="006A719C" w:rsidRDefault="00F57E5A" w:rsidP="00F57E5A">
            <w:pPr>
              <w:jc w:val="center"/>
              <w:rPr>
                <w:rFonts w:eastAsia="Times New Roman"/>
                <w:sz w:val="20"/>
                <w:szCs w:val="20"/>
              </w:rPr>
            </w:pPr>
            <w:r w:rsidRPr="007044CA">
              <w:rPr>
                <w:rFonts w:eastAsia="Times New Roman"/>
                <w:sz w:val="20"/>
                <w:szCs w:val="20"/>
                <w:lang w:eastAsia="zh-CN"/>
              </w:rPr>
              <w:t xml:space="preserve">Negative Affect Towards </w:t>
            </w:r>
            <w:r>
              <w:rPr>
                <w:rFonts w:eastAsia="Times New Roman"/>
                <w:sz w:val="20"/>
                <w:szCs w:val="20"/>
                <w:lang w:eastAsia="zh-CN"/>
              </w:rPr>
              <w:t xml:space="preserve">Fictional </w:t>
            </w:r>
            <w:r w:rsidRPr="007044CA">
              <w:rPr>
                <w:rFonts w:eastAsia="Times New Roman"/>
                <w:sz w:val="20"/>
                <w:szCs w:val="20"/>
                <w:lang w:eastAsia="zh-CN"/>
              </w:rPr>
              <w:t xml:space="preserve">Norm Breaking </w:t>
            </w:r>
          </w:p>
        </w:tc>
        <w:tc>
          <w:tcPr>
            <w:tcW w:w="1852" w:type="dxa"/>
            <w:shd w:val="clear" w:color="auto" w:fill="auto"/>
            <w:vAlign w:val="center"/>
          </w:tcPr>
          <w:p w14:paraId="146C4074" w14:textId="77777777" w:rsidR="00F57E5A" w:rsidRPr="006A719C" w:rsidRDefault="00F57E5A" w:rsidP="00F57E5A">
            <w:pPr>
              <w:jc w:val="center"/>
              <w:rPr>
                <w:rFonts w:eastAsia="Times New Roman"/>
                <w:sz w:val="20"/>
                <w:szCs w:val="20"/>
              </w:rPr>
            </w:pPr>
            <w:r>
              <w:rPr>
                <w:rFonts w:eastAsia="Times New Roman"/>
                <w:sz w:val="20"/>
                <w:szCs w:val="20"/>
                <w:lang w:eastAsia="zh-CN"/>
              </w:rPr>
              <w:t>4</w:t>
            </w:r>
            <w:r w:rsidRPr="007044CA">
              <w:rPr>
                <w:rFonts w:eastAsia="Times New Roman"/>
                <w:sz w:val="20"/>
                <w:szCs w:val="20"/>
                <w:lang w:eastAsia="zh-CN"/>
              </w:rPr>
              <w:t>.</w:t>
            </w:r>
            <w:r>
              <w:rPr>
                <w:rFonts w:eastAsia="Times New Roman"/>
                <w:sz w:val="20"/>
                <w:szCs w:val="20"/>
                <w:lang w:eastAsia="zh-CN"/>
              </w:rPr>
              <w:t>32</w:t>
            </w:r>
            <w:r w:rsidRPr="007044CA">
              <w:rPr>
                <w:rFonts w:eastAsia="Times New Roman"/>
                <w:sz w:val="20"/>
                <w:szCs w:val="20"/>
                <w:lang w:eastAsia="zh-CN"/>
              </w:rPr>
              <w:t>, 1.5</w:t>
            </w:r>
            <w:r>
              <w:rPr>
                <w:rFonts w:eastAsia="Times New Roman"/>
                <w:sz w:val="20"/>
                <w:szCs w:val="20"/>
                <w:lang w:eastAsia="zh-CN"/>
              </w:rPr>
              <w:t>5</w:t>
            </w:r>
          </w:p>
        </w:tc>
        <w:tc>
          <w:tcPr>
            <w:tcW w:w="1890" w:type="dxa"/>
            <w:shd w:val="clear" w:color="auto" w:fill="auto"/>
            <w:vAlign w:val="center"/>
          </w:tcPr>
          <w:p w14:paraId="17F16C79" w14:textId="77777777" w:rsidR="00F57E5A" w:rsidRPr="006A719C" w:rsidRDefault="00F57E5A" w:rsidP="00F57E5A">
            <w:pPr>
              <w:jc w:val="center"/>
              <w:rPr>
                <w:rFonts w:eastAsia="Times New Roman"/>
                <w:sz w:val="20"/>
                <w:szCs w:val="20"/>
              </w:rPr>
            </w:pPr>
            <w:r w:rsidRPr="007044CA">
              <w:rPr>
                <w:rFonts w:eastAsia="Times New Roman"/>
                <w:sz w:val="20"/>
                <w:szCs w:val="20"/>
                <w:lang w:eastAsia="zh-CN"/>
              </w:rPr>
              <w:t>3.</w:t>
            </w:r>
            <w:r>
              <w:rPr>
                <w:rFonts w:eastAsia="Times New Roman"/>
                <w:sz w:val="20"/>
                <w:szCs w:val="20"/>
                <w:lang w:eastAsia="zh-CN"/>
              </w:rPr>
              <w:t>50</w:t>
            </w:r>
            <w:r w:rsidRPr="007044CA">
              <w:rPr>
                <w:rFonts w:eastAsia="Times New Roman"/>
                <w:sz w:val="20"/>
                <w:szCs w:val="20"/>
                <w:lang w:eastAsia="zh-CN"/>
              </w:rPr>
              <w:t>, 1.2</w:t>
            </w:r>
            <w:r>
              <w:rPr>
                <w:rFonts w:eastAsia="Times New Roman"/>
                <w:sz w:val="20"/>
                <w:szCs w:val="20"/>
                <w:lang w:eastAsia="zh-CN"/>
              </w:rPr>
              <w:t>4</w:t>
            </w:r>
          </w:p>
        </w:tc>
        <w:tc>
          <w:tcPr>
            <w:tcW w:w="3263" w:type="dxa"/>
            <w:tcBorders>
              <w:left w:val="nil"/>
            </w:tcBorders>
            <w:shd w:val="clear" w:color="auto" w:fill="auto"/>
            <w:vAlign w:val="center"/>
          </w:tcPr>
          <w:p w14:paraId="23DB18A1" w14:textId="77777777" w:rsidR="00F57E5A" w:rsidRPr="006A719C" w:rsidRDefault="00F57E5A" w:rsidP="00F57E5A">
            <w:pPr>
              <w:jc w:val="center"/>
              <w:rPr>
                <w:rFonts w:eastAsia="Times New Roman"/>
                <w:i/>
                <w:sz w:val="20"/>
                <w:szCs w:val="20"/>
              </w:rPr>
            </w:pPr>
            <w:proofErr w:type="gramStart"/>
            <w:r w:rsidRPr="007044CA">
              <w:rPr>
                <w:rFonts w:eastAsia="DengXian"/>
                <w:i/>
                <w:sz w:val="20"/>
                <w:szCs w:val="20"/>
                <w:lang w:eastAsia="zh-CN"/>
              </w:rPr>
              <w:t>F</w:t>
            </w:r>
            <w:r w:rsidRPr="007044CA">
              <w:rPr>
                <w:rFonts w:eastAsia="DengXian"/>
                <w:sz w:val="20"/>
                <w:szCs w:val="20"/>
                <w:lang w:eastAsia="zh-CN"/>
              </w:rPr>
              <w:t>(</w:t>
            </w:r>
            <w:proofErr w:type="gramEnd"/>
            <w:r w:rsidRPr="007044CA">
              <w:rPr>
                <w:rFonts w:eastAsia="DengXian"/>
                <w:sz w:val="20"/>
                <w:szCs w:val="20"/>
                <w:lang w:eastAsia="zh-CN"/>
              </w:rPr>
              <w:t>1, 1</w:t>
            </w:r>
            <w:r>
              <w:rPr>
                <w:rFonts w:eastAsia="DengXian"/>
                <w:sz w:val="20"/>
                <w:szCs w:val="20"/>
                <w:lang w:eastAsia="zh-CN"/>
              </w:rPr>
              <w:t>79</w:t>
            </w:r>
            <w:r w:rsidRPr="007044CA">
              <w:rPr>
                <w:rFonts w:eastAsia="DengXian"/>
                <w:sz w:val="20"/>
                <w:szCs w:val="20"/>
                <w:lang w:eastAsia="zh-CN"/>
              </w:rPr>
              <w:t>) = 1</w:t>
            </w:r>
            <w:r>
              <w:rPr>
                <w:rFonts w:eastAsia="DengXian"/>
                <w:sz w:val="20"/>
                <w:szCs w:val="20"/>
                <w:lang w:eastAsia="zh-CN"/>
              </w:rPr>
              <w:t>5</w:t>
            </w:r>
            <w:r w:rsidRPr="007044CA">
              <w:rPr>
                <w:rFonts w:eastAsia="DengXian"/>
                <w:sz w:val="20"/>
                <w:szCs w:val="20"/>
                <w:lang w:eastAsia="zh-CN"/>
              </w:rPr>
              <w:t>.</w:t>
            </w:r>
            <w:r>
              <w:rPr>
                <w:rFonts w:eastAsia="DengXian"/>
                <w:sz w:val="20"/>
                <w:szCs w:val="20"/>
                <w:lang w:eastAsia="zh-CN"/>
              </w:rPr>
              <w:t>77</w:t>
            </w:r>
            <w:r w:rsidRPr="007044CA">
              <w:rPr>
                <w:rFonts w:eastAsia="DengXian"/>
                <w:sz w:val="20"/>
                <w:szCs w:val="20"/>
                <w:lang w:eastAsia="zh-CN"/>
              </w:rPr>
              <w:t xml:space="preserve">, </w:t>
            </w:r>
            <w:r w:rsidRPr="007044CA">
              <w:rPr>
                <w:rFonts w:eastAsia="DengXian"/>
                <w:i/>
                <w:sz w:val="20"/>
                <w:szCs w:val="20"/>
                <w:lang w:eastAsia="zh-CN"/>
              </w:rPr>
              <w:t xml:space="preserve">p </w:t>
            </w:r>
            <w:r w:rsidRPr="007044CA">
              <w:rPr>
                <w:rFonts w:eastAsia="DengXian"/>
                <w:sz w:val="20"/>
                <w:szCs w:val="20"/>
                <w:lang w:eastAsia="zh-CN"/>
              </w:rPr>
              <w:t>&lt; .001, η</w:t>
            </w:r>
            <w:r w:rsidRPr="007044CA">
              <w:rPr>
                <w:rFonts w:eastAsia="DengXian"/>
                <w:sz w:val="20"/>
                <w:szCs w:val="20"/>
                <w:vertAlign w:val="superscript"/>
                <w:lang w:eastAsia="zh-CN"/>
              </w:rPr>
              <w:t xml:space="preserve">2 </w:t>
            </w:r>
            <w:r w:rsidRPr="007044CA">
              <w:rPr>
                <w:rFonts w:eastAsia="DengXian"/>
                <w:sz w:val="20"/>
                <w:szCs w:val="20"/>
                <w:lang w:eastAsia="zh-CN"/>
              </w:rPr>
              <w:t>= .0</w:t>
            </w:r>
            <w:r>
              <w:rPr>
                <w:rFonts w:eastAsia="DengXian"/>
                <w:sz w:val="20"/>
                <w:szCs w:val="20"/>
                <w:lang w:eastAsia="zh-CN"/>
              </w:rPr>
              <w:t>81</w:t>
            </w:r>
          </w:p>
        </w:tc>
      </w:tr>
    </w:tbl>
    <w:p w14:paraId="7DE6EFFC" w14:textId="77777777" w:rsidR="00C0251F" w:rsidRDefault="00C0251F" w:rsidP="00C0251F">
      <w:pPr>
        <w:spacing w:line="480" w:lineRule="auto"/>
        <w:rPr>
          <w:noProof/>
        </w:rPr>
      </w:pPr>
    </w:p>
    <w:p w14:paraId="1F9184C5" w14:textId="77777777" w:rsidR="00C0251F" w:rsidRDefault="00C0251F" w:rsidP="00C0251F">
      <w:pPr>
        <w:spacing w:line="480" w:lineRule="auto"/>
        <w:jc w:val="center"/>
        <w:rPr>
          <w:rFonts w:eastAsia="Times New Roman"/>
          <w:b/>
        </w:rPr>
      </w:pPr>
      <w:r>
        <w:rPr>
          <w:noProof/>
        </w:rPr>
        <w:t xml:space="preserve"> </w:t>
      </w:r>
      <w:r>
        <w:rPr>
          <w:noProof/>
        </w:rPr>
        <w:drawing>
          <wp:inline distT="0" distB="0" distL="0" distR="0" wp14:anchorId="72AF43BC" wp14:editId="48C66694">
            <wp:extent cx="3079750" cy="30797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9750" cy="3079750"/>
                    </a:xfrm>
                    <a:prstGeom prst="rect">
                      <a:avLst/>
                    </a:prstGeom>
                    <a:noFill/>
                    <a:ln>
                      <a:noFill/>
                    </a:ln>
                  </pic:spPr>
                </pic:pic>
              </a:graphicData>
            </a:graphic>
          </wp:inline>
        </w:drawing>
      </w:r>
    </w:p>
    <w:p w14:paraId="2C9F3489" w14:textId="282513B1" w:rsidR="00C0251F" w:rsidRPr="00BD1312" w:rsidRDefault="00C0251F" w:rsidP="00C0251F">
      <w:pPr>
        <w:pStyle w:val="SMSubheading"/>
        <w:rPr>
          <w:iCs/>
          <w:u w:val="none"/>
        </w:rPr>
      </w:pPr>
      <w:r w:rsidRPr="00BD1312">
        <w:rPr>
          <w:i/>
          <w:u w:val="none"/>
        </w:rPr>
        <w:t xml:space="preserve">Figure </w:t>
      </w:r>
      <w:r w:rsidR="00353884">
        <w:rPr>
          <w:i/>
          <w:u w:val="none"/>
        </w:rPr>
        <w:t>S</w:t>
      </w:r>
      <w:r w:rsidR="0047198D">
        <w:rPr>
          <w:i/>
          <w:u w:val="none"/>
        </w:rPr>
        <w:t>4</w:t>
      </w:r>
      <w:r w:rsidRPr="00BD1312">
        <w:rPr>
          <w:i/>
          <w:u w:val="none"/>
        </w:rPr>
        <w:t>.</w:t>
      </w:r>
      <w:r w:rsidR="00353884">
        <w:rPr>
          <w:i/>
          <w:u w:val="none"/>
        </w:rPr>
        <w:t xml:space="preserve"> </w:t>
      </w:r>
      <w:r>
        <w:rPr>
          <w:iCs/>
          <w:u w:val="none"/>
        </w:rPr>
        <w:t>The effect of Deviancy A</w:t>
      </w:r>
      <w:r w:rsidRPr="00BD1312">
        <w:rPr>
          <w:iCs/>
          <w:u w:val="none"/>
        </w:rPr>
        <w:t>version</w:t>
      </w:r>
      <w:r>
        <w:rPr>
          <w:iCs/>
          <w:u w:val="none"/>
        </w:rPr>
        <w:t xml:space="preserve"> on negative affect towards fictional norm violations</w:t>
      </w:r>
      <w:r w:rsidR="006242AA">
        <w:rPr>
          <w:iCs/>
          <w:u w:val="none"/>
        </w:rPr>
        <w:t xml:space="preserve"> in Study S2</w:t>
      </w:r>
      <w:r>
        <w:rPr>
          <w:iCs/>
          <w:u w:val="none"/>
        </w:rPr>
        <w:t>.</w:t>
      </w:r>
      <w:r w:rsidRPr="00BD1312">
        <w:rPr>
          <w:iCs/>
          <w:u w:val="none"/>
        </w:rPr>
        <w:t xml:space="preserve"> Error </w:t>
      </w:r>
      <w:r>
        <w:rPr>
          <w:iCs/>
          <w:u w:val="none"/>
        </w:rPr>
        <w:t>b</w:t>
      </w:r>
      <w:r w:rsidRPr="00BD1312">
        <w:rPr>
          <w:iCs/>
          <w:u w:val="none"/>
        </w:rPr>
        <w:t xml:space="preserve">ars: +- 1 </w:t>
      </w:r>
      <w:r w:rsidRPr="00BD1312">
        <w:rPr>
          <w:i/>
          <w:u w:val="none"/>
        </w:rPr>
        <w:t>SE</w:t>
      </w:r>
      <w:r w:rsidRPr="00BD1312">
        <w:rPr>
          <w:iCs/>
          <w:u w:val="none"/>
        </w:rPr>
        <w:t xml:space="preserve">. </w:t>
      </w:r>
    </w:p>
    <w:p w14:paraId="5E4B0C65" w14:textId="77777777" w:rsidR="00387476" w:rsidRDefault="00387476" w:rsidP="00E81E23">
      <w:pPr>
        <w:spacing w:line="480" w:lineRule="auto"/>
        <w:jc w:val="both"/>
        <w:rPr>
          <w:b/>
          <w:bCs/>
        </w:rPr>
      </w:pPr>
    </w:p>
    <w:p w14:paraId="5F1B9286" w14:textId="0654554F" w:rsidR="00E81E23" w:rsidRDefault="00CA6D29" w:rsidP="007F249B">
      <w:pPr>
        <w:spacing w:line="480" w:lineRule="auto"/>
        <w:ind w:firstLine="480"/>
        <w:jc w:val="both"/>
      </w:pPr>
      <w:r>
        <w:rPr>
          <w:b/>
          <w:bCs/>
        </w:rPr>
        <w:t>Additional</w:t>
      </w:r>
      <w:r w:rsidR="00E81E23">
        <w:rPr>
          <w:b/>
          <w:bCs/>
        </w:rPr>
        <w:t xml:space="preserve"> Results</w:t>
      </w:r>
      <w:r w:rsidR="007F249B">
        <w:rPr>
          <w:b/>
          <w:bCs/>
        </w:rPr>
        <w:t xml:space="preserve">: </w:t>
      </w:r>
      <w:r w:rsidR="00E81E23">
        <w:rPr>
          <w:b/>
          <w:bCs/>
        </w:rPr>
        <w:t xml:space="preserve">Negative Affect to Fictional Norm Following. </w:t>
      </w:r>
      <w:r w:rsidR="00E81E23">
        <w:t xml:space="preserve">As </w:t>
      </w:r>
      <w:r w:rsidR="00B75EA1">
        <w:t>in Study</w:t>
      </w:r>
      <w:r w:rsidR="00E81E23">
        <w:t xml:space="preserve"> S1</w:t>
      </w:r>
      <w:r w:rsidR="00B75EA1">
        <w:t>,</w:t>
      </w:r>
      <w:r w:rsidR="00E81E23">
        <w:t xml:space="preserve"> we also assessed participants’ affect in response to fictional norm </w:t>
      </w:r>
      <w:r w:rsidR="00E81E23" w:rsidRPr="007C7873">
        <w:rPr>
          <w:i/>
          <w:iCs/>
        </w:rPr>
        <w:t>following</w:t>
      </w:r>
      <w:r w:rsidR="00E81E23">
        <w:t xml:space="preserve">. Because the results varied across these studies (likely because the measure was largely ceilinged and suffered from low </w:t>
      </w:r>
      <w:r w:rsidR="00E81E23">
        <w:lastRenderedPageBreak/>
        <w:t>internal reliability) we</w:t>
      </w:r>
      <w:r w:rsidR="00977F03">
        <w:t xml:space="preserve"> report these results </w:t>
      </w:r>
      <w:r w:rsidR="00DE58A3">
        <w:t>as additional results</w:t>
      </w:r>
      <w:r w:rsidR="00E81E23">
        <w:t xml:space="preserve">. </w:t>
      </w:r>
      <w:r w:rsidR="007A1FD3">
        <w:t>As in Study 1, in</w:t>
      </w:r>
      <w:r w:rsidR="00E81E23">
        <w:t xml:space="preserve"> Study </w:t>
      </w:r>
      <w:r w:rsidR="00B86AD4">
        <w:t>S2</w:t>
      </w:r>
      <w:r w:rsidR="00E81E23">
        <w:t xml:space="preserve">, </w:t>
      </w:r>
      <w:r w:rsidR="00E81E23">
        <w:rPr>
          <w:rFonts w:eastAsia="Times New Roman"/>
          <w:szCs w:val="20"/>
        </w:rPr>
        <w:t>we found that the deviancy aversion manipulation reduced</w:t>
      </w:r>
      <w:r w:rsidR="00E81E23" w:rsidRPr="007044CA">
        <w:rPr>
          <w:rFonts w:eastAsia="Times New Roman"/>
          <w:szCs w:val="20"/>
        </w:rPr>
        <w:t xml:space="preserve"> participants’ </w:t>
      </w:r>
      <w:r w:rsidR="00E81E23">
        <w:rPr>
          <w:rFonts w:eastAsia="Times New Roman"/>
          <w:szCs w:val="20"/>
        </w:rPr>
        <w:t xml:space="preserve">negative </w:t>
      </w:r>
      <w:r w:rsidR="00E81E23" w:rsidRPr="007044CA">
        <w:rPr>
          <w:rFonts w:eastAsia="Times New Roman"/>
          <w:szCs w:val="20"/>
        </w:rPr>
        <w:t>affect towards the social norm follower,</w:t>
      </w:r>
      <w:r w:rsidR="00E81E23">
        <w:rPr>
          <w:rFonts w:eastAsia="Times New Roman"/>
          <w:szCs w:val="20"/>
        </w:rPr>
        <w:t xml:space="preserve"> that is, participants in the high deviancy aversion condition exhibited less negative affect towards a fictional norm follower than participants in the negativity aversion condition,</w:t>
      </w:r>
      <w:r w:rsidR="00E81E23" w:rsidRPr="007044CA">
        <w:rPr>
          <w:rFonts w:eastAsia="Times New Roman"/>
          <w:szCs w:val="20"/>
        </w:rPr>
        <w:t xml:space="preserve"> </w:t>
      </w:r>
      <w:r w:rsidR="00E81E23" w:rsidRPr="007044CA">
        <w:rPr>
          <w:rFonts w:eastAsia="Times New Roman"/>
          <w:i/>
          <w:szCs w:val="20"/>
        </w:rPr>
        <w:t xml:space="preserve">p </w:t>
      </w:r>
      <w:r w:rsidR="00E81E23">
        <w:rPr>
          <w:rFonts w:eastAsia="Times New Roman"/>
          <w:szCs w:val="20"/>
        </w:rPr>
        <w:t>=</w:t>
      </w:r>
      <w:r w:rsidR="00E81E23" w:rsidRPr="007044CA">
        <w:rPr>
          <w:rFonts w:eastAsia="Times New Roman"/>
          <w:szCs w:val="20"/>
        </w:rPr>
        <w:t xml:space="preserve"> .</w:t>
      </w:r>
      <w:r w:rsidR="00E81E23">
        <w:rPr>
          <w:rFonts w:eastAsia="Times New Roman"/>
          <w:szCs w:val="20"/>
        </w:rPr>
        <w:t>004.</w:t>
      </w:r>
      <w:r w:rsidR="00E81E23">
        <w:t xml:space="preserve"> </w:t>
      </w:r>
    </w:p>
    <w:p w14:paraId="70742EDF" w14:textId="77777777" w:rsidR="00DB4DEC" w:rsidRDefault="009325F2" w:rsidP="009325F2">
      <w:pPr>
        <w:spacing w:line="480" w:lineRule="auto"/>
        <w:jc w:val="center"/>
        <w:rPr>
          <w:rFonts w:eastAsia="Times New Roman"/>
          <w:b/>
          <w:lang w:eastAsia="zh-CN"/>
        </w:rPr>
      </w:pPr>
      <w:r w:rsidRPr="009321E1">
        <w:rPr>
          <w:rFonts w:eastAsia="Times New Roman"/>
          <w:b/>
          <w:lang w:eastAsia="zh-CN"/>
        </w:rPr>
        <w:t xml:space="preserve">Study </w:t>
      </w:r>
      <w:r>
        <w:rPr>
          <w:rFonts w:eastAsia="Times New Roman"/>
          <w:b/>
          <w:lang w:eastAsia="zh-CN"/>
        </w:rPr>
        <w:t xml:space="preserve">S3: Linking Deviancy Aversion to </w:t>
      </w:r>
      <w:r w:rsidR="0040286D">
        <w:rPr>
          <w:rFonts w:eastAsia="Times New Roman"/>
          <w:b/>
          <w:lang w:eastAsia="zh-CN"/>
        </w:rPr>
        <w:t xml:space="preserve">Negative Affect </w:t>
      </w:r>
    </w:p>
    <w:p w14:paraId="3EB36089" w14:textId="726D9182" w:rsidR="009325F2" w:rsidRPr="00366A2F" w:rsidRDefault="0040286D" w:rsidP="009325F2">
      <w:pPr>
        <w:spacing w:line="480" w:lineRule="auto"/>
        <w:jc w:val="center"/>
        <w:rPr>
          <w:rFonts w:eastAsia="Times New Roman"/>
          <w:b/>
          <w:lang w:eastAsia="zh-CN"/>
        </w:rPr>
      </w:pPr>
      <w:r>
        <w:rPr>
          <w:rFonts w:eastAsia="Times New Roman"/>
          <w:b/>
          <w:lang w:eastAsia="zh-CN"/>
        </w:rPr>
        <w:t>Towards Fictional Norm Following</w:t>
      </w:r>
    </w:p>
    <w:p w14:paraId="028B401D" w14:textId="49011C20" w:rsidR="009325F2" w:rsidRPr="00DE12E9" w:rsidRDefault="00EF669F" w:rsidP="009325F2">
      <w:pPr>
        <w:spacing w:line="480" w:lineRule="auto"/>
        <w:ind w:firstLine="720"/>
        <w:jc w:val="both"/>
        <w:rPr>
          <w:b/>
          <w:bCs/>
          <w:i/>
          <w:iCs/>
          <w:lang w:eastAsia="zh-CN"/>
        </w:rPr>
      </w:pPr>
      <w:r>
        <w:rPr>
          <w:lang w:eastAsia="zh-CN"/>
        </w:rPr>
        <w:t>In Study 1 w</w:t>
      </w:r>
      <w:r w:rsidRPr="00EF669F">
        <w:rPr>
          <w:lang w:eastAsia="zh-CN"/>
        </w:rPr>
        <w:t>e assessed negative affect towards fictional norm following. Deviancy aversion surprisingly related positively to such aversion, though this was not significant,</w:t>
      </w:r>
      <w:r w:rsidRPr="00EF669F">
        <w:rPr>
          <w:lang w:val="en" w:eastAsia="zh-CN"/>
        </w:rPr>
        <w:t xml:space="preserve"> </w:t>
      </w:r>
      <w:r w:rsidRPr="00EF669F">
        <w:rPr>
          <w:i/>
          <w:iCs/>
          <w:lang w:eastAsia="zh-CN"/>
        </w:rPr>
        <w:t>B</w:t>
      </w:r>
      <w:r w:rsidRPr="00EF669F">
        <w:rPr>
          <w:lang w:eastAsia="zh-CN"/>
        </w:rPr>
        <w:t xml:space="preserve"> = .11, </w:t>
      </w:r>
      <w:r w:rsidRPr="00EF669F">
        <w:rPr>
          <w:i/>
          <w:iCs/>
          <w:lang w:eastAsia="zh-CN"/>
        </w:rPr>
        <w:t>p</w:t>
      </w:r>
      <w:r w:rsidRPr="00EF669F">
        <w:rPr>
          <w:lang w:eastAsia="zh-CN"/>
        </w:rPr>
        <w:t xml:space="preserve"> = .071. Additional analyses revealed that this unexpected link was likely driven by a strong floor effect; very few participants endorsed negative affect towards the fictional norm follower (skewness: 2.13, kurtosis: 3.72; accepted limits are ±2). </w:t>
      </w:r>
      <w:r>
        <w:rPr>
          <w:lang w:eastAsia="zh-CN"/>
        </w:rPr>
        <w:t>As such, we conducted Study S3 in which</w:t>
      </w:r>
      <w:r w:rsidRPr="00EF669F">
        <w:rPr>
          <w:lang w:eastAsia="zh-CN"/>
        </w:rPr>
        <w:t xml:space="preserve"> we altered the scale of the negative affect towards fictional norm following</w:t>
      </w:r>
      <w:r w:rsidR="00314AAD">
        <w:rPr>
          <w:lang w:eastAsia="zh-CN"/>
        </w:rPr>
        <w:t xml:space="preserve"> measure</w:t>
      </w:r>
      <w:r w:rsidRPr="00EF669F">
        <w:rPr>
          <w:lang w:eastAsia="zh-CN"/>
        </w:rPr>
        <w:t xml:space="preserve"> to include reverse items (to reduce skewed responding)</w:t>
      </w:r>
      <w:r w:rsidR="00544D4B">
        <w:rPr>
          <w:lang w:eastAsia="zh-CN"/>
        </w:rPr>
        <w:t>.</w:t>
      </w:r>
      <w:r w:rsidR="00177BD3">
        <w:rPr>
          <w:lang w:eastAsia="zh-CN"/>
        </w:rPr>
        <w:t xml:space="preserve"> We then examined whether </w:t>
      </w:r>
      <w:r w:rsidR="008C1AC3">
        <w:rPr>
          <w:lang w:eastAsia="zh-CN"/>
        </w:rPr>
        <w:t xml:space="preserve">doing so reveals </w:t>
      </w:r>
      <w:r w:rsidR="00130B23">
        <w:rPr>
          <w:lang w:eastAsia="zh-CN"/>
        </w:rPr>
        <w:t>the originally expected results</w:t>
      </w:r>
      <w:r w:rsidR="008C1AC3">
        <w:rPr>
          <w:lang w:eastAsia="zh-CN"/>
        </w:rPr>
        <w:t>. That is, we examined whether</w:t>
      </w:r>
      <w:r w:rsidR="00E773C3">
        <w:rPr>
          <w:lang w:eastAsia="zh-CN"/>
        </w:rPr>
        <w:t xml:space="preserve"> </w:t>
      </w:r>
      <w:r w:rsidR="00177BD3">
        <w:rPr>
          <w:lang w:eastAsia="zh-CN"/>
        </w:rPr>
        <w:t xml:space="preserve">deviancy aversion predicts </w:t>
      </w:r>
      <w:r w:rsidR="002F561F" w:rsidRPr="002F561F">
        <w:rPr>
          <w:i/>
          <w:iCs/>
          <w:lang w:eastAsia="zh-CN"/>
        </w:rPr>
        <w:t>reduced</w:t>
      </w:r>
      <w:r w:rsidR="002F561F">
        <w:rPr>
          <w:lang w:eastAsia="zh-CN"/>
        </w:rPr>
        <w:t xml:space="preserve"> </w:t>
      </w:r>
      <w:r w:rsidR="00177BD3">
        <w:rPr>
          <w:lang w:eastAsia="zh-CN"/>
        </w:rPr>
        <w:t>negative affect towards fictional norm following</w:t>
      </w:r>
      <w:r w:rsidR="004F69BC">
        <w:rPr>
          <w:lang w:eastAsia="zh-CN"/>
        </w:rPr>
        <w:t xml:space="preserve">, as </w:t>
      </w:r>
      <w:r w:rsidR="002B22FD">
        <w:rPr>
          <w:lang w:eastAsia="zh-CN"/>
        </w:rPr>
        <w:t>expected</w:t>
      </w:r>
      <w:r w:rsidR="009325F2" w:rsidRPr="003C54E6">
        <w:rPr>
          <w:lang w:eastAsia="zh-CN"/>
        </w:rPr>
        <w:t xml:space="preserve">. </w:t>
      </w:r>
    </w:p>
    <w:p w14:paraId="332751EE" w14:textId="77777777" w:rsidR="009325F2" w:rsidRDefault="009325F2" w:rsidP="009325F2">
      <w:pPr>
        <w:spacing w:line="480" w:lineRule="auto"/>
        <w:jc w:val="both"/>
        <w:rPr>
          <w:b/>
          <w:bCs/>
          <w:lang w:eastAsia="zh-CN"/>
        </w:rPr>
      </w:pPr>
      <w:r>
        <w:rPr>
          <w:b/>
          <w:bCs/>
          <w:lang w:eastAsia="zh-CN"/>
        </w:rPr>
        <w:t xml:space="preserve">Methods </w:t>
      </w:r>
    </w:p>
    <w:p w14:paraId="067EF68D" w14:textId="2168FD31" w:rsidR="009325F2" w:rsidRPr="00C02C50" w:rsidRDefault="009325F2" w:rsidP="009325F2">
      <w:pPr>
        <w:spacing w:line="480" w:lineRule="auto"/>
        <w:ind w:firstLine="720"/>
        <w:jc w:val="both"/>
        <w:rPr>
          <w:lang w:eastAsia="zh-CN"/>
        </w:rPr>
      </w:pPr>
      <w:r w:rsidRPr="003C54E6">
        <w:rPr>
          <w:rFonts w:eastAsia="Times New Roman"/>
          <w:b/>
          <w:lang w:eastAsia="zh-CN"/>
        </w:rPr>
        <w:t>Participants</w:t>
      </w:r>
      <w:r w:rsidRPr="003C54E6">
        <w:rPr>
          <w:rFonts w:eastAsia="Times New Roman"/>
          <w:lang w:eastAsia="zh-CN"/>
        </w:rPr>
        <w:t xml:space="preserve">. </w:t>
      </w:r>
      <w:r w:rsidR="007F73A4">
        <w:rPr>
          <w:rFonts w:eastAsia="Times New Roman"/>
          <w:lang w:eastAsia="zh-CN"/>
        </w:rPr>
        <w:t xml:space="preserve">The study was conducted on Prolific. </w:t>
      </w:r>
      <w:r w:rsidR="00A74DE3">
        <w:rPr>
          <w:rFonts w:eastAsia="Times New Roman"/>
          <w:lang w:eastAsia="zh-CN"/>
        </w:rPr>
        <w:t xml:space="preserve">We aimed to recruit 100 participants and ended with </w:t>
      </w:r>
      <w:r w:rsidR="00A74DE3">
        <w:rPr>
          <w:lang w:eastAsia="zh-CN"/>
        </w:rPr>
        <w:t>101</w:t>
      </w:r>
      <w:r w:rsidR="000669CF">
        <w:rPr>
          <w:lang w:eastAsia="zh-CN"/>
        </w:rPr>
        <w:t xml:space="preserve"> participants</w:t>
      </w:r>
      <w:r w:rsidR="00A74DE3">
        <w:rPr>
          <w:lang w:eastAsia="zh-CN"/>
        </w:rPr>
        <w:t xml:space="preserve"> </w:t>
      </w:r>
      <w:r w:rsidRPr="003C54E6">
        <w:rPr>
          <w:rFonts w:eastAsia="Times New Roman"/>
          <w:lang w:eastAsia="zh-CN"/>
        </w:rPr>
        <w:t>(</w:t>
      </w:r>
      <w:r w:rsidR="008429D5">
        <w:rPr>
          <w:rFonts w:eastAsia="Times New Roman"/>
          <w:lang w:eastAsia="zh-CN"/>
        </w:rPr>
        <w:t>47</w:t>
      </w:r>
      <w:r w:rsidRPr="003C54E6">
        <w:rPr>
          <w:rFonts w:eastAsia="Times New Roman"/>
          <w:lang w:eastAsia="zh-CN"/>
        </w:rPr>
        <w:t xml:space="preserve"> </w:t>
      </w:r>
      <w:r>
        <w:rPr>
          <w:rFonts w:eastAsia="Times New Roman"/>
          <w:lang w:eastAsia="zh-CN"/>
        </w:rPr>
        <w:t>F</w:t>
      </w:r>
      <w:r w:rsidRPr="003C54E6">
        <w:rPr>
          <w:rFonts w:eastAsia="Times New Roman"/>
          <w:lang w:eastAsia="zh-CN"/>
        </w:rPr>
        <w:t xml:space="preserve">emale; </w:t>
      </w:r>
      <w:r w:rsidRPr="003C54E6">
        <w:rPr>
          <w:rFonts w:eastAsia="Times New Roman"/>
          <w:i/>
          <w:lang w:eastAsia="zh-CN"/>
        </w:rPr>
        <w:t>M</w:t>
      </w:r>
      <w:r w:rsidRPr="003C54E6">
        <w:rPr>
          <w:rFonts w:eastAsia="Times New Roman"/>
          <w:vertAlign w:val="subscript"/>
          <w:lang w:eastAsia="zh-CN"/>
        </w:rPr>
        <w:t>age</w:t>
      </w:r>
      <w:r w:rsidRPr="003C54E6">
        <w:rPr>
          <w:rFonts w:eastAsia="Times New Roman"/>
          <w:i/>
          <w:lang w:eastAsia="zh-CN"/>
        </w:rPr>
        <w:t xml:space="preserve"> </w:t>
      </w:r>
      <w:r w:rsidRPr="003C54E6">
        <w:rPr>
          <w:rFonts w:eastAsia="Times New Roman"/>
          <w:lang w:eastAsia="zh-CN"/>
        </w:rPr>
        <w:t>= 3</w:t>
      </w:r>
      <w:r w:rsidR="008429D5">
        <w:rPr>
          <w:rFonts w:eastAsia="Times New Roman"/>
          <w:lang w:eastAsia="zh-CN"/>
        </w:rPr>
        <w:t>3</w:t>
      </w:r>
      <w:r w:rsidRPr="003C54E6">
        <w:rPr>
          <w:rFonts w:eastAsia="Times New Roman"/>
          <w:lang w:eastAsia="zh-CN"/>
        </w:rPr>
        <w:t>.</w:t>
      </w:r>
      <w:r w:rsidR="008429D5">
        <w:rPr>
          <w:rFonts w:eastAsia="Times New Roman"/>
          <w:lang w:eastAsia="zh-CN"/>
        </w:rPr>
        <w:t>73</w:t>
      </w:r>
      <w:r w:rsidRPr="003C54E6">
        <w:rPr>
          <w:rFonts w:eastAsia="Times New Roman"/>
          <w:lang w:eastAsia="zh-CN"/>
        </w:rPr>
        <w:t xml:space="preserve">, </w:t>
      </w:r>
      <w:proofErr w:type="spellStart"/>
      <w:r w:rsidRPr="003C54E6">
        <w:rPr>
          <w:rFonts w:eastAsia="Times New Roman"/>
          <w:i/>
          <w:lang w:eastAsia="zh-CN"/>
        </w:rPr>
        <w:t>SD</w:t>
      </w:r>
      <w:r w:rsidRPr="003C54E6">
        <w:rPr>
          <w:rFonts w:eastAsia="Times New Roman"/>
          <w:vertAlign w:val="subscript"/>
          <w:lang w:eastAsia="zh-CN"/>
        </w:rPr>
        <w:t>age</w:t>
      </w:r>
      <w:proofErr w:type="spellEnd"/>
      <w:r w:rsidRPr="003C54E6">
        <w:rPr>
          <w:rFonts w:eastAsia="Times New Roman"/>
          <w:i/>
          <w:lang w:eastAsia="zh-CN"/>
        </w:rPr>
        <w:t xml:space="preserve"> </w:t>
      </w:r>
      <w:r w:rsidRPr="003C54E6">
        <w:rPr>
          <w:rFonts w:eastAsia="Times New Roman"/>
          <w:lang w:eastAsia="zh-CN"/>
        </w:rPr>
        <w:t>= 1</w:t>
      </w:r>
      <w:r w:rsidR="008429D5">
        <w:rPr>
          <w:rFonts w:eastAsia="Times New Roman"/>
          <w:lang w:eastAsia="zh-CN"/>
        </w:rPr>
        <w:t>2</w:t>
      </w:r>
      <w:r w:rsidRPr="003C54E6">
        <w:rPr>
          <w:rFonts w:eastAsia="Times New Roman"/>
          <w:lang w:eastAsia="zh-CN"/>
        </w:rPr>
        <w:t>.</w:t>
      </w:r>
      <w:r w:rsidR="008429D5">
        <w:rPr>
          <w:rFonts w:eastAsia="Times New Roman"/>
          <w:lang w:eastAsia="zh-CN"/>
        </w:rPr>
        <w:t>01</w:t>
      </w:r>
      <w:r w:rsidRPr="003C54E6">
        <w:rPr>
          <w:rFonts w:eastAsia="Times New Roman"/>
          <w:lang w:eastAsia="zh-CN"/>
        </w:rPr>
        <w:t xml:space="preserve">). </w:t>
      </w:r>
      <w:r w:rsidR="00FD0F8E">
        <w:rPr>
          <w:rFonts w:eastAsia="Times New Roman"/>
          <w:lang w:eastAsia="zh-CN"/>
        </w:rPr>
        <w:t>Four</w:t>
      </w:r>
      <w:r w:rsidRPr="003C54E6">
        <w:rPr>
          <w:rFonts w:eastAsia="Times New Roman"/>
          <w:lang w:eastAsia="zh-CN"/>
        </w:rPr>
        <w:t xml:space="preserve"> </w:t>
      </w:r>
      <w:r>
        <w:rPr>
          <w:rFonts w:eastAsia="Times New Roman"/>
          <w:lang w:eastAsia="zh-CN"/>
        </w:rPr>
        <w:t>responses</w:t>
      </w:r>
      <w:r w:rsidRPr="003C54E6">
        <w:rPr>
          <w:rFonts w:eastAsia="Times New Roman"/>
          <w:lang w:eastAsia="zh-CN"/>
        </w:rPr>
        <w:t xml:space="preserve"> were excluded for attention </w:t>
      </w:r>
      <w:r>
        <w:rPr>
          <w:rFonts w:eastAsia="Times New Roman"/>
          <w:lang w:eastAsia="zh-CN"/>
        </w:rPr>
        <w:t xml:space="preserve">failures. Verbatim Materials </w:t>
      </w:r>
      <w:hyperlink r:id="rId14" w:history="1">
        <w:r w:rsidRPr="00D01E29">
          <w:rPr>
            <w:rStyle w:val="Hyperlink"/>
            <w:rFonts w:eastAsia="Times New Roman"/>
            <w:lang w:eastAsia="zh-CN"/>
          </w:rPr>
          <w:t>here</w:t>
        </w:r>
      </w:hyperlink>
      <w:r>
        <w:rPr>
          <w:rFonts w:eastAsia="Times New Roman"/>
          <w:lang w:eastAsia="zh-CN"/>
        </w:rPr>
        <w:t xml:space="preserve">. </w:t>
      </w:r>
    </w:p>
    <w:p w14:paraId="4FC53698" w14:textId="72108899" w:rsidR="009325F2" w:rsidRPr="003C54E6" w:rsidRDefault="009325F2" w:rsidP="009325F2">
      <w:pPr>
        <w:spacing w:beforeLines="40" w:before="96" w:line="480" w:lineRule="auto"/>
        <w:ind w:firstLine="720"/>
        <w:contextualSpacing/>
        <w:jc w:val="both"/>
        <w:rPr>
          <w:rFonts w:eastAsia="Times New Roman"/>
          <w:lang w:eastAsia="zh-CN"/>
        </w:rPr>
      </w:pPr>
      <w:r>
        <w:rPr>
          <w:rFonts w:eastAsia="Times New Roman"/>
          <w:b/>
          <w:lang w:eastAsia="zh-CN"/>
        </w:rPr>
        <w:t>D</w:t>
      </w:r>
      <w:r w:rsidRPr="003C54E6">
        <w:rPr>
          <w:rFonts w:eastAsia="Times New Roman"/>
          <w:b/>
          <w:lang w:eastAsia="zh-CN"/>
        </w:rPr>
        <w:t xml:space="preserve">eviancy </w:t>
      </w:r>
      <w:r>
        <w:rPr>
          <w:rFonts w:eastAsia="Times New Roman"/>
          <w:b/>
          <w:lang w:eastAsia="zh-CN"/>
        </w:rPr>
        <w:t>A</w:t>
      </w:r>
      <w:r w:rsidRPr="003C54E6">
        <w:rPr>
          <w:rFonts w:eastAsia="Times New Roman"/>
          <w:b/>
          <w:lang w:eastAsia="zh-CN"/>
        </w:rPr>
        <w:t xml:space="preserve">version. </w:t>
      </w:r>
      <w:r w:rsidR="00F201CD">
        <w:rPr>
          <w:rFonts w:eastAsia="Times New Roman"/>
          <w:bCs/>
          <w:lang w:eastAsia="zh-CN"/>
        </w:rPr>
        <w:t>The deviancy aversion</w:t>
      </w:r>
      <w:r w:rsidR="00F61162">
        <w:rPr>
          <w:rFonts w:eastAsia="Times New Roman"/>
          <w:bCs/>
          <w:lang w:eastAsia="zh-CN"/>
        </w:rPr>
        <w:t xml:space="preserve"> measure</w:t>
      </w:r>
      <w:r w:rsidR="00F201CD">
        <w:rPr>
          <w:rFonts w:eastAsia="Times New Roman"/>
          <w:bCs/>
          <w:lang w:eastAsia="zh-CN"/>
        </w:rPr>
        <w:t xml:space="preserve"> </w:t>
      </w:r>
      <w:r w:rsidR="00FA7DAA">
        <w:rPr>
          <w:rFonts w:eastAsia="Times New Roman"/>
          <w:bCs/>
          <w:lang w:eastAsia="zh-CN"/>
        </w:rPr>
        <w:t>was that of</w:t>
      </w:r>
      <w:r w:rsidR="00F201CD">
        <w:rPr>
          <w:rFonts w:eastAsia="Times New Roman"/>
          <w:bCs/>
          <w:lang w:eastAsia="zh-CN"/>
        </w:rPr>
        <w:t xml:space="preserve"> Study </w:t>
      </w:r>
      <w:r w:rsidR="006C21E9">
        <w:rPr>
          <w:rFonts w:eastAsia="Times New Roman"/>
          <w:bCs/>
          <w:lang w:eastAsia="zh-CN"/>
        </w:rPr>
        <w:t>3</w:t>
      </w:r>
      <w:r w:rsidR="00F201CD">
        <w:rPr>
          <w:rFonts w:eastAsia="Times New Roman"/>
          <w:bCs/>
          <w:lang w:eastAsia="zh-CN"/>
        </w:rPr>
        <w:t xml:space="preserve">. </w:t>
      </w:r>
    </w:p>
    <w:p w14:paraId="0F18E6CE" w14:textId="02A2F2AA" w:rsidR="009325F2" w:rsidRDefault="009654BE" w:rsidP="00F17104">
      <w:pPr>
        <w:spacing w:line="480" w:lineRule="auto"/>
        <w:ind w:firstLine="720"/>
        <w:jc w:val="both"/>
        <w:rPr>
          <w:rFonts w:eastAsia="Times New Roman"/>
          <w:lang w:eastAsia="zh-CN"/>
        </w:rPr>
      </w:pPr>
      <w:r>
        <w:rPr>
          <w:rFonts w:eastAsia="Times New Roman"/>
          <w:b/>
          <w:lang w:eastAsia="zh-CN"/>
        </w:rPr>
        <w:t>Negative Affect</w:t>
      </w:r>
      <w:r w:rsidR="00177CA2">
        <w:rPr>
          <w:rFonts w:eastAsia="Times New Roman"/>
          <w:b/>
          <w:lang w:eastAsia="zh-CN"/>
        </w:rPr>
        <w:t>:</w:t>
      </w:r>
      <w:r>
        <w:rPr>
          <w:rFonts w:eastAsia="Times New Roman"/>
          <w:b/>
          <w:lang w:eastAsia="zh-CN"/>
        </w:rPr>
        <w:t xml:space="preserve"> Fictional </w:t>
      </w:r>
      <w:r w:rsidR="00177CA2">
        <w:rPr>
          <w:rFonts w:eastAsia="Times New Roman"/>
          <w:b/>
          <w:lang w:eastAsia="zh-CN"/>
        </w:rPr>
        <w:t xml:space="preserve">Social </w:t>
      </w:r>
      <w:r>
        <w:rPr>
          <w:rFonts w:eastAsia="Times New Roman"/>
          <w:b/>
          <w:lang w:eastAsia="zh-CN"/>
        </w:rPr>
        <w:t>Norm Following</w:t>
      </w:r>
      <w:r w:rsidR="00A917B4">
        <w:rPr>
          <w:rFonts w:eastAsia="Times New Roman"/>
          <w:lang w:eastAsia="zh-CN"/>
        </w:rPr>
        <w:t xml:space="preserve">. </w:t>
      </w:r>
      <w:r w:rsidR="00A917B4">
        <w:rPr>
          <w:rFonts w:eastAsia="Times New Roman"/>
          <w:bCs/>
          <w:lang w:eastAsia="zh-CN"/>
        </w:rPr>
        <w:t>We</w:t>
      </w:r>
      <w:r w:rsidR="009325F2">
        <w:rPr>
          <w:rFonts w:eastAsia="Times New Roman"/>
          <w:bCs/>
          <w:lang w:eastAsia="zh-CN"/>
        </w:rPr>
        <w:t xml:space="preserve"> </w:t>
      </w:r>
      <w:r w:rsidR="009325F2" w:rsidRPr="003C54E6">
        <w:rPr>
          <w:lang w:eastAsia="zh-CN"/>
        </w:rPr>
        <w:t xml:space="preserve">assessed negative </w:t>
      </w:r>
      <w:r w:rsidR="009325F2">
        <w:rPr>
          <w:lang w:eastAsia="zh-CN"/>
        </w:rPr>
        <w:t xml:space="preserve">affect towards </w:t>
      </w:r>
      <w:r w:rsidR="009325F2" w:rsidRPr="003C54E6">
        <w:rPr>
          <w:rFonts w:eastAsia="Times New Roman"/>
          <w:lang w:eastAsia="zh-CN"/>
        </w:rPr>
        <w:t>a</w:t>
      </w:r>
      <w:r w:rsidR="009325F2">
        <w:rPr>
          <w:rFonts w:eastAsia="Times New Roman"/>
          <w:lang w:eastAsia="zh-CN"/>
        </w:rPr>
        <w:t xml:space="preserve"> fictional </w:t>
      </w:r>
      <w:r w:rsidR="009325F2" w:rsidRPr="003C54E6">
        <w:rPr>
          <w:rFonts w:eastAsia="Times New Roman"/>
          <w:lang w:eastAsia="zh-CN"/>
        </w:rPr>
        <w:t xml:space="preserve">character (a </w:t>
      </w:r>
      <w:proofErr w:type="spellStart"/>
      <w:r w:rsidR="009325F2" w:rsidRPr="003C54E6">
        <w:rPr>
          <w:rFonts w:eastAsia="Times New Roman"/>
          <w:lang w:eastAsia="zh-CN"/>
        </w:rPr>
        <w:t>Flurp</w:t>
      </w:r>
      <w:proofErr w:type="spellEnd"/>
      <w:r w:rsidR="009325F2" w:rsidRPr="003C54E6">
        <w:rPr>
          <w:rFonts w:eastAsia="Times New Roman"/>
          <w:lang w:eastAsia="zh-CN"/>
        </w:rPr>
        <w:t xml:space="preserve">) following the </w:t>
      </w:r>
      <w:proofErr w:type="spellStart"/>
      <w:r w:rsidR="009325F2">
        <w:rPr>
          <w:rFonts w:eastAsia="Times New Roman"/>
          <w:lang w:eastAsia="zh-CN"/>
        </w:rPr>
        <w:t>Flurp</w:t>
      </w:r>
      <w:proofErr w:type="spellEnd"/>
      <w:r w:rsidR="009325F2">
        <w:rPr>
          <w:rFonts w:eastAsia="Times New Roman"/>
          <w:lang w:eastAsia="zh-CN"/>
        </w:rPr>
        <w:t xml:space="preserve"> </w:t>
      </w:r>
      <w:r w:rsidR="009325F2" w:rsidRPr="003C54E6">
        <w:rPr>
          <w:rFonts w:eastAsia="Times New Roman"/>
          <w:lang w:eastAsia="zh-CN"/>
        </w:rPr>
        <w:t xml:space="preserve">norm of living in a </w:t>
      </w:r>
      <w:r w:rsidR="009325F2">
        <w:rPr>
          <w:rFonts w:eastAsia="Times New Roman"/>
          <w:lang w:eastAsia="zh-CN"/>
        </w:rPr>
        <w:t>blue</w:t>
      </w:r>
      <w:r w:rsidR="009325F2" w:rsidRPr="003C54E6">
        <w:rPr>
          <w:rFonts w:eastAsia="Times New Roman"/>
          <w:lang w:eastAsia="zh-CN"/>
        </w:rPr>
        <w:t xml:space="preserve"> house: “This </w:t>
      </w:r>
      <w:proofErr w:type="spellStart"/>
      <w:r w:rsidR="009325F2" w:rsidRPr="003C54E6">
        <w:rPr>
          <w:rFonts w:eastAsia="Times New Roman"/>
          <w:lang w:eastAsia="zh-CN"/>
        </w:rPr>
        <w:t>Flurp</w:t>
      </w:r>
      <w:proofErr w:type="spellEnd"/>
      <w:r w:rsidR="009325F2" w:rsidRPr="003C54E6">
        <w:rPr>
          <w:rFonts w:eastAsia="Times New Roman"/>
          <w:lang w:eastAsia="zh-CN"/>
        </w:rPr>
        <w:t xml:space="preserve"> </w:t>
      </w:r>
      <w:r w:rsidR="009325F2" w:rsidRPr="003C54E6">
        <w:rPr>
          <w:rFonts w:eastAsia="Times New Roman"/>
          <w:lang w:eastAsia="zh-CN"/>
        </w:rPr>
        <w:lastRenderedPageBreak/>
        <w:t>makes me feel</w:t>
      </w:r>
      <w:r w:rsidR="009325F2">
        <w:rPr>
          <w:rFonts w:eastAsia="Times New Roman"/>
          <w:lang w:eastAsia="zh-CN"/>
        </w:rPr>
        <w:t>…” “U</w:t>
      </w:r>
      <w:r w:rsidR="009325F2" w:rsidRPr="003C54E6">
        <w:rPr>
          <w:rFonts w:eastAsia="Times New Roman"/>
          <w:lang w:eastAsia="zh-CN"/>
        </w:rPr>
        <w:t>ncomfortable,” “</w:t>
      </w:r>
      <w:r w:rsidR="009325F2">
        <w:rPr>
          <w:rFonts w:eastAsia="Times New Roman"/>
          <w:lang w:eastAsia="zh-CN"/>
        </w:rPr>
        <w:t>A</w:t>
      </w:r>
      <w:r w:rsidR="009325F2" w:rsidRPr="003C54E6">
        <w:rPr>
          <w:rFonts w:eastAsia="Times New Roman"/>
          <w:lang w:eastAsia="zh-CN"/>
        </w:rPr>
        <w:t>nnoyed,” “</w:t>
      </w:r>
      <w:r w:rsidR="009325F2">
        <w:rPr>
          <w:rFonts w:eastAsia="Times New Roman"/>
          <w:lang w:eastAsia="zh-CN"/>
        </w:rPr>
        <w:t>A</w:t>
      </w:r>
      <w:r w:rsidR="009325F2" w:rsidRPr="003C54E6">
        <w:rPr>
          <w:rFonts w:eastAsia="Times New Roman"/>
          <w:lang w:eastAsia="zh-CN"/>
        </w:rPr>
        <w:t xml:space="preserve">nxious.” </w:t>
      </w:r>
      <w:r w:rsidR="009325F2" w:rsidRPr="003C54E6">
        <w:rPr>
          <w:lang w:eastAsia="zh-CN"/>
        </w:rPr>
        <w:t xml:space="preserve">1 = </w:t>
      </w:r>
      <w:r w:rsidR="009325F2" w:rsidRPr="003C54E6">
        <w:rPr>
          <w:i/>
          <w:lang w:eastAsia="zh-CN"/>
        </w:rPr>
        <w:t>Not at all agree</w:t>
      </w:r>
      <w:r w:rsidR="009325F2" w:rsidRPr="003C54E6">
        <w:rPr>
          <w:lang w:eastAsia="zh-CN"/>
        </w:rPr>
        <w:t xml:space="preserve"> to 7 = </w:t>
      </w:r>
      <w:r w:rsidR="009325F2" w:rsidRPr="003C54E6">
        <w:rPr>
          <w:i/>
          <w:lang w:eastAsia="zh-CN"/>
        </w:rPr>
        <w:t>Strongly agree</w:t>
      </w:r>
      <w:r w:rsidR="009325F2" w:rsidRPr="003C54E6">
        <w:rPr>
          <w:lang w:eastAsia="zh-CN"/>
        </w:rPr>
        <w:t>.</w:t>
      </w:r>
      <w:r w:rsidR="006669AE">
        <w:rPr>
          <w:lang w:eastAsia="zh-CN"/>
        </w:rPr>
        <w:t xml:space="preserve"> </w:t>
      </w:r>
      <w:r w:rsidR="009F2C97">
        <w:rPr>
          <w:lang w:eastAsia="zh-CN"/>
        </w:rPr>
        <w:t xml:space="preserve">Importantly, </w:t>
      </w:r>
      <w:r w:rsidR="00D83A1C">
        <w:rPr>
          <w:lang w:eastAsia="zh-CN"/>
        </w:rPr>
        <w:t xml:space="preserve">and unlike Study 1, </w:t>
      </w:r>
      <w:r w:rsidR="009F2C97">
        <w:rPr>
          <w:lang w:eastAsia="zh-CN"/>
        </w:rPr>
        <w:t xml:space="preserve">we also </w:t>
      </w:r>
      <w:r w:rsidR="00D83A1C">
        <w:rPr>
          <w:lang w:eastAsia="zh-CN"/>
        </w:rPr>
        <w:t>included</w:t>
      </w:r>
      <w:r w:rsidR="009F2C97">
        <w:rPr>
          <w:lang w:eastAsia="zh-CN"/>
        </w:rPr>
        <w:t xml:space="preserve"> </w:t>
      </w:r>
      <w:r w:rsidR="00B619CF">
        <w:rPr>
          <w:lang w:eastAsia="zh-CN"/>
        </w:rPr>
        <w:t xml:space="preserve">three positively valanced items: </w:t>
      </w:r>
      <w:r w:rsidR="004F5595">
        <w:rPr>
          <w:rFonts w:eastAsia="Times New Roman"/>
          <w:lang w:eastAsia="zh-CN"/>
        </w:rPr>
        <w:t>“</w:t>
      </w:r>
      <w:r w:rsidR="00555F68">
        <w:rPr>
          <w:rFonts w:eastAsia="Times New Roman"/>
          <w:lang w:eastAsia="zh-CN"/>
        </w:rPr>
        <w:t>Happy</w:t>
      </w:r>
      <w:r w:rsidR="004F5595" w:rsidRPr="003C54E6">
        <w:rPr>
          <w:rFonts w:eastAsia="Times New Roman"/>
          <w:lang w:eastAsia="zh-CN"/>
        </w:rPr>
        <w:t>,” “</w:t>
      </w:r>
      <w:r w:rsidR="00555F68">
        <w:rPr>
          <w:rFonts w:eastAsia="Times New Roman"/>
          <w:lang w:eastAsia="zh-CN"/>
        </w:rPr>
        <w:t>Comfortable</w:t>
      </w:r>
      <w:r w:rsidR="004F5595" w:rsidRPr="003C54E6">
        <w:rPr>
          <w:rFonts w:eastAsia="Times New Roman"/>
          <w:lang w:eastAsia="zh-CN"/>
        </w:rPr>
        <w:t>,” “</w:t>
      </w:r>
      <w:r w:rsidR="00555F68">
        <w:rPr>
          <w:rFonts w:eastAsia="Times New Roman"/>
          <w:lang w:eastAsia="zh-CN"/>
        </w:rPr>
        <w:t>Calm</w:t>
      </w:r>
      <w:r w:rsidR="004F5595" w:rsidRPr="003C54E6">
        <w:rPr>
          <w:rFonts w:eastAsia="Times New Roman"/>
          <w:lang w:eastAsia="zh-CN"/>
        </w:rPr>
        <w:t xml:space="preserve">.” </w:t>
      </w:r>
      <w:r w:rsidR="004F5595" w:rsidRPr="003C54E6">
        <w:rPr>
          <w:lang w:eastAsia="zh-CN"/>
        </w:rPr>
        <w:t xml:space="preserve">1 = </w:t>
      </w:r>
      <w:r w:rsidR="004F5595" w:rsidRPr="003C54E6">
        <w:rPr>
          <w:i/>
          <w:lang w:eastAsia="zh-CN"/>
        </w:rPr>
        <w:t>Not at all agree</w:t>
      </w:r>
      <w:r w:rsidR="004F5595" w:rsidRPr="003C54E6">
        <w:rPr>
          <w:lang w:eastAsia="zh-CN"/>
        </w:rPr>
        <w:t xml:space="preserve"> to 7 = </w:t>
      </w:r>
      <w:r w:rsidR="004F5595" w:rsidRPr="003C54E6">
        <w:rPr>
          <w:i/>
          <w:lang w:eastAsia="zh-CN"/>
        </w:rPr>
        <w:t>Strongly agree</w:t>
      </w:r>
      <w:r w:rsidR="005E6174">
        <w:rPr>
          <w:i/>
          <w:lang w:eastAsia="zh-CN"/>
        </w:rPr>
        <w:t xml:space="preserve"> </w:t>
      </w:r>
      <w:r w:rsidR="005E6174">
        <w:rPr>
          <w:iCs/>
          <w:lang w:eastAsia="zh-CN"/>
        </w:rPr>
        <w:t>(reverse-coded)</w:t>
      </w:r>
      <w:r w:rsidR="004F5595" w:rsidRPr="003C54E6">
        <w:rPr>
          <w:lang w:eastAsia="zh-CN"/>
        </w:rPr>
        <w:t>.</w:t>
      </w:r>
      <w:r w:rsidR="006669AE">
        <w:rPr>
          <w:lang w:eastAsia="zh-CN"/>
        </w:rPr>
        <w:t xml:space="preserve"> </w:t>
      </w:r>
      <w:r w:rsidR="009325F2" w:rsidRPr="003C54E6">
        <w:rPr>
          <w:lang w:eastAsia="zh-CN"/>
        </w:rPr>
        <w:t xml:space="preserve"> </w:t>
      </w:r>
      <w:r w:rsidR="009325F2" w:rsidRPr="003C54E6">
        <w:rPr>
          <w:rFonts w:eastAsia="Times New Roman"/>
          <w:lang w:eastAsia="zh-CN"/>
        </w:rPr>
        <w:t xml:space="preserve"> </w:t>
      </w:r>
    </w:p>
    <w:p w14:paraId="495B1393" w14:textId="0100A622" w:rsidR="009325F2" w:rsidRPr="00806A49" w:rsidRDefault="009325F2" w:rsidP="009325F2">
      <w:pPr>
        <w:spacing w:line="480" w:lineRule="auto"/>
        <w:ind w:firstLine="720"/>
        <w:contextualSpacing/>
        <w:jc w:val="both"/>
        <w:rPr>
          <w:rFonts w:eastAsia="Times New Roman"/>
          <w:lang w:eastAsia="zh-CN"/>
        </w:rPr>
      </w:pPr>
      <w:r>
        <w:rPr>
          <w:rFonts w:eastAsia="Times New Roman"/>
          <w:b/>
          <w:lang w:eastAsia="zh-CN"/>
        </w:rPr>
        <w:t>Control</w:t>
      </w:r>
      <w:r w:rsidRPr="003C54E6">
        <w:rPr>
          <w:rFonts w:eastAsia="Times New Roman"/>
          <w:b/>
          <w:lang w:eastAsia="zh-CN"/>
        </w:rPr>
        <w:t xml:space="preserve"> </w:t>
      </w:r>
      <w:r>
        <w:rPr>
          <w:rFonts w:eastAsia="Times New Roman"/>
          <w:b/>
          <w:lang w:eastAsia="zh-CN"/>
        </w:rPr>
        <w:t>V</w:t>
      </w:r>
      <w:r w:rsidRPr="003C54E6">
        <w:rPr>
          <w:rFonts w:eastAsia="Times New Roman"/>
          <w:b/>
          <w:lang w:eastAsia="zh-CN"/>
        </w:rPr>
        <w:t xml:space="preserve">ariables. </w:t>
      </w:r>
      <w:r>
        <w:rPr>
          <w:rFonts w:eastAsia="Times New Roman"/>
          <w:bCs/>
          <w:lang w:eastAsia="zh-CN"/>
        </w:rPr>
        <w:t>W</w:t>
      </w:r>
      <w:r>
        <w:rPr>
          <w:rFonts w:eastAsia="Times New Roman"/>
          <w:lang w:eastAsia="zh-CN"/>
        </w:rPr>
        <w:t xml:space="preserve">e assessed aversion towards </w:t>
      </w:r>
      <w:r w:rsidRPr="00D16948">
        <w:rPr>
          <w:rFonts w:eastAsia="Times New Roman"/>
          <w:i/>
          <w:iCs/>
          <w:lang w:eastAsia="zh-CN"/>
        </w:rPr>
        <w:t>un</w:t>
      </w:r>
      <w:r>
        <w:rPr>
          <w:rFonts w:eastAsia="Times New Roman"/>
          <w:lang w:eastAsia="zh-CN"/>
        </w:rPr>
        <w:t xml:space="preserve">broken patterns </w:t>
      </w:r>
      <w:r w:rsidR="00F17104">
        <w:rPr>
          <w:rFonts w:eastAsia="Times New Roman"/>
          <w:lang w:eastAsia="zh-CN"/>
        </w:rPr>
        <w:t>as in Study 2.</w:t>
      </w:r>
    </w:p>
    <w:p w14:paraId="460AC4B8" w14:textId="7BD51A4F" w:rsidR="009325F2" w:rsidRPr="003C54E6" w:rsidRDefault="009325F2" w:rsidP="009325F2">
      <w:pPr>
        <w:spacing w:line="480" w:lineRule="auto"/>
        <w:ind w:left="-86" w:firstLine="806"/>
        <w:contextualSpacing/>
        <w:jc w:val="both"/>
        <w:rPr>
          <w:lang w:eastAsia="zh-CN"/>
        </w:rPr>
      </w:pPr>
      <w:r w:rsidRPr="003C54E6">
        <w:rPr>
          <w:b/>
          <w:lang w:eastAsia="zh-CN"/>
        </w:rPr>
        <w:t xml:space="preserve">Attention </w:t>
      </w:r>
      <w:r>
        <w:rPr>
          <w:b/>
          <w:lang w:eastAsia="zh-CN"/>
        </w:rPr>
        <w:t>C</w:t>
      </w:r>
      <w:r w:rsidRPr="003C54E6">
        <w:rPr>
          <w:b/>
          <w:lang w:eastAsia="zh-CN"/>
        </w:rPr>
        <w:t xml:space="preserve">heck. </w:t>
      </w:r>
      <w:r w:rsidR="00384A60">
        <w:rPr>
          <w:rFonts w:eastAsiaTheme="minorHAnsi"/>
          <w:lang w:eastAsia="zh-CN"/>
        </w:rPr>
        <w:t>The</w:t>
      </w:r>
      <w:r w:rsidR="00384A60">
        <w:rPr>
          <w:lang w:eastAsia="zh-CN"/>
        </w:rPr>
        <w:t xml:space="preserve"> </w:t>
      </w:r>
      <w:r w:rsidR="006F7952">
        <w:rPr>
          <w:lang w:eastAsia="zh-CN"/>
        </w:rPr>
        <w:t>attention check of Study 1 was included</w:t>
      </w:r>
      <w:r w:rsidRPr="003C54E6">
        <w:rPr>
          <w:lang w:eastAsia="zh-CN"/>
        </w:rPr>
        <w:t xml:space="preserve">. </w:t>
      </w:r>
    </w:p>
    <w:p w14:paraId="2629AA47" w14:textId="398CB37A" w:rsidR="009325F2" w:rsidRPr="003C54E6" w:rsidRDefault="009325F2" w:rsidP="009325F2">
      <w:pPr>
        <w:spacing w:beforeLines="40" w:before="96" w:line="480" w:lineRule="auto"/>
        <w:ind w:firstLine="720"/>
        <w:contextualSpacing/>
        <w:jc w:val="both"/>
        <w:rPr>
          <w:lang w:eastAsia="zh-CN"/>
        </w:rPr>
      </w:pPr>
      <w:r w:rsidRPr="003C54E6">
        <w:rPr>
          <w:rFonts w:eastAsia="Times New Roman"/>
          <w:b/>
          <w:lang w:eastAsia="zh-CN"/>
        </w:rPr>
        <w:t xml:space="preserve">Procedure. </w:t>
      </w:r>
      <w:r w:rsidRPr="003C54E6">
        <w:rPr>
          <w:rFonts w:eastAsia="Times New Roman"/>
          <w:lang w:eastAsia="zh-CN"/>
        </w:rPr>
        <w:t>Participants completed the three deviancy aversion measures (randomized, clustered together</w:t>
      </w:r>
      <w:r>
        <w:rPr>
          <w:rFonts w:eastAsia="Times New Roman"/>
          <w:lang w:eastAsia="zh-CN"/>
        </w:rPr>
        <w:t>, including the unbroken pattern control measure</w:t>
      </w:r>
      <w:r w:rsidRPr="003C54E6">
        <w:rPr>
          <w:rFonts w:eastAsia="Times New Roman"/>
          <w:lang w:eastAsia="zh-CN"/>
        </w:rPr>
        <w:t xml:space="preserve">) and the </w:t>
      </w:r>
      <w:r w:rsidR="00B425D6">
        <w:rPr>
          <w:rFonts w:eastAsia="Times New Roman"/>
          <w:lang w:eastAsia="zh-CN"/>
        </w:rPr>
        <w:t xml:space="preserve">negative affect towards fictional </w:t>
      </w:r>
      <w:r w:rsidR="00D950BC">
        <w:rPr>
          <w:rFonts w:eastAsia="Times New Roman"/>
          <w:lang w:eastAsia="zh-CN"/>
        </w:rPr>
        <w:t xml:space="preserve">norm </w:t>
      </w:r>
      <w:r w:rsidR="00EF17C4">
        <w:rPr>
          <w:rFonts w:eastAsia="Times New Roman"/>
          <w:lang w:eastAsia="zh-CN"/>
        </w:rPr>
        <w:t xml:space="preserve">following </w:t>
      </w:r>
      <w:r w:rsidRPr="003C54E6">
        <w:rPr>
          <w:rFonts w:eastAsia="Times New Roman"/>
          <w:lang w:eastAsia="zh-CN"/>
        </w:rPr>
        <w:t>in random order. Participants then completed the</w:t>
      </w:r>
      <w:r>
        <w:rPr>
          <w:rFonts w:eastAsia="Times New Roman"/>
          <w:lang w:eastAsia="zh-CN"/>
        </w:rPr>
        <w:t xml:space="preserve"> </w:t>
      </w:r>
      <w:r w:rsidRPr="003C54E6">
        <w:rPr>
          <w:rFonts w:eastAsia="Times New Roman"/>
          <w:lang w:eastAsia="zh-CN"/>
        </w:rPr>
        <w:t>attention check and demographics.</w:t>
      </w:r>
    </w:p>
    <w:p w14:paraId="27761AB2" w14:textId="77777777" w:rsidR="009325F2" w:rsidRDefault="009325F2" w:rsidP="009325F2">
      <w:pPr>
        <w:spacing w:line="480" w:lineRule="auto"/>
        <w:jc w:val="both"/>
        <w:rPr>
          <w:b/>
          <w:bCs/>
          <w:lang w:eastAsia="zh-CN"/>
        </w:rPr>
      </w:pPr>
      <w:r>
        <w:rPr>
          <w:b/>
          <w:bCs/>
          <w:lang w:eastAsia="zh-CN"/>
        </w:rPr>
        <w:t xml:space="preserve">Results </w:t>
      </w:r>
    </w:p>
    <w:p w14:paraId="2DC295CD" w14:textId="744FB839" w:rsidR="009325F2" w:rsidRDefault="007E1A74" w:rsidP="009325F2">
      <w:pPr>
        <w:spacing w:line="480" w:lineRule="auto"/>
        <w:ind w:firstLine="720"/>
        <w:jc w:val="both"/>
        <w:rPr>
          <w:lang w:eastAsia="zh-CN"/>
        </w:rPr>
      </w:pPr>
      <w:r>
        <w:rPr>
          <w:lang w:eastAsia="zh-CN"/>
        </w:rPr>
        <w:t>As hypothesized, and contrary to Study 1, p</w:t>
      </w:r>
      <w:r w:rsidR="009325F2">
        <w:rPr>
          <w:lang w:eastAsia="zh-CN"/>
        </w:rPr>
        <w:t>articipants’ deviancy aversion predicted</w:t>
      </w:r>
      <w:r w:rsidR="005F42D1">
        <w:rPr>
          <w:lang w:eastAsia="zh-CN"/>
        </w:rPr>
        <w:t xml:space="preserve"> </w:t>
      </w:r>
      <w:r w:rsidR="005F42D1">
        <w:rPr>
          <w:i/>
          <w:iCs/>
          <w:lang w:eastAsia="zh-CN"/>
        </w:rPr>
        <w:t xml:space="preserve">reduced </w:t>
      </w:r>
      <w:r w:rsidR="005F42D1">
        <w:rPr>
          <w:lang w:eastAsia="zh-CN"/>
        </w:rPr>
        <w:t xml:space="preserve">negative affect towards fictional norm following (a </w:t>
      </w:r>
      <w:proofErr w:type="spellStart"/>
      <w:r w:rsidR="005F42D1">
        <w:rPr>
          <w:lang w:eastAsia="zh-CN"/>
        </w:rPr>
        <w:t>Flurp</w:t>
      </w:r>
      <w:proofErr w:type="spellEnd"/>
      <w:r w:rsidR="005F42D1">
        <w:rPr>
          <w:lang w:eastAsia="zh-CN"/>
        </w:rPr>
        <w:t xml:space="preserve"> living in a Blue house), </w:t>
      </w:r>
      <w:proofErr w:type="gramStart"/>
      <w:r w:rsidR="000F7182" w:rsidRPr="00D013D2">
        <w:rPr>
          <w:i/>
          <w:iCs/>
        </w:rPr>
        <w:t>r</w:t>
      </w:r>
      <w:r w:rsidR="000F7182">
        <w:t>(</w:t>
      </w:r>
      <w:proofErr w:type="gramEnd"/>
      <w:r w:rsidR="000F7182">
        <w:t xml:space="preserve">95) = -.24, </w:t>
      </w:r>
      <w:r w:rsidR="000F7182">
        <w:rPr>
          <w:i/>
          <w:iCs/>
        </w:rPr>
        <w:t xml:space="preserve">p </w:t>
      </w:r>
      <w:r w:rsidR="000F7182">
        <w:t xml:space="preserve">= .014. </w:t>
      </w:r>
      <w:r w:rsidR="0082327C">
        <w:t xml:space="preserve">This link remained when additionally controlling for participants’ aversion towards </w:t>
      </w:r>
      <w:r w:rsidR="0082327C">
        <w:rPr>
          <w:i/>
          <w:iCs/>
        </w:rPr>
        <w:t>un</w:t>
      </w:r>
      <w:r w:rsidR="0082327C">
        <w:t xml:space="preserve">broken patterns, </w:t>
      </w:r>
      <w:proofErr w:type="gramStart"/>
      <w:r w:rsidR="0082327C" w:rsidRPr="00D013D2">
        <w:rPr>
          <w:i/>
          <w:iCs/>
        </w:rPr>
        <w:t>r</w:t>
      </w:r>
      <w:r w:rsidR="0082327C">
        <w:t>(</w:t>
      </w:r>
      <w:proofErr w:type="gramEnd"/>
      <w:r w:rsidR="0082327C">
        <w:t xml:space="preserve">94) = -.21, </w:t>
      </w:r>
      <w:r w:rsidR="0082327C">
        <w:rPr>
          <w:i/>
          <w:iCs/>
        </w:rPr>
        <w:t xml:space="preserve">p </w:t>
      </w:r>
      <w:r w:rsidR="0082327C">
        <w:t xml:space="preserve">= .039. </w:t>
      </w:r>
      <w:r w:rsidR="001601E3">
        <w:t xml:space="preserve">These results indicate that the slightly positive link between deviancy aversion and negative affect towards fictional norm following in Study 1 was spurious or due to the </w:t>
      </w:r>
      <w:r w:rsidR="000F6AB3">
        <w:t xml:space="preserve">high </w:t>
      </w:r>
      <w:r w:rsidR="001601E3">
        <w:t xml:space="preserve">skewness of the original measure. </w:t>
      </w:r>
      <w:r w:rsidR="0082327C">
        <w:t xml:space="preserve"> </w:t>
      </w:r>
      <w:r w:rsidR="005F42D1">
        <w:rPr>
          <w:lang w:eastAsia="zh-CN"/>
        </w:rPr>
        <w:t xml:space="preserve"> </w:t>
      </w:r>
    </w:p>
    <w:p w14:paraId="6C597391" w14:textId="77777777" w:rsidR="009325F2" w:rsidRPr="007F249B" w:rsidRDefault="009325F2" w:rsidP="009325F2">
      <w:pPr>
        <w:spacing w:line="480" w:lineRule="auto"/>
        <w:jc w:val="both"/>
        <w:rPr>
          <w:b/>
          <w:bCs/>
        </w:rPr>
      </w:pPr>
    </w:p>
    <w:p w14:paraId="3472CB87" w14:textId="77777777" w:rsidR="00E81E23" w:rsidRPr="007044CA" w:rsidRDefault="00E81E23" w:rsidP="005B1777">
      <w:pPr>
        <w:spacing w:line="480" w:lineRule="auto"/>
        <w:ind w:firstLine="480"/>
        <w:jc w:val="both"/>
        <w:rPr>
          <w:rFonts w:eastAsia="Times New Roman"/>
          <w:b/>
          <w:szCs w:val="20"/>
          <w:u w:val="single"/>
        </w:rPr>
      </w:pPr>
    </w:p>
    <w:p w14:paraId="5BA704D7" w14:textId="3EE5A085" w:rsidR="00557BE4" w:rsidRPr="00213EFA" w:rsidRDefault="00557BE4" w:rsidP="009F07CB">
      <w:pPr>
        <w:rPr>
          <w:rFonts w:eastAsia="Times New Roman"/>
          <w:szCs w:val="20"/>
        </w:rPr>
      </w:pPr>
      <w:r w:rsidRPr="007044CA">
        <w:rPr>
          <w:rFonts w:eastAsia="Times New Roman"/>
          <w:szCs w:val="20"/>
        </w:rPr>
        <w:t xml:space="preserve">  </w:t>
      </w:r>
    </w:p>
    <w:p w14:paraId="64A1EF73" w14:textId="77777777" w:rsidR="00903EAC" w:rsidRDefault="00903EAC">
      <w:pPr>
        <w:spacing w:after="160" w:line="259" w:lineRule="auto"/>
      </w:pPr>
      <w:r>
        <w:br w:type="page"/>
      </w:r>
    </w:p>
    <w:p w14:paraId="1C7BCA5E" w14:textId="224016E9" w:rsidR="00557BE4" w:rsidRDefault="00903EAC" w:rsidP="00903EAC">
      <w:pPr>
        <w:spacing w:line="480" w:lineRule="auto"/>
        <w:jc w:val="center"/>
        <w:rPr>
          <w:b/>
        </w:rPr>
      </w:pPr>
      <w:r>
        <w:rPr>
          <w:b/>
        </w:rPr>
        <w:lastRenderedPageBreak/>
        <w:t>Supplemental References</w:t>
      </w:r>
    </w:p>
    <w:p w14:paraId="1DDD48B6" w14:textId="77777777" w:rsidR="00FB3F70" w:rsidRDefault="00FB3F70" w:rsidP="00D6115A">
      <w:pPr>
        <w:rPr>
          <w:rFonts w:eastAsia="Times New Roman"/>
          <w:lang w:eastAsia="zh-CN"/>
        </w:rPr>
      </w:pPr>
    </w:p>
    <w:p w14:paraId="375A1ADB" w14:textId="084AE7F4" w:rsidR="005D54B6" w:rsidRDefault="005D54B6" w:rsidP="005D54B6">
      <w:pPr>
        <w:ind w:left="720" w:hanging="720"/>
        <w:rPr>
          <w:rFonts w:eastAsia="Times New Roman"/>
          <w:lang w:eastAsia="zh-CN"/>
        </w:rPr>
      </w:pPr>
      <w:proofErr w:type="spellStart"/>
      <w:r w:rsidRPr="00F756BA">
        <w:rPr>
          <w:rFonts w:eastAsia="Times New Roman"/>
          <w:lang w:eastAsia="zh-CN"/>
        </w:rPr>
        <w:t>Haghighat</w:t>
      </w:r>
      <w:proofErr w:type="spellEnd"/>
      <w:r w:rsidRPr="00F756BA">
        <w:rPr>
          <w:rFonts w:eastAsia="Times New Roman"/>
          <w:lang w:eastAsia="zh-CN"/>
        </w:rPr>
        <w:t>, R. (2007). The development of the brief social desirability scale (BSDS). </w:t>
      </w:r>
      <w:r w:rsidRPr="00F756BA">
        <w:rPr>
          <w:rFonts w:eastAsia="Times New Roman"/>
          <w:i/>
          <w:iCs/>
          <w:lang w:eastAsia="zh-CN"/>
        </w:rPr>
        <w:t>Europe’s Journal of Psychology</w:t>
      </w:r>
      <w:r w:rsidRPr="00F756BA">
        <w:rPr>
          <w:rFonts w:eastAsia="Times New Roman"/>
          <w:lang w:eastAsia="zh-CN"/>
        </w:rPr>
        <w:t>, </w:t>
      </w:r>
      <w:r w:rsidRPr="00F756BA">
        <w:rPr>
          <w:rFonts w:eastAsia="Times New Roman"/>
          <w:i/>
          <w:iCs/>
          <w:lang w:eastAsia="zh-CN"/>
        </w:rPr>
        <w:t>3</w:t>
      </w:r>
      <w:r w:rsidRPr="00F756BA">
        <w:rPr>
          <w:rFonts w:eastAsia="Times New Roman"/>
          <w:lang w:eastAsia="zh-CN"/>
        </w:rPr>
        <w:t>.</w:t>
      </w:r>
    </w:p>
    <w:p w14:paraId="3E9C1861" w14:textId="05601204" w:rsidR="00CD6FC0" w:rsidRDefault="00CD6FC0" w:rsidP="005D54B6">
      <w:pPr>
        <w:rPr>
          <w:rFonts w:eastAsia="Times New Roman"/>
          <w:lang w:eastAsia="zh-CN"/>
        </w:rPr>
      </w:pPr>
    </w:p>
    <w:p w14:paraId="5929AA74" w14:textId="3A8A6D0F" w:rsidR="00CD6FC0" w:rsidRDefault="00CD6FC0" w:rsidP="00CD6FC0">
      <w:pPr>
        <w:ind w:left="720" w:hanging="720"/>
        <w:rPr>
          <w:rFonts w:eastAsia="Times New Roman"/>
          <w:lang w:eastAsia="zh-CN"/>
        </w:rPr>
      </w:pPr>
      <w:r w:rsidRPr="00CD6FC0">
        <w:rPr>
          <w:rFonts w:eastAsia="Times New Roman"/>
          <w:lang w:eastAsia="zh-CN"/>
        </w:rPr>
        <w:t xml:space="preserve">Van </w:t>
      </w:r>
      <w:proofErr w:type="spellStart"/>
      <w:r w:rsidRPr="00CD6FC0">
        <w:rPr>
          <w:rFonts w:eastAsia="Times New Roman"/>
          <w:lang w:eastAsia="zh-CN"/>
        </w:rPr>
        <w:t>Overveld</w:t>
      </w:r>
      <w:proofErr w:type="spellEnd"/>
      <w:r w:rsidRPr="00CD6FC0">
        <w:rPr>
          <w:rFonts w:eastAsia="Times New Roman"/>
          <w:lang w:eastAsia="zh-CN"/>
        </w:rPr>
        <w:t>, W. J. M., De Jong, P. J., Peters, M. L., Cavanagh, K., &amp; Davey, G. C. L. (2006). Disgust propensity and disgust sensitivity: Separate constructs that are differentially related to specific fears. </w:t>
      </w:r>
      <w:r w:rsidRPr="00CD6FC0">
        <w:rPr>
          <w:rFonts w:eastAsia="Times New Roman"/>
          <w:i/>
          <w:iCs/>
          <w:lang w:eastAsia="zh-CN"/>
        </w:rPr>
        <w:t>Personality and Individual Differences</w:t>
      </w:r>
      <w:r w:rsidRPr="00CD6FC0">
        <w:rPr>
          <w:rFonts w:eastAsia="Times New Roman"/>
          <w:lang w:eastAsia="zh-CN"/>
        </w:rPr>
        <w:t>, </w:t>
      </w:r>
      <w:r w:rsidRPr="00CD6FC0">
        <w:rPr>
          <w:rFonts w:eastAsia="Times New Roman"/>
          <w:i/>
          <w:iCs/>
          <w:lang w:eastAsia="zh-CN"/>
        </w:rPr>
        <w:t>41</w:t>
      </w:r>
      <w:r w:rsidRPr="00CD6FC0">
        <w:rPr>
          <w:rFonts w:eastAsia="Times New Roman"/>
          <w:lang w:eastAsia="zh-CN"/>
        </w:rPr>
        <w:t>, 1241-1252.</w:t>
      </w:r>
    </w:p>
    <w:p w14:paraId="6B86A540" w14:textId="277E690F" w:rsidR="005D54B6" w:rsidRDefault="005D54B6" w:rsidP="00CD6FC0">
      <w:pPr>
        <w:ind w:left="720" w:hanging="720"/>
        <w:rPr>
          <w:rFonts w:eastAsia="Times New Roman"/>
          <w:lang w:eastAsia="zh-CN"/>
        </w:rPr>
      </w:pPr>
    </w:p>
    <w:p w14:paraId="24085817" w14:textId="77777777" w:rsidR="005D54B6" w:rsidRDefault="005D54B6" w:rsidP="005D54B6">
      <w:pPr>
        <w:ind w:left="720" w:hanging="720"/>
        <w:rPr>
          <w:rFonts w:eastAsia="Times New Roman"/>
          <w:lang w:eastAsia="zh-CN"/>
        </w:rPr>
      </w:pPr>
      <w:r w:rsidRPr="008C6B62">
        <w:rPr>
          <w:rFonts w:eastAsia="Times New Roman"/>
          <w:lang w:eastAsia="zh-CN"/>
        </w:rPr>
        <w:t xml:space="preserve">Zhou, H., &amp; </w:t>
      </w:r>
      <w:proofErr w:type="spellStart"/>
      <w:r w:rsidRPr="008C6B62">
        <w:rPr>
          <w:rFonts w:eastAsia="Times New Roman"/>
          <w:lang w:eastAsia="zh-CN"/>
        </w:rPr>
        <w:t>Fishbach</w:t>
      </w:r>
      <w:proofErr w:type="spellEnd"/>
      <w:r w:rsidRPr="008C6B62">
        <w:rPr>
          <w:rFonts w:eastAsia="Times New Roman"/>
          <w:lang w:eastAsia="zh-CN"/>
        </w:rPr>
        <w:t>, A. (2016). The pitfall of experimenting on the web: How unattended selective attrition leads to surprising (yet false) research conclusions. </w:t>
      </w:r>
      <w:r w:rsidRPr="008C6B62">
        <w:rPr>
          <w:rFonts w:eastAsia="Times New Roman"/>
          <w:i/>
          <w:iCs/>
          <w:lang w:eastAsia="zh-CN"/>
        </w:rPr>
        <w:t>Journal of Personality and Social Psychology, 111</w:t>
      </w:r>
      <w:r w:rsidRPr="008C6B62">
        <w:rPr>
          <w:rFonts w:eastAsia="Times New Roman"/>
          <w:lang w:eastAsia="zh-CN"/>
        </w:rPr>
        <w:t>, 493-504.</w:t>
      </w:r>
    </w:p>
    <w:p w14:paraId="23FBE5DD" w14:textId="77777777" w:rsidR="004A55D6" w:rsidRDefault="004A55D6"/>
    <w:sectPr w:rsidR="004A55D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EE9C" w14:textId="77777777" w:rsidR="00551E8D" w:rsidRDefault="00551E8D" w:rsidP="00557BE4">
      <w:r>
        <w:separator/>
      </w:r>
    </w:p>
  </w:endnote>
  <w:endnote w:type="continuationSeparator" w:id="0">
    <w:p w14:paraId="38EFBD54" w14:textId="77777777" w:rsidR="00551E8D" w:rsidRDefault="00551E8D" w:rsidP="0055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7DD9" w14:textId="77777777" w:rsidR="00551E8D" w:rsidRDefault="00551E8D" w:rsidP="00557BE4">
      <w:r>
        <w:separator/>
      </w:r>
    </w:p>
  </w:footnote>
  <w:footnote w:type="continuationSeparator" w:id="0">
    <w:p w14:paraId="7B111B22" w14:textId="77777777" w:rsidR="00551E8D" w:rsidRDefault="00551E8D" w:rsidP="00557BE4">
      <w:r>
        <w:continuationSeparator/>
      </w:r>
    </w:p>
  </w:footnote>
  <w:footnote w:id="1">
    <w:p w14:paraId="644552CB" w14:textId="77777777" w:rsidR="005F7E4C" w:rsidRDefault="005F7E4C" w:rsidP="005F7E4C">
      <w:pPr>
        <w:pStyle w:val="FootnoteText"/>
      </w:pPr>
      <w:r>
        <w:rPr>
          <w:rStyle w:val="FootnoteReference"/>
        </w:rPr>
        <w:footnoteRef/>
      </w:r>
      <w:r>
        <w:t xml:space="preserve"> Eight additional participants were excluded from the COVID-19 knowledge results as they admitted to looking up some answers to the quiz online. </w:t>
      </w:r>
    </w:p>
  </w:footnote>
  <w:footnote w:id="2">
    <w:p w14:paraId="5C941279" w14:textId="77777777" w:rsidR="007C34A9" w:rsidRPr="00F66AC3" w:rsidRDefault="007C34A9" w:rsidP="007C34A9">
      <w:pPr>
        <w:pStyle w:val="FootnoteText"/>
      </w:pPr>
      <w:r>
        <w:rPr>
          <w:rStyle w:val="FootnoteReference"/>
        </w:rPr>
        <w:footnoteRef/>
      </w:r>
      <w:r>
        <w:t xml:space="preserve"> The overall interaction effect is reported here. For the individual measures, a significant interaction was observed for the negative affect towards fictional norm violations measure, </w:t>
      </w:r>
      <w:r>
        <w:rPr>
          <w:i/>
          <w:iCs/>
        </w:rPr>
        <w:t xml:space="preserve">p </w:t>
      </w:r>
      <w:r>
        <w:t xml:space="preserve">= .023. Further analyses revealed, however, that the effect of deviancy aversion was stronger for participants whose responses included </w:t>
      </w:r>
      <w:r w:rsidRPr="00857F4E">
        <w:rPr>
          <w:i/>
          <w:iCs/>
        </w:rPr>
        <w:t>fewer</w:t>
      </w:r>
      <w:r>
        <w:t xml:space="preserve"> rather than greater </w:t>
      </w:r>
      <w:r w:rsidRPr="00857F4E">
        <w:t>social</w:t>
      </w:r>
      <w:r>
        <w:rPr>
          <w:i/>
          <w:iCs/>
        </w:rPr>
        <w:t xml:space="preserve"> </w:t>
      </w:r>
      <w:r>
        <w:t xml:space="preserve">word-use.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017151"/>
      <w:docPartObj>
        <w:docPartGallery w:val="Page Numbers (Top of Page)"/>
        <w:docPartUnique/>
      </w:docPartObj>
    </w:sdtPr>
    <w:sdtEndPr>
      <w:rPr>
        <w:noProof/>
      </w:rPr>
    </w:sdtEndPr>
    <w:sdtContent>
      <w:p w14:paraId="7966984F" w14:textId="6CC84681" w:rsidR="00F85319" w:rsidRDefault="00F853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4A713E" w14:textId="77777777" w:rsidR="00F85319" w:rsidRDefault="00F85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568E"/>
    <w:multiLevelType w:val="hybridMultilevel"/>
    <w:tmpl w:val="1902D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70479"/>
    <w:multiLevelType w:val="hybridMultilevel"/>
    <w:tmpl w:val="3A8C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8091C"/>
    <w:multiLevelType w:val="hybridMultilevel"/>
    <w:tmpl w:val="4F74A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032044">
    <w:abstractNumId w:val="0"/>
  </w:num>
  <w:num w:numId="2" w16cid:durableId="2012832563">
    <w:abstractNumId w:val="1"/>
  </w:num>
  <w:num w:numId="3" w16cid:durableId="816189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E4"/>
    <w:rsid w:val="00001B9B"/>
    <w:rsid w:val="00003C08"/>
    <w:rsid w:val="00006CFD"/>
    <w:rsid w:val="00010AB0"/>
    <w:rsid w:val="00021A40"/>
    <w:rsid w:val="00021FB7"/>
    <w:rsid w:val="000234A5"/>
    <w:rsid w:val="00024F84"/>
    <w:rsid w:val="000279BB"/>
    <w:rsid w:val="000313CB"/>
    <w:rsid w:val="000363FB"/>
    <w:rsid w:val="00040B3B"/>
    <w:rsid w:val="0004531C"/>
    <w:rsid w:val="00046A36"/>
    <w:rsid w:val="00054794"/>
    <w:rsid w:val="00054B59"/>
    <w:rsid w:val="00060784"/>
    <w:rsid w:val="0006218D"/>
    <w:rsid w:val="00062EE4"/>
    <w:rsid w:val="000669CF"/>
    <w:rsid w:val="00070549"/>
    <w:rsid w:val="00082ACE"/>
    <w:rsid w:val="000904EB"/>
    <w:rsid w:val="000A25D9"/>
    <w:rsid w:val="000B3313"/>
    <w:rsid w:val="000C0107"/>
    <w:rsid w:val="000C26DB"/>
    <w:rsid w:val="000C2B20"/>
    <w:rsid w:val="000C342B"/>
    <w:rsid w:val="000D2C90"/>
    <w:rsid w:val="000D4009"/>
    <w:rsid w:val="000D7482"/>
    <w:rsid w:val="000E31B4"/>
    <w:rsid w:val="000F2C3C"/>
    <w:rsid w:val="000F3227"/>
    <w:rsid w:val="000F4215"/>
    <w:rsid w:val="000F6AB3"/>
    <w:rsid w:val="000F6C8E"/>
    <w:rsid w:val="000F7182"/>
    <w:rsid w:val="0010105C"/>
    <w:rsid w:val="001058E9"/>
    <w:rsid w:val="00120A02"/>
    <w:rsid w:val="00122336"/>
    <w:rsid w:val="00130B23"/>
    <w:rsid w:val="001376FA"/>
    <w:rsid w:val="00140C67"/>
    <w:rsid w:val="00151962"/>
    <w:rsid w:val="00151CCE"/>
    <w:rsid w:val="00155F7D"/>
    <w:rsid w:val="001601E3"/>
    <w:rsid w:val="001635FF"/>
    <w:rsid w:val="001639B6"/>
    <w:rsid w:val="001650F9"/>
    <w:rsid w:val="00177BD3"/>
    <w:rsid w:val="00177CA2"/>
    <w:rsid w:val="001813E0"/>
    <w:rsid w:val="00182CB0"/>
    <w:rsid w:val="0018387E"/>
    <w:rsid w:val="00193397"/>
    <w:rsid w:val="001971B4"/>
    <w:rsid w:val="001A0264"/>
    <w:rsid w:val="001C701B"/>
    <w:rsid w:val="001D0C67"/>
    <w:rsid w:val="001D2CBD"/>
    <w:rsid w:val="001D42E0"/>
    <w:rsid w:val="001D5FF1"/>
    <w:rsid w:val="001E3CE8"/>
    <w:rsid w:val="001E4AE5"/>
    <w:rsid w:val="001E5F6C"/>
    <w:rsid w:val="00202FBC"/>
    <w:rsid w:val="00206C8A"/>
    <w:rsid w:val="00220AED"/>
    <w:rsid w:val="00221432"/>
    <w:rsid w:val="00224263"/>
    <w:rsid w:val="00244910"/>
    <w:rsid w:val="00244F2A"/>
    <w:rsid w:val="002516C4"/>
    <w:rsid w:val="002526EB"/>
    <w:rsid w:val="00252AFF"/>
    <w:rsid w:val="00255687"/>
    <w:rsid w:val="002811BC"/>
    <w:rsid w:val="00282867"/>
    <w:rsid w:val="002832C2"/>
    <w:rsid w:val="00284944"/>
    <w:rsid w:val="00296FD8"/>
    <w:rsid w:val="002A4DC4"/>
    <w:rsid w:val="002A545A"/>
    <w:rsid w:val="002B22FD"/>
    <w:rsid w:val="002B53B0"/>
    <w:rsid w:val="002B5EAB"/>
    <w:rsid w:val="002B7C17"/>
    <w:rsid w:val="002C2AC6"/>
    <w:rsid w:val="002C4F72"/>
    <w:rsid w:val="002C59D9"/>
    <w:rsid w:val="002C7DD3"/>
    <w:rsid w:val="002D3CCF"/>
    <w:rsid w:val="002D45F5"/>
    <w:rsid w:val="002E7874"/>
    <w:rsid w:val="002F54F0"/>
    <w:rsid w:val="002F561F"/>
    <w:rsid w:val="002F66B2"/>
    <w:rsid w:val="002F6DD3"/>
    <w:rsid w:val="0030212F"/>
    <w:rsid w:val="0030429F"/>
    <w:rsid w:val="00314AAD"/>
    <w:rsid w:val="003228A1"/>
    <w:rsid w:val="00325C85"/>
    <w:rsid w:val="003261F1"/>
    <w:rsid w:val="003264AC"/>
    <w:rsid w:val="00331544"/>
    <w:rsid w:val="00334627"/>
    <w:rsid w:val="003349A4"/>
    <w:rsid w:val="00341E58"/>
    <w:rsid w:val="00346055"/>
    <w:rsid w:val="00353884"/>
    <w:rsid w:val="0035677B"/>
    <w:rsid w:val="003576A4"/>
    <w:rsid w:val="0036284D"/>
    <w:rsid w:val="003629DF"/>
    <w:rsid w:val="0036492E"/>
    <w:rsid w:val="00372B41"/>
    <w:rsid w:val="00373FD1"/>
    <w:rsid w:val="0037497D"/>
    <w:rsid w:val="00376F91"/>
    <w:rsid w:val="00381B08"/>
    <w:rsid w:val="00381B50"/>
    <w:rsid w:val="00384A60"/>
    <w:rsid w:val="00387476"/>
    <w:rsid w:val="003A0065"/>
    <w:rsid w:val="003B0263"/>
    <w:rsid w:val="003B0B7B"/>
    <w:rsid w:val="003B3B25"/>
    <w:rsid w:val="003B76CF"/>
    <w:rsid w:val="003C2E9E"/>
    <w:rsid w:val="003C3F93"/>
    <w:rsid w:val="003C5DF0"/>
    <w:rsid w:val="003C6626"/>
    <w:rsid w:val="003C6CAA"/>
    <w:rsid w:val="003D0E4B"/>
    <w:rsid w:val="003D6464"/>
    <w:rsid w:val="003E0944"/>
    <w:rsid w:val="003E1636"/>
    <w:rsid w:val="003E7F1F"/>
    <w:rsid w:val="003F139C"/>
    <w:rsid w:val="003F2466"/>
    <w:rsid w:val="003F33D0"/>
    <w:rsid w:val="003F43F1"/>
    <w:rsid w:val="004024E3"/>
    <w:rsid w:val="0040286D"/>
    <w:rsid w:val="0040478D"/>
    <w:rsid w:val="00406399"/>
    <w:rsid w:val="00411E73"/>
    <w:rsid w:val="0041265D"/>
    <w:rsid w:val="00415CC7"/>
    <w:rsid w:val="004215CA"/>
    <w:rsid w:val="00430644"/>
    <w:rsid w:val="004316FA"/>
    <w:rsid w:val="00455905"/>
    <w:rsid w:val="00456E4C"/>
    <w:rsid w:val="004576E9"/>
    <w:rsid w:val="00460DED"/>
    <w:rsid w:val="00461BF9"/>
    <w:rsid w:val="00463FFE"/>
    <w:rsid w:val="00467D0F"/>
    <w:rsid w:val="004710AE"/>
    <w:rsid w:val="0047198D"/>
    <w:rsid w:val="0047216D"/>
    <w:rsid w:val="0047381D"/>
    <w:rsid w:val="004832FC"/>
    <w:rsid w:val="00484040"/>
    <w:rsid w:val="00497040"/>
    <w:rsid w:val="004A0B05"/>
    <w:rsid w:val="004A4601"/>
    <w:rsid w:val="004A55D6"/>
    <w:rsid w:val="004A7F6D"/>
    <w:rsid w:val="004B04BF"/>
    <w:rsid w:val="004B0A23"/>
    <w:rsid w:val="004B45F2"/>
    <w:rsid w:val="004B4F0A"/>
    <w:rsid w:val="004C31D5"/>
    <w:rsid w:val="004C6242"/>
    <w:rsid w:val="004D48F0"/>
    <w:rsid w:val="004D633C"/>
    <w:rsid w:val="004D7035"/>
    <w:rsid w:val="004E044D"/>
    <w:rsid w:val="004E4287"/>
    <w:rsid w:val="004F389D"/>
    <w:rsid w:val="004F5595"/>
    <w:rsid w:val="004F69BC"/>
    <w:rsid w:val="004F75EF"/>
    <w:rsid w:val="00500D71"/>
    <w:rsid w:val="005018F4"/>
    <w:rsid w:val="00503AE1"/>
    <w:rsid w:val="005070AA"/>
    <w:rsid w:val="00511617"/>
    <w:rsid w:val="00517241"/>
    <w:rsid w:val="00520DD2"/>
    <w:rsid w:val="00520FEF"/>
    <w:rsid w:val="00522B4E"/>
    <w:rsid w:val="00522DF9"/>
    <w:rsid w:val="005261E1"/>
    <w:rsid w:val="00543DCE"/>
    <w:rsid w:val="00544A08"/>
    <w:rsid w:val="00544D4B"/>
    <w:rsid w:val="00546C98"/>
    <w:rsid w:val="00551E8D"/>
    <w:rsid w:val="00555F68"/>
    <w:rsid w:val="00557BE4"/>
    <w:rsid w:val="0056246F"/>
    <w:rsid w:val="0056279C"/>
    <w:rsid w:val="00565B14"/>
    <w:rsid w:val="00566237"/>
    <w:rsid w:val="005669AF"/>
    <w:rsid w:val="005749C2"/>
    <w:rsid w:val="00583287"/>
    <w:rsid w:val="0058579A"/>
    <w:rsid w:val="00590511"/>
    <w:rsid w:val="00590EBE"/>
    <w:rsid w:val="00593D20"/>
    <w:rsid w:val="005A130D"/>
    <w:rsid w:val="005A2DD7"/>
    <w:rsid w:val="005A56BF"/>
    <w:rsid w:val="005A7C77"/>
    <w:rsid w:val="005B1777"/>
    <w:rsid w:val="005B4F5A"/>
    <w:rsid w:val="005B6A23"/>
    <w:rsid w:val="005C2C88"/>
    <w:rsid w:val="005C3754"/>
    <w:rsid w:val="005C47CB"/>
    <w:rsid w:val="005C69D9"/>
    <w:rsid w:val="005D1720"/>
    <w:rsid w:val="005D1730"/>
    <w:rsid w:val="005D4A39"/>
    <w:rsid w:val="005D54B6"/>
    <w:rsid w:val="005E2329"/>
    <w:rsid w:val="005E5BDF"/>
    <w:rsid w:val="005E6174"/>
    <w:rsid w:val="005E6FC1"/>
    <w:rsid w:val="005F161B"/>
    <w:rsid w:val="005F418B"/>
    <w:rsid w:val="005F42D1"/>
    <w:rsid w:val="005F7E4C"/>
    <w:rsid w:val="00600AC7"/>
    <w:rsid w:val="0060715C"/>
    <w:rsid w:val="0061045C"/>
    <w:rsid w:val="00610612"/>
    <w:rsid w:val="00622119"/>
    <w:rsid w:val="006242AA"/>
    <w:rsid w:val="006268E1"/>
    <w:rsid w:val="0062734D"/>
    <w:rsid w:val="006305FE"/>
    <w:rsid w:val="00630A3D"/>
    <w:rsid w:val="00630B1F"/>
    <w:rsid w:val="006367D5"/>
    <w:rsid w:val="00641261"/>
    <w:rsid w:val="0064168A"/>
    <w:rsid w:val="0065524A"/>
    <w:rsid w:val="0066592F"/>
    <w:rsid w:val="006669AE"/>
    <w:rsid w:val="00671E73"/>
    <w:rsid w:val="00686544"/>
    <w:rsid w:val="00687397"/>
    <w:rsid w:val="00687EF2"/>
    <w:rsid w:val="00692C5B"/>
    <w:rsid w:val="006955E8"/>
    <w:rsid w:val="0069707C"/>
    <w:rsid w:val="006B045B"/>
    <w:rsid w:val="006B06DF"/>
    <w:rsid w:val="006B0B73"/>
    <w:rsid w:val="006B2A63"/>
    <w:rsid w:val="006C139E"/>
    <w:rsid w:val="006C21E9"/>
    <w:rsid w:val="006D6F2A"/>
    <w:rsid w:val="006E0F8E"/>
    <w:rsid w:val="006E372D"/>
    <w:rsid w:val="006E3BF1"/>
    <w:rsid w:val="006F28A6"/>
    <w:rsid w:val="006F4506"/>
    <w:rsid w:val="006F5DC4"/>
    <w:rsid w:val="006F7952"/>
    <w:rsid w:val="00702960"/>
    <w:rsid w:val="007030F4"/>
    <w:rsid w:val="007041E2"/>
    <w:rsid w:val="0071770E"/>
    <w:rsid w:val="00722BA4"/>
    <w:rsid w:val="00732696"/>
    <w:rsid w:val="0073438B"/>
    <w:rsid w:val="00742DFD"/>
    <w:rsid w:val="00743641"/>
    <w:rsid w:val="007453B8"/>
    <w:rsid w:val="00745E98"/>
    <w:rsid w:val="00751EC2"/>
    <w:rsid w:val="00752D42"/>
    <w:rsid w:val="00752F04"/>
    <w:rsid w:val="00755210"/>
    <w:rsid w:val="00760671"/>
    <w:rsid w:val="00764937"/>
    <w:rsid w:val="007677F2"/>
    <w:rsid w:val="007678CD"/>
    <w:rsid w:val="00773948"/>
    <w:rsid w:val="00797358"/>
    <w:rsid w:val="007A1FD3"/>
    <w:rsid w:val="007A4DE5"/>
    <w:rsid w:val="007C079F"/>
    <w:rsid w:val="007C34A9"/>
    <w:rsid w:val="007C49C8"/>
    <w:rsid w:val="007C7873"/>
    <w:rsid w:val="007D024C"/>
    <w:rsid w:val="007D27A3"/>
    <w:rsid w:val="007E1A74"/>
    <w:rsid w:val="007F249B"/>
    <w:rsid w:val="007F73A4"/>
    <w:rsid w:val="00801707"/>
    <w:rsid w:val="00802076"/>
    <w:rsid w:val="0081202F"/>
    <w:rsid w:val="00821BAD"/>
    <w:rsid w:val="0082327C"/>
    <w:rsid w:val="00823821"/>
    <w:rsid w:val="008251B8"/>
    <w:rsid w:val="0082542C"/>
    <w:rsid w:val="008429D5"/>
    <w:rsid w:val="00853B7B"/>
    <w:rsid w:val="00863039"/>
    <w:rsid w:val="008650E7"/>
    <w:rsid w:val="00874476"/>
    <w:rsid w:val="00874B4D"/>
    <w:rsid w:val="008847B5"/>
    <w:rsid w:val="0088699F"/>
    <w:rsid w:val="00894291"/>
    <w:rsid w:val="008967E3"/>
    <w:rsid w:val="008A5A62"/>
    <w:rsid w:val="008B014A"/>
    <w:rsid w:val="008B4BDC"/>
    <w:rsid w:val="008B5F99"/>
    <w:rsid w:val="008C12CF"/>
    <w:rsid w:val="008C1AC3"/>
    <w:rsid w:val="008C35C5"/>
    <w:rsid w:val="008C7C7F"/>
    <w:rsid w:val="008D5D01"/>
    <w:rsid w:val="008E1386"/>
    <w:rsid w:val="008E5E04"/>
    <w:rsid w:val="008F1C66"/>
    <w:rsid w:val="008F34BE"/>
    <w:rsid w:val="008F35BD"/>
    <w:rsid w:val="008F7168"/>
    <w:rsid w:val="008F78E9"/>
    <w:rsid w:val="00903A4C"/>
    <w:rsid w:val="00903E6F"/>
    <w:rsid w:val="00903EAC"/>
    <w:rsid w:val="00921DEB"/>
    <w:rsid w:val="0092212C"/>
    <w:rsid w:val="009229BE"/>
    <w:rsid w:val="00925980"/>
    <w:rsid w:val="00931070"/>
    <w:rsid w:val="00931BE2"/>
    <w:rsid w:val="009325F2"/>
    <w:rsid w:val="0094102C"/>
    <w:rsid w:val="0095104E"/>
    <w:rsid w:val="00952973"/>
    <w:rsid w:val="009547EF"/>
    <w:rsid w:val="00957034"/>
    <w:rsid w:val="00963261"/>
    <w:rsid w:val="009654BE"/>
    <w:rsid w:val="00970B67"/>
    <w:rsid w:val="00977F03"/>
    <w:rsid w:val="009875E3"/>
    <w:rsid w:val="009A50B8"/>
    <w:rsid w:val="009A681E"/>
    <w:rsid w:val="009C1D44"/>
    <w:rsid w:val="009C4805"/>
    <w:rsid w:val="009D5A47"/>
    <w:rsid w:val="009D74DA"/>
    <w:rsid w:val="009E1EFC"/>
    <w:rsid w:val="009F07CB"/>
    <w:rsid w:val="009F2C97"/>
    <w:rsid w:val="009F3153"/>
    <w:rsid w:val="00A015BC"/>
    <w:rsid w:val="00A028ED"/>
    <w:rsid w:val="00A050B2"/>
    <w:rsid w:val="00A052C8"/>
    <w:rsid w:val="00A11A84"/>
    <w:rsid w:val="00A20FB2"/>
    <w:rsid w:val="00A218EC"/>
    <w:rsid w:val="00A2193D"/>
    <w:rsid w:val="00A223A7"/>
    <w:rsid w:val="00A248FA"/>
    <w:rsid w:val="00A252AF"/>
    <w:rsid w:val="00A27DD4"/>
    <w:rsid w:val="00A31242"/>
    <w:rsid w:val="00A370BC"/>
    <w:rsid w:val="00A4284B"/>
    <w:rsid w:val="00A43320"/>
    <w:rsid w:val="00A515EC"/>
    <w:rsid w:val="00A57C79"/>
    <w:rsid w:val="00A57D32"/>
    <w:rsid w:val="00A650C9"/>
    <w:rsid w:val="00A65204"/>
    <w:rsid w:val="00A74DE3"/>
    <w:rsid w:val="00A754F6"/>
    <w:rsid w:val="00A75932"/>
    <w:rsid w:val="00A764ED"/>
    <w:rsid w:val="00A80298"/>
    <w:rsid w:val="00A808FC"/>
    <w:rsid w:val="00A80C13"/>
    <w:rsid w:val="00A81FB5"/>
    <w:rsid w:val="00A864DF"/>
    <w:rsid w:val="00A867E9"/>
    <w:rsid w:val="00A908D3"/>
    <w:rsid w:val="00A917B4"/>
    <w:rsid w:val="00A96EFC"/>
    <w:rsid w:val="00AA1443"/>
    <w:rsid w:val="00AA3F05"/>
    <w:rsid w:val="00AB2832"/>
    <w:rsid w:val="00AB3961"/>
    <w:rsid w:val="00AB5FC0"/>
    <w:rsid w:val="00AC009D"/>
    <w:rsid w:val="00AC2505"/>
    <w:rsid w:val="00AC26B3"/>
    <w:rsid w:val="00AE0916"/>
    <w:rsid w:val="00AE323A"/>
    <w:rsid w:val="00AE37D1"/>
    <w:rsid w:val="00AE7067"/>
    <w:rsid w:val="00AE7CF0"/>
    <w:rsid w:val="00B04ED4"/>
    <w:rsid w:val="00B06DDD"/>
    <w:rsid w:val="00B115FF"/>
    <w:rsid w:val="00B14D4B"/>
    <w:rsid w:val="00B1766C"/>
    <w:rsid w:val="00B24185"/>
    <w:rsid w:val="00B24296"/>
    <w:rsid w:val="00B35190"/>
    <w:rsid w:val="00B37C69"/>
    <w:rsid w:val="00B42132"/>
    <w:rsid w:val="00B425D6"/>
    <w:rsid w:val="00B443E2"/>
    <w:rsid w:val="00B47001"/>
    <w:rsid w:val="00B51BD3"/>
    <w:rsid w:val="00B5545D"/>
    <w:rsid w:val="00B577AD"/>
    <w:rsid w:val="00B57B9C"/>
    <w:rsid w:val="00B57EA0"/>
    <w:rsid w:val="00B607A5"/>
    <w:rsid w:val="00B619CF"/>
    <w:rsid w:val="00B71FA2"/>
    <w:rsid w:val="00B74193"/>
    <w:rsid w:val="00B75EA1"/>
    <w:rsid w:val="00B764CB"/>
    <w:rsid w:val="00B80017"/>
    <w:rsid w:val="00B83ACD"/>
    <w:rsid w:val="00B84084"/>
    <w:rsid w:val="00B8590F"/>
    <w:rsid w:val="00B86498"/>
    <w:rsid w:val="00B86AD4"/>
    <w:rsid w:val="00B932EC"/>
    <w:rsid w:val="00B958DA"/>
    <w:rsid w:val="00BA21F9"/>
    <w:rsid w:val="00BA27E9"/>
    <w:rsid w:val="00BB0DA1"/>
    <w:rsid w:val="00BB26E8"/>
    <w:rsid w:val="00BB56BA"/>
    <w:rsid w:val="00BB7D8B"/>
    <w:rsid w:val="00BC3E4E"/>
    <w:rsid w:val="00BD0261"/>
    <w:rsid w:val="00BD1A68"/>
    <w:rsid w:val="00BD5469"/>
    <w:rsid w:val="00BE2BFA"/>
    <w:rsid w:val="00BE4384"/>
    <w:rsid w:val="00BE5889"/>
    <w:rsid w:val="00BF4029"/>
    <w:rsid w:val="00BF46E2"/>
    <w:rsid w:val="00BF49C1"/>
    <w:rsid w:val="00C0251F"/>
    <w:rsid w:val="00C12C32"/>
    <w:rsid w:val="00C20E71"/>
    <w:rsid w:val="00C244F4"/>
    <w:rsid w:val="00C32A8E"/>
    <w:rsid w:val="00C366C8"/>
    <w:rsid w:val="00C411DE"/>
    <w:rsid w:val="00C47C6D"/>
    <w:rsid w:val="00C679B2"/>
    <w:rsid w:val="00C74D4E"/>
    <w:rsid w:val="00C75B3D"/>
    <w:rsid w:val="00C83AD7"/>
    <w:rsid w:val="00C91A32"/>
    <w:rsid w:val="00C932C5"/>
    <w:rsid w:val="00CA6059"/>
    <w:rsid w:val="00CA6747"/>
    <w:rsid w:val="00CA6D29"/>
    <w:rsid w:val="00CB6E60"/>
    <w:rsid w:val="00CD06C8"/>
    <w:rsid w:val="00CD151F"/>
    <w:rsid w:val="00CD6FC0"/>
    <w:rsid w:val="00CE09A7"/>
    <w:rsid w:val="00CE14CA"/>
    <w:rsid w:val="00CE1D3A"/>
    <w:rsid w:val="00CE2C9A"/>
    <w:rsid w:val="00CE4361"/>
    <w:rsid w:val="00CE76C7"/>
    <w:rsid w:val="00CF2723"/>
    <w:rsid w:val="00CF304E"/>
    <w:rsid w:val="00CF66D8"/>
    <w:rsid w:val="00D0360F"/>
    <w:rsid w:val="00D15058"/>
    <w:rsid w:val="00D24D76"/>
    <w:rsid w:val="00D31093"/>
    <w:rsid w:val="00D33184"/>
    <w:rsid w:val="00D34C84"/>
    <w:rsid w:val="00D45066"/>
    <w:rsid w:val="00D4633D"/>
    <w:rsid w:val="00D50FC6"/>
    <w:rsid w:val="00D547C7"/>
    <w:rsid w:val="00D54C4C"/>
    <w:rsid w:val="00D6010C"/>
    <w:rsid w:val="00D6115A"/>
    <w:rsid w:val="00D71169"/>
    <w:rsid w:val="00D74CCD"/>
    <w:rsid w:val="00D7663B"/>
    <w:rsid w:val="00D83A1C"/>
    <w:rsid w:val="00D8726D"/>
    <w:rsid w:val="00D87D39"/>
    <w:rsid w:val="00D91AE7"/>
    <w:rsid w:val="00D94E1D"/>
    <w:rsid w:val="00D950BC"/>
    <w:rsid w:val="00DA25DF"/>
    <w:rsid w:val="00DB4DEC"/>
    <w:rsid w:val="00DB67F6"/>
    <w:rsid w:val="00DC4693"/>
    <w:rsid w:val="00DC6C3B"/>
    <w:rsid w:val="00DD0741"/>
    <w:rsid w:val="00DD0E46"/>
    <w:rsid w:val="00DE32AD"/>
    <w:rsid w:val="00DE58A3"/>
    <w:rsid w:val="00DE7D64"/>
    <w:rsid w:val="00DF0E9C"/>
    <w:rsid w:val="00DF23E2"/>
    <w:rsid w:val="00DF499F"/>
    <w:rsid w:val="00E22BC9"/>
    <w:rsid w:val="00E45695"/>
    <w:rsid w:val="00E462E9"/>
    <w:rsid w:val="00E4678C"/>
    <w:rsid w:val="00E50CBC"/>
    <w:rsid w:val="00E52CCB"/>
    <w:rsid w:val="00E56601"/>
    <w:rsid w:val="00E63B0C"/>
    <w:rsid w:val="00E768A2"/>
    <w:rsid w:val="00E76C4E"/>
    <w:rsid w:val="00E773C3"/>
    <w:rsid w:val="00E77CA0"/>
    <w:rsid w:val="00E81E23"/>
    <w:rsid w:val="00E83906"/>
    <w:rsid w:val="00E844B7"/>
    <w:rsid w:val="00E86C7A"/>
    <w:rsid w:val="00EA150D"/>
    <w:rsid w:val="00EA372C"/>
    <w:rsid w:val="00EC1E50"/>
    <w:rsid w:val="00EC7653"/>
    <w:rsid w:val="00ED2EA0"/>
    <w:rsid w:val="00ED6338"/>
    <w:rsid w:val="00EF17C4"/>
    <w:rsid w:val="00EF3D35"/>
    <w:rsid w:val="00EF6321"/>
    <w:rsid w:val="00EF669F"/>
    <w:rsid w:val="00EF6D02"/>
    <w:rsid w:val="00F03E7C"/>
    <w:rsid w:val="00F04E8C"/>
    <w:rsid w:val="00F1289F"/>
    <w:rsid w:val="00F17104"/>
    <w:rsid w:val="00F201CD"/>
    <w:rsid w:val="00F2393A"/>
    <w:rsid w:val="00F24BE9"/>
    <w:rsid w:val="00F46D53"/>
    <w:rsid w:val="00F46D7F"/>
    <w:rsid w:val="00F474E2"/>
    <w:rsid w:val="00F57E5A"/>
    <w:rsid w:val="00F609F2"/>
    <w:rsid w:val="00F61162"/>
    <w:rsid w:val="00F6128D"/>
    <w:rsid w:val="00F61594"/>
    <w:rsid w:val="00F6713E"/>
    <w:rsid w:val="00F73959"/>
    <w:rsid w:val="00F74D0E"/>
    <w:rsid w:val="00F763E2"/>
    <w:rsid w:val="00F85319"/>
    <w:rsid w:val="00F87321"/>
    <w:rsid w:val="00F9102F"/>
    <w:rsid w:val="00F9200B"/>
    <w:rsid w:val="00F962A8"/>
    <w:rsid w:val="00F97D86"/>
    <w:rsid w:val="00FA7DAA"/>
    <w:rsid w:val="00FB370A"/>
    <w:rsid w:val="00FB3F70"/>
    <w:rsid w:val="00FD0F8E"/>
    <w:rsid w:val="00FD3099"/>
    <w:rsid w:val="00FD537B"/>
    <w:rsid w:val="00FD6611"/>
    <w:rsid w:val="00FE4EAC"/>
    <w:rsid w:val="00FF1FD8"/>
    <w:rsid w:val="00FF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43FE"/>
  <w15:docId w15:val="{33BABBB0-AA98-4069-9BB6-01126D8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BE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BE4"/>
    <w:rPr>
      <w:color w:val="0000FF"/>
      <w:u w:val="single"/>
    </w:rPr>
  </w:style>
  <w:style w:type="character" w:customStyle="1" w:styleId="FootnoteTextChar">
    <w:name w:val="Footnote Text Char"/>
    <w:basedOn w:val="DefaultParagraphFont"/>
    <w:link w:val="FootnoteText"/>
    <w:uiPriority w:val="99"/>
    <w:rsid w:val="00557BE4"/>
    <w:rPr>
      <w:rFonts w:ascii="Times New Roman" w:eastAsia="Times New Roman" w:hAnsi="Times New Roman" w:cs="Times New Roman"/>
      <w:color w:val="000000"/>
      <w:sz w:val="20"/>
      <w:szCs w:val="20"/>
    </w:rPr>
  </w:style>
  <w:style w:type="paragraph" w:styleId="FootnoteText">
    <w:name w:val="footnote text"/>
    <w:basedOn w:val="Normal"/>
    <w:link w:val="FootnoteTextChar"/>
    <w:uiPriority w:val="99"/>
    <w:unhideWhenUsed/>
    <w:rsid w:val="00557BE4"/>
    <w:rPr>
      <w:rFonts w:eastAsia="Times New Roman"/>
      <w:color w:val="000000"/>
      <w:sz w:val="20"/>
      <w:szCs w:val="20"/>
    </w:rPr>
  </w:style>
  <w:style w:type="character" w:customStyle="1" w:styleId="FootnoteTextChar1">
    <w:name w:val="Footnote Text Char1"/>
    <w:basedOn w:val="DefaultParagraphFont"/>
    <w:uiPriority w:val="99"/>
    <w:semiHidden/>
    <w:rsid w:val="00557BE4"/>
    <w:rPr>
      <w:rFonts w:ascii="Times New Roman" w:eastAsiaTheme="minorEastAsia" w:hAnsi="Times New Roman" w:cs="Times New Roman"/>
      <w:sz w:val="20"/>
      <w:szCs w:val="20"/>
    </w:rPr>
  </w:style>
  <w:style w:type="paragraph" w:styleId="ListParagraph">
    <w:name w:val="List Paragraph"/>
    <w:basedOn w:val="Normal"/>
    <w:uiPriority w:val="34"/>
    <w:qFormat/>
    <w:rsid w:val="00557BE4"/>
    <w:pPr>
      <w:ind w:left="720"/>
      <w:contextualSpacing/>
    </w:pPr>
    <w:rPr>
      <w:rFonts w:eastAsia="Calibri"/>
      <w:sz w:val="20"/>
      <w:szCs w:val="20"/>
    </w:rPr>
  </w:style>
  <w:style w:type="paragraph" w:customStyle="1" w:styleId="SMSubheading">
    <w:name w:val="SM Subheading"/>
    <w:basedOn w:val="Normal"/>
    <w:qFormat/>
    <w:rsid w:val="00557BE4"/>
    <w:rPr>
      <w:rFonts w:eastAsia="Times New Roman"/>
      <w:szCs w:val="20"/>
      <w:u w:val="single"/>
    </w:rPr>
  </w:style>
  <w:style w:type="character" w:styleId="FootnoteReference">
    <w:name w:val="footnote reference"/>
    <w:basedOn w:val="DefaultParagraphFont"/>
    <w:unhideWhenUsed/>
    <w:rsid w:val="00557BE4"/>
    <w:rPr>
      <w:vertAlign w:val="superscript"/>
    </w:rPr>
  </w:style>
  <w:style w:type="paragraph" w:styleId="NoSpacing">
    <w:name w:val="No Spacing"/>
    <w:uiPriority w:val="1"/>
    <w:qFormat/>
    <w:rsid w:val="00557BE4"/>
    <w:pPr>
      <w:spacing w:after="0" w:line="240" w:lineRule="auto"/>
    </w:pPr>
    <w:rPr>
      <w:rFonts w:ascii="Times New Roman" w:eastAsiaTheme="minorEastAsia" w:hAnsi="Times New Roman" w:cs="Times New Roman"/>
      <w:sz w:val="24"/>
      <w:szCs w:val="24"/>
      <w:lang w:eastAsia="zh-CN"/>
    </w:rPr>
  </w:style>
  <w:style w:type="paragraph" w:customStyle="1" w:styleId="FootnoteText1">
    <w:name w:val="Footnote Text1"/>
    <w:basedOn w:val="Normal"/>
    <w:next w:val="FootnoteText"/>
    <w:unhideWhenUsed/>
    <w:rsid w:val="00557BE4"/>
    <w:rPr>
      <w:rFonts w:eastAsiaTheme="minorHAnsi"/>
      <w:sz w:val="20"/>
      <w:szCs w:val="20"/>
    </w:rPr>
  </w:style>
  <w:style w:type="paragraph" w:styleId="Header">
    <w:name w:val="header"/>
    <w:basedOn w:val="Normal"/>
    <w:link w:val="HeaderChar"/>
    <w:uiPriority w:val="99"/>
    <w:unhideWhenUsed/>
    <w:rsid w:val="00F85319"/>
    <w:pPr>
      <w:tabs>
        <w:tab w:val="center" w:pos="4680"/>
        <w:tab w:val="right" w:pos="9360"/>
      </w:tabs>
    </w:pPr>
  </w:style>
  <w:style w:type="character" w:customStyle="1" w:styleId="HeaderChar">
    <w:name w:val="Header Char"/>
    <w:basedOn w:val="DefaultParagraphFont"/>
    <w:link w:val="Header"/>
    <w:uiPriority w:val="99"/>
    <w:rsid w:val="00F8531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85319"/>
    <w:pPr>
      <w:tabs>
        <w:tab w:val="center" w:pos="4680"/>
        <w:tab w:val="right" w:pos="9360"/>
      </w:tabs>
    </w:pPr>
  </w:style>
  <w:style w:type="character" w:customStyle="1" w:styleId="FooterChar">
    <w:name w:val="Footer Char"/>
    <w:basedOn w:val="DefaultParagraphFont"/>
    <w:link w:val="Footer"/>
    <w:uiPriority w:val="99"/>
    <w:rsid w:val="00F8531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hyperlink" Target="mailto:anton.gollwitzer@gmail.com" TargetMode="External"/><Relationship Id="rId12" Type="http://schemas.openxmlformats.org/officeDocument/2006/relationships/hyperlink" Target="https://osf.io/tzqwy/?view_only=6503ff2c468e4bb691fd4ef184feb5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sf.io/tzqwy/?view_only=6503ff2c468e4bb691fd4ef184feb531" TargetMode="Externa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hyperlink" Target="https://osf.io/tzqwy/?view_only=6503ff2c468e4bb691fd4ef184feb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4887</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gollwitzer</dc:creator>
  <cp:keywords/>
  <dc:description/>
  <cp:lastModifiedBy>anton gollwitzer</cp:lastModifiedBy>
  <cp:revision>3</cp:revision>
  <dcterms:created xsi:type="dcterms:W3CDTF">2022-07-26T14:51:00Z</dcterms:created>
  <dcterms:modified xsi:type="dcterms:W3CDTF">2022-09-21T13:36:00Z</dcterms:modified>
</cp:coreProperties>
</file>