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0436" w:rsidRPr="00B33673" w:rsidRDefault="00920436" w:rsidP="00920436">
      <w:pPr>
        <w:pStyle w:val="NormalWeb"/>
        <w:spacing w:before="0" w:beforeAutospacing="0" w:after="0" w:afterAutospacing="0" w:line="480" w:lineRule="auto"/>
        <w:jc w:val="both"/>
        <w:rPr>
          <w:rFonts w:eastAsiaTheme="minorEastAsia"/>
          <w:b/>
          <w:color w:val="000000" w:themeColor="text1"/>
          <w:kern w:val="24"/>
          <w:sz w:val="22"/>
        </w:rPr>
      </w:pPr>
      <w:r w:rsidRPr="00B33673">
        <w:rPr>
          <w:rFonts w:eastAsiaTheme="minorEastAsia"/>
          <w:b/>
          <w:color w:val="000000" w:themeColor="text1"/>
          <w:kern w:val="24"/>
          <w:sz w:val="22"/>
        </w:rPr>
        <w:t>Supplementary data:</w:t>
      </w:r>
    </w:p>
    <w:p w:rsidR="00B33673" w:rsidRPr="00B33673" w:rsidRDefault="00B33673" w:rsidP="00B33673">
      <w:pPr>
        <w:spacing w:line="240" w:lineRule="auto"/>
        <w:jc w:val="both"/>
        <w:rPr>
          <w:rFonts w:ascii="Times New Roman" w:hAnsi="Times New Roman" w:cs="Times New Roman"/>
          <w:noProof w:val="0"/>
          <w:sz w:val="24"/>
          <w:szCs w:val="24"/>
          <w:lang w:val="en-GB"/>
        </w:rPr>
      </w:pPr>
      <w:r w:rsidRPr="00B33673">
        <w:rPr>
          <w:rFonts w:ascii="Times New Roman" w:hAnsi="Times New Roman" w:cs="Times New Roman"/>
          <w:noProof w:val="0"/>
          <w:sz w:val="24"/>
          <w:szCs w:val="24"/>
          <w:lang w:val="en-GB"/>
        </w:rPr>
        <w:t>Figure S1: Rarefaction curve of bacteria richness in replicates of bulk (A) and rhizosphere (B) soil per site and of fungi richness in replicates of bulk (C) and rhizosphere (D) soil per site.</w:t>
      </w:r>
    </w:p>
    <w:p w:rsidR="00920436" w:rsidRPr="00D41325" w:rsidRDefault="00920436" w:rsidP="00920436">
      <w:pPr>
        <w:pStyle w:val="NormalWeb"/>
        <w:spacing w:before="0" w:beforeAutospacing="0" w:after="240" w:afterAutospacing="0" w:line="480" w:lineRule="auto"/>
        <w:jc w:val="both"/>
        <w:rPr>
          <w:rFonts w:asciiTheme="minorHAnsi" w:eastAsiaTheme="minorEastAsia" w:hAnsiTheme="minorHAnsi" w:cstheme="minorHAnsi"/>
          <w:color w:val="000000" w:themeColor="text1"/>
          <w:kern w:val="24"/>
          <w:sz w:val="22"/>
        </w:rPr>
      </w:pPr>
      <w:r>
        <w:rPr>
          <w:rFonts w:asciiTheme="minorHAnsi" w:eastAsiaTheme="minorEastAsia" w:hAnsiTheme="minorHAnsi" w:cstheme="minorHAnsi"/>
          <w:color w:val="000000" w:themeColor="text1"/>
          <w:kern w:val="24"/>
          <w:sz w:val="22"/>
        </w:rPr>
        <w:drawing>
          <wp:inline distT="0" distB="0" distL="0" distR="0" wp14:anchorId="244431C4" wp14:editId="6735F674">
            <wp:extent cx="7633504" cy="4614432"/>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S1.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42640" cy="4619955"/>
                    </a:xfrm>
                    <a:prstGeom prst="rect">
                      <a:avLst/>
                    </a:prstGeom>
                  </pic:spPr>
                </pic:pic>
              </a:graphicData>
            </a:graphic>
          </wp:inline>
        </w:drawing>
      </w:r>
    </w:p>
    <w:p w:rsidR="00B33673" w:rsidRPr="00B33673" w:rsidRDefault="00B33673" w:rsidP="00B33673">
      <w:pPr>
        <w:spacing w:line="240" w:lineRule="auto"/>
        <w:jc w:val="both"/>
        <w:rPr>
          <w:rFonts w:ascii="Times New Roman" w:hAnsi="Times New Roman" w:cs="Times New Roman"/>
          <w:noProof w:val="0"/>
          <w:sz w:val="24"/>
          <w:szCs w:val="24"/>
          <w:lang w:val="en-GB"/>
        </w:rPr>
      </w:pPr>
      <w:r w:rsidRPr="00B33673">
        <w:rPr>
          <w:rFonts w:ascii="Times New Roman" w:hAnsi="Times New Roman" w:cs="Times New Roman"/>
          <w:noProof w:val="0"/>
          <w:sz w:val="24"/>
          <w:szCs w:val="24"/>
          <w:lang w:val="en-GB"/>
        </w:rPr>
        <w:lastRenderedPageBreak/>
        <w:t xml:space="preserve">Figure S2: Bacterial species richness in bulk soils (A) and rhizosphere soils (B) of each site. Fungal species richness in bulk soils (C) and rhizosphere soils (D) of each site. Bacterial Shannon index in bulk soils (E) and rhizosphere soils (F) of each site. Fungal Shannon index in bulk soils (G) and rhizosphere soils (H) of each site. Different letters indicate significant differences (Dunn’s </w:t>
      </w:r>
      <w:proofErr w:type="spellStart"/>
      <w:r w:rsidRPr="00B33673">
        <w:rPr>
          <w:rFonts w:ascii="Times New Roman" w:hAnsi="Times New Roman" w:cs="Times New Roman"/>
          <w:noProof w:val="0"/>
          <w:sz w:val="24"/>
          <w:szCs w:val="24"/>
          <w:lang w:val="en-GB"/>
        </w:rPr>
        <w:t>Kruskal</w:t>
      </w:r>
      <w:proofErr w:type="spellEnd"/>
      <w:r w:rsidRPr="00B33673">
        <w:rPr>
          <w:rFonts w:ascii="Times New Roman" w:hAnsi="Times New Roman" w:cs="Times New Roman"/>
          <w:noProof w:val="0"/>
          <w:sz w:val="24"/>
          <w:szCs w:val="24"/>
          <w:lang w:val="en-GB"/>
        </w:rPr>
        <w:t xml:space="preserve">-Wallis).  </w:t>
      </w:r>
    </w:p>
    <w:p w:rsidR="00920436" w:rsidRDefault="00920436" w:rsidP="00920436">
      <w:pPr>
        <w:spacing w:line="480" w:lineRule="auto"/>
        <w:jc w:val="both"/>
        <w:rPr>
          <w:lang w:val="en-GB"/>
        </w:rPr>
      </w:pPr>
      <w:r>
        <w:rPr>
          <w:lang w:val="en-GB" w:eastAsia="en-GB"/>
        </w:rPr>
        <w:drawing>
          <wp:inline distT="0" distB="0" distL="0" distR="0" wp14:anchorId="1C3CC092" wp14:editId="61B46140">
            <wp:extent cx="7072132" cy="444502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S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75203" cy="4446958"/>
                    </a:xfrm>
                    <a:prstGeom prst="rect">
                      <a:avLst/>
                    </a:prstGeom>
                  </pic:spPr>
                </pic:pic>
              </a:graphicData>
            </a:graphic>
          </wp:inline>
        </w:drawing>
      </w:r>
    </w:p>
    <w:p w:rsidR="00920436" w:rsidRDefault="00920436" w:rsidP="00920436">
      <w:pPr>
        <w:spacing w:after="240" w:line="480" w:lineRule="auto"/>
        <w:jc w:val="both"/>
        <w:rPr>
          <w:lang w:val="en-GB"/>
        </w:rPr>
        <w:sectPr w:rsidR="00920436" w:rsidSect="00D41325">
          <w:pgSz w:w="16838" w:h="11906" w:orient="landscape"/>
          <w:pgMar w:top="1417" w:right="1417" w:bottom="1417" w:left="1417" w:header="708" w:footer="708" w:gutter="0"/>
          <w:cols w:space="708"/>
          <w:docGrid w:linePitch="360"/>
        </w:sectPr>
      </w:pPr>
    </w:p>
    <w:p w:rsidR="00B33673" w:rsidRPr="00B33673" w:rsidRDefault="00B33673" w:rsidP="00B33673">
      <w:pPr>
        <w:spacing w:after="240" w:line="240" w:lineRule="auto"/>
        <w:jc w:val="both"/>
        <w:rPr>
          <w:rFonts w:ascii="Times New Roman" w:hAnsi="Times New Roman" w:cs="Times New Roman"/>
          <w:noProof w:val="0"/>
          <w:sz w:val="24"/>
          <w:szCs w:val="24"/>
          <w:lang w:val="en-GB"/>
        </w:rPr>
      </w:pPr>
      <w:r w:rsidRPr="00B33673">
        <w:rPr>
          <w:rFonts w:ascii="Times New Roman" w:hAnsi="Times New Roman" w:cs="Times New Roman"/>
          <w:noProof w:val="0"/>
          <w:sz w:val="24"/>
          <w:szCs w:val="24"/>
          <w:lang w:val="en-GB"/>
        </w:rPr>
        <w:lastRenderedPageBreak/>
        <w:t>Figure S3: Proportion of bacterial OTUs specific or shared between the rhizosphere (blue) and bulk soil (red) of each individual plant per site. The size of the circle is proportional to the number of OTUs of the compartment, the left circle represents the largest compartment. Numbers indicate the percentage of OTUs specific to the bulk soil or to the rhizosphere.</w:t>
      </w:r>
    </w:p>
    <w:p w:rsidR="00920436" w:rsidRDefault="00920436" w:rsidP="00920436">
      <w:pPr>
        <w:spacing w:after="240" w:line="480" w:lineRule="auto"/>
        <w:jc w:val="both"/>
        <w:rPr>
          <w:lang w:val="en-GB"/>
        </w:rPr>
      </w:pPr>
      <w:r>
        <w:rPr>
          <w:lang w:val="en-GB" w:eastAsia="en-GB"/>
        </w:rPr>
        <w:drawing>
          <wp:inline distT="0" distB="0" distL="0" distR="0" wp14:anchorId="6003C7A3" wp14:editId="0C0EADEE">
            <wp:extent cx="5760720" cy="715899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S3.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7158990"/>
                    </a:xfrm>
                    <a:prstGeom prst="rect">
                      <a:avLst/>
                    </a:prstGeom>
                  </pic:spPr>
                </pic:pic>
              </a:graphicData>
            </a:graphic>
          </wp:inline>
        </w:drawing>
      </w:r>
    </w:p>
    <w:p w:rsidR="00B33673" w:rsidRDefault="00B33673" w:rsidP="00920436">
      <w:pPr>
        <w:spacing w:after="240" w:line="480" w:lineRule="auto"/>
        <w:jc w:val="both"/>
        <w:rPr>
          <w:szCs w:val="24"/>
          <w:lang w:val="en-GB"/>
        </w:rPr>
      </w:pPr>
      <w:r>
        <w:rPr>
          <w:szCs w:val="24"/>
          <w:lang w:val="en-GB"/>
        </w:rPr>
        <w:br w:type="page"/>
      </w:r>
    </w:p>
    <w:p w:rsidR="00B33673" w:rsidRDefault="00B33673" w:rsidP="00B33673">
      <w:pPr>
        <w:spacing w:after="240" w:line="240" w:lineRule="auto"/>
        <w:jc w:val="both"/>
        <w:rPr>
          <w:rFonts w:ascii="Times New Roman" w:hAnsi="Times New Roman" w:cs="Times New Roman"/>
          <w:noProof w:val="0"/>
          <w:sz w:val="24"/>
          <w:szCs w:val="24"/>
          <w:lang w:val="en-GB"/>
        </w:rPr>
      </w:pPr>
      <w:r w:rsidRPr="00B33673">
        <w:rPr>
          <w:rFonts w:ascii="Times New Roman" w:hAnsi="Times New Roman" w:cs="Times New Roman"/>
          <w:noProof w:val="0"/>
          <w:sz w:val="24"/>
          <w:szCs w:val="24"/>
          <w:lang w:val="en-GB"/>
        </w:rPr>
        <w:lastRenderedPageBreak/>
        <w:t xml:space="preserve">Figure S4: Proportion of fungal OTUs specific or shared between the rhizosphere (green) and bulk soil (yellow) of each individual plant per site. The size of the circle is proportional to the number of OTUs of the compartment, the left circle represents the largest compartment. Numbers indicate the percentage of OTU specific to the bulk soil or to the rhizosphere. </w:t>
      </w:r>
      <w:r>
        <w:rPr>
          <w:rFonts w:ascii="Times New Roman" w:hAnsi="Times New Roman" w:cs="Times New Roman"/>
          <w:noProof w:val="0"/>
          <w:sz w:val="24"/>
          <w:szCs w:val="24"/>
          <w:lang w:val="en-GB"/>
        </w:rPr>
        <w:t xml:space="preserve">  </w:t>
      </w:r>
    </w:p>
    <w:p w:rsidR="00D013DC" w:rsidRPr="00B33673" w:rsidRDefault="00920436" w:rsidP="00B33673">
      <w:pPr>
        <w:spacing w:after="240" w:line="240" w:lineRule="auto"/>
        <w:jc w:val="both"/>
        <w:rPr>
          <w:szCs w:val="24"/>
          <w:lang w:val="en-GB"/>
        </w:rPr>
      </w:pPr>
      <w:r>
        <w:rPr>
          <w:lang w:val="en-GB" w:eastAsia="en-GB"/>
        </w:rPr>
        <w:drawing>
          <wp:inline distT="0" distB="0" distL="0" distR="0" wp14:anchorId="2A3344A6" wp14:editId="0BDD6F32">
            <wp:extent cx="5760720" cy="71666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S4.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166610"/>
                    </a:xfrm>
                    <a:prstGeom prst="rect">
                      <a:avLst/>
                    </a:prstGeom>
                  </pic:spPr>
                </pic:pic>
              </a:graphicData>
            </a:graphic>
          </wp:inline>
        </w:drawing>
      </w:r>
      <w:bookmarkStart w:id="0" w:name="_GoBack"/>
      <w:bookmarkEnd w:id="0"/>
    </w:p>
    <w:sectPr w:rsidR="00D013DC" w:rsidRPr="00B33673" w:rsidSect="00B3367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3BB" w:rsidRDefault="008863BB" w:rsidP="00B33673">
      <w:pPr>
        <w:spacing w:after="0" w:line="240" w:lineRule="auto"/>
      </w:pPr>
      <w:r>
        <w:separator/>
      </w:r>
    </w:p>
  </w:endnote>
  <w:endnote w:type="continuationSeparator" w:id="0">
    <w:p w:rsidR="008863BB" w:rsidRDefault="008863BB" w:rsidP="00B33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3BB" w:rsidRDefault="008863BB" w:rsidP="00B33673">
      <w:pPr>
        <w:spacing w:after="0" w:line="240" w:lineRule="auto"/>
      </w:pPr>
      <w:r>
        <w:separator/>
      </w:r>
    </w:p>
  </w:footnote>
  <w:footnote w:type="continuationSeparator" w:id="0">
    <w:p w:rsidR="008863BB" w:rsidRDefault="008863BB" w:rsidP="00B336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K0tDS0NLc0MzU2NzFV0lEKTi0uzszPAykwrAUA2+BHoCwAAAA="/>
  </w:docVars>
  <w:rsids>
    <w:rsidRoot w:val="00633E5D"/>
    <w:rsid w:val="00633E5D"/>
    <w:rsid w:val="008863BB"/>
    <w:rsid w:val="00920436"/>
    <w:rsid w:val="00B33673"/>
    <w:rsid w:val="00D013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B39972-AD63-4645-A14F-895A6598B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436"/>
    <w:rPr>
      <w:noProo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2043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En-tte">
    <w:name w:val="header"/>
    <w:basedOn w:val="Normal"/>
    <w:link w:val="En-tteCar"/>
    <w:uiPriority w:val="99"/>
    <w:unhideWhenUsed/>
    <w:rsid w:val="00920436"/>
    <w:pPr>
      <w:tabs>
        <w:tab w:val="center" w:pos="4536"/>
        <w:tab w:val="right" w:pos="9072"/>
      </w:tabs>
      <w:spacing w:after="0" w:line="240" w:lineRule="auto"/>
    </w:pPr>
  </w:style>
  <w:style w:type="character" w:customStyle="1" w:styleId="En-tteCar">
    <w:name w:val="En-tête Car"/>
    <w:basedOn w:val="Policepardfaut"/>
    <w:link w:val="En-tte"/>
    <w:uiPriority w:val="99"/>
    <w:rsid w:val="00920436"/>
    <w:rPr>
      <w:noProof/>
    </w:rPr>
  </w:style>
  <w:style w:type="paragraph" w:styleId="Pieddepage">
    <w:name w:val="footer"/>
    <w:basedOn w:val="Normal"/>
    <w:link w:val="PieddepageCar"/>
    <w:uiPriority w:val="99"/>
    <w:unhideWhenUsed/>
    <w:rsid w:val="009204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20436"/>
    <w:rPr>
      <w:noProof/>
    </w:rPr>
  </w:style>
  <w:style w:type="character" w:styleId="Lienhypertexte">
    <w:name w:val="Hyperlink"/>
    <w:basedOn w:val="Policepardfaut"/>
    <w:uiPriority w:val="99"/>
    <w:semiHidden/>
    <w:unhideWhenUsed/>
    <w:rsid w:val="00920436"/>
    <w:rPr>
      <w:color w:val="0563C1"/>
      <w:u w:val="single"/>
    </w:rPr>
  </w:style>
  <w:style w:type="character" w:styleId="Lienhypertextesuivivisit">
    <w:name w:val="FollowedHyperlink"/>
    <w:basedOn w:val="Policepardfaut"/>
    <w:uiPriority w:val="99"/>
    <w:semiHidden/>
    <w:unhideWhenUsed/>
    <w:rsid w:val="00920436"/>
    <w:rPr>
      <w:color w:val="954F72"/>
      <w:u w:val="single"/>
    </w:rPr>
  </w:style>
  <w:style w:type="paragraph" w:customStyle="1" w:styleId="xl65">
    <w:name w:val="xl65"/>
    <w:basedOn w:val="Normal"/>
    <w:rsid w:val="00920436"/>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66">
    <w:name w:val="xl66"/>
    <w:basedOn w:val="Normal"/>
    <w:rsid w:val="0092043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67">
    <w:name w:val="xl67"/>
    <w:basedOn w:val="Normal"/>
    <w:rsid w:val="0092043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68">
    <w:name w:val="xl68"/>
    <w:basedOn w:val="Normal"/>
    <w:rsid w:val="0092043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69">
    <w:name w:val="xl69"/>
    <w:basedOn w:val="Normal"/>
    <w:rsid w:val="0092043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table" w:styleId="Grilledutableau">
    <w:name w:val="Table Grid"/>
    <w:basedOn w:val="TableauNormal"/>
    <w:uiPriority w:val="39"/>
    <w:rsid w:val="00920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205</Words>
  <Characters>1173</Characters>
  <Application>Microsoft Office Word</Application>
  <DocSecurity>0</DocSecurity>
  <Lines>9</Lines>
  <Paragraphs>2</Paragraphs>
  <ScaleCrop>false</ScaleCrop>
  <Company>Université de Rennes 1</Company>
  <LinksUpToDate>false</LinksUpToDate>
  <CharactersWithSpaces>1376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Lorene Marchand</dc:creator>
  <cp:keywords/>
  <dc:description/>
  <cp:lastModifiedBy>Lorene Marchand</cp:lastModifiedBy>
  <cp:revision>3</cp:revision>
  <dcterms:created xsi:type="dcterms:W3CDTF">2022-07-13T15:19:00Z</dcterms:created>
  <dcterms:modified xsi:type="dcterms:W3CDTF">2022-07-16T06:48:00Z</dcterms:modified>
</cp:coreProperties>
</file>