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E006" w14:textId="77777777" w:rsidR="00D3783C" w:rsidRPr="00473456" w:rsidRDefault="00D3783C" w:rsidP="00D3783C">
      <w:pPr>
        <w:pStyle w:val="Default"/>
        <w:rPr>
          <w:color w:val="auto"/>
          <w:sz w:val="23"/>
          <w:szCs w:val="23"/>
        </w:rPr>
      </w:pPr>
      <w:proofErr w:type="spellStart"/>
      <w:r w:rsidRPr="00473456">
        <w:rPr>
          <w:b/>
          <w:bCs/>
          <w:color w:val="auto"/>
          <w:sz w:val="23"/>
          <w:szCs w:val="23"/>
        </w:rPr>
        <w:t>Supplementary</w:t>
      </w:r>
      <w:proofErr w:type="spellEnd"/>
      <w:r w:rsidRPr="00473456">
        <w:rPr>
          <w:b/>
          <w:bCs/>
          <w:color w:val="auto"/>
          <w:sz w:val="23"/>
          <w:szCs w:val="23"/>
        </w:rPr>
        <w:t xml:space="preserve"> Information </w:t>
      </w:r>
      <w:proofErr w:type="spellStart"/>
      <w:r w:rsidRPr="00473456">
        <w:rPr>
          <w:b/>
          <w:bCs/>
          <w:color w:val="auto"/>
          <w:sz w:val="23"/>
          <w:szCs w:val="23"/>
        </w:rPr>
        <w:t>for</w:t>
      </w:r>
      <w:proofErr w:type="spellEnd"/>
      <w:r w:rsidRPr="00473456">
        <w:rPr>
          <w:b/>
          <w:bCs/>
          <w:color w:val="auto"/>
          <w:sz w:val="23"/>
          <w:szCs w:val="23"/>
        </w:rPr>
        <w:t xml:space="preserve"> </w:t>
      </w:r>
    </w:p>
    <w:p w14:paraId="13EBF131" w14:textId="77777777" w:rsidR="00473456" w:rsidRPr="00473456" w:rsidRDefault="00473456" w:rsidP="00D3783C">
      <w:pPr>
        <w:pStyle w:val="Default"/>
        <w:rPr>
          <w:b/>
          <w:bCs/>
          <w:color w:val="auto"/>
          <w:sz w:val="32"/>
          <w:szCs w:val="32"/>
        </w:rPr>
      </w:pPr>
    </w:p>
    <w:p w14:paraId="5D90A251" w14:textId="77777777" w:rsidR="00D3783C" w:rsidRPr="00473456" w:rsidRDefault="00473456" w:rsidP="00D3783C">
      <w:pPr>
        <w:pStyle w:val="Default"/>
        <w:rPr>
          <w:b/>
          <w:bCs/>
          <w:color w:val="auto"/>
          <w:sz w:val="32"/>
          <w:szCs w:val="32"/>
        </w:rPr>
      </w:pPr>
      <w:r w:rsidRPr="00473456">
        <w:rPr>
          <w:b/>
          <w:bCs/>
          <w:color w:val="auto"/>
          <w:sz w:val="32"/>
          <w:szCs w:val="32"/>
        </w:rPr>
        <w:t xml:space="preserve">Bats </w:t>
      </w:r>
      <w:proofErr w:type="spellStart"/>
      <w:r w:rsidRPr="00473456">
        <w:rPr>
          <w:b/>
          <w:bCs/>
          <w:color w:val="auto"/>
          <w:sz w:val="32"/>
          <w:szCs w:val="32"/>
        </w:rPr>
        <w:t>adjust</w:t>
      </w:r>
      <w:proofErr w:type="spellEnd"/>
      <w:r w:rsidRPr="00473456">
        <w:rPr>
          <w:b/>
          <w:bCs/>
          <w:color w:val="auto"/>
          <w:sz w:val="32"/>
          <w:szCs w:val="32"/>
        </w:rPr>
        <w:t xml:space="preserve"> </w:t>
      </w:r>
      <w:proofErr w:type="spellStart"/>
      <w:r w:rsidRPr="00473456">
        <w:rPr>
          <w:b/>
          <w:bCs/>
          <w:color w:val="auto"/>
          <w:sz w:val="32"/>
          <w:szCs w:val="32"/>
        </w:rPr>
        <w:t>echolocation</w:t>
      </w:r>
      <w:proofErr w:type="spellEnd"/>
      <w:r w:rsidRPr="00473456">
        <w:rPr>
          <w:b/>
          <w:bCs/>
          <w:color w:val="auto"/>
          <w:sz w:val="32"/>
          <w:szCs w:val="32"/>
        </w:rPr>
        <w:t xml:space="preserve"> and social </w:t>
      </w:r>
      <w:proofErr w:type="spellStart"/>
      <w:r w:rsidRPr="00473456">
        <w:rPr>
          <w:b/>
          <w:bCs/>
          <w:color w:val="auto"/>
          <w:sz w:val="32"/>
          <w:szCs w:val="32"/>
        </w:rPr>
        <w:t>call</w:t>
      </w:r>
      <w:proofErr w:type="spellEnd"/>
      <w:r w:rsidRPr="00473456">
        <w:rPr>
          <w:b/>
          <w:bCs/>
          <w:color w:val="auto"/>
          <w:sz w:val="32"/>
          <w:szCs w:val="32"/>
        </w:rPr>
        <w:t xml:space="preserve"> design </w:t>
      </w:r>
      <w:proofErr w:type="spellStart"/>
      <w:r w:rsidRPr="00473456">
        <w:rPr>
          <w:b/>
          <w:bCs/>
          <w:color w:val="auto"/>
          <w:sz w:val="32"/>
          <w:szCs w:val="32"/>
        </w:rPr>
        <w:t>as</w:t>
      </w:r>
      <w:proofErr w:type="spellEnd"/>
      <w:r w:rsidRPr="00473456">
        <w:rPr>
          <w:b/>
          <w:bCs/>
          <w:color w:val="auto"/>
          <w:sz w:val="32"/>
          <w:szCs w:val="32"/>
        </w:rPr>
        <w:t xml:space="preserve"> a </w:t>
      </w:r>
      <w:proofErr w:type="spellStart"/>
      <w:r w:rsidRPr="00473456">
        <w:rPr>
          <w:b/>
          <w:bCs/>
          <w:color w:val="auto"/>
          <w:sz w:val="32"/>
          <w:szCs w:val="32"/>
        </w:rPr>
        <w:t>response</w:t>
      </w:r>
      <w:proofErr w:type="spellEnd"/>
      <w:r w:rsidRPr="00473456">
        <w:rPr>
          <w:b/>
          <w:bCs/>
          <w:color w:val="auto"/>
          <w:sz w:val="32"/>
          <w:szCs w:val="32"/>
        </w:rPr>
        <w:t xml:space="preserve"> </w:t>
      </w:r>
      <w:proofErr w:type="spellStart"/>
      <w:r w:rsidRPr="00473456">
        <w:rPr>
          <w:b/>
          <w:bCs/>
          <w:color w:val="auto"/>
          <w:sz w:val="32"/>
          <w:szCs w:val="32"/>
        </w:rPr>
        <w:t>to</w:t>
      </w:r>
      <w:proofErr w:type="spellEnd"/>
      <w:r w:rsidRPr="00473456">
        <w:rPr>
          <w:b/>
          <w:bCs/>
          <w:color w:val="auto"/>
          <w:sz w:val="32"/>
          <w:szCs w:val="32"/>
        </w:rPr>
        <w:t xml:space="preserve"> urban </w:t>
      </w:r>
      <w:proofErr w:type="spellStart"/>
      <w:r w:rsidRPr="00473456">
        <w:rPr>
          <w:b/>
          <w:bCs/>
          <w:color w:val="auto"/>
          <w:sz w:val="32"/>
          <w:szCs w:val="32"/>
        </w:rPr>
        <w:t>environments</w:t>
      </w:r>
      <w:proofErr w:type="spellEnd"/>
    </w:p>
    <w:p w14:paraId="10AFDC23" w14:textId="77777777" w:rsidR="00473456" w:rsidRPr="00473456" w:rsidRDefault="00473456" w:rsidP="00D3783C">
      <w:pPr>
        <w:pStyle w:val="Default"/>
        <w:rPr>
          <w:b/>
          <w:bCs/>
          <w:color w:val="auto"/>
          <w:sz w:val="23"/>
          <w:szCs w:val="23"/>
        </w:rPr>
      </w:pPr>
    </w:p>
    <w:p w14:paraId="459CF4F8" w14:textId="77777777" w:rsidR="00473456" w:rsidRPr="00473456" w:rsidRDefault="00473456" w:rsidP="00473456">
      <w:pPr>
        <w:spacing w:before="240" w:after="0"/>
        <w:rPr>
          <w:rFonts w:ascii="Times New Roman" w:hAnsi="Times New Roman" w:cs="Times New Roman"/>
          <w:b/>
          <w:szCs w:val="24"/>
        </w:rPr>
      </w:pPr>
      <w:r w:rsidRPr="00473456">
        <w:rPr>
          <w:rFonts w:ascii="Times New Roman" w:hAnsi="Times New Roman" w:cs="Times New Roman"/>
          <w:b/>
          <w:szCs w:val="24"/>
        </w:rPr>
        <w:t xml:space="preserve">Nicole </w:t>
      </w:r>
      <w:proofErr w:type="spellStart"/>
      <w:r w:rsidRPr="00473456">
        <w:rPr>
          <w:rFonts w:ascii="Times New Roman" w:hAnsi="Times New Roman" w:cs="Times New Roman"/>
          <w:b/>
          <w:szCs w:val="24"/>
        </w:rPr>
        <w:t>Starik</w:t>
      </w:r>
      <w:proofErr w:type="spellEnd"/>
      <w:r w:rsidRPr="00473456">
        <w:rPr>
          <w:rFonts w:ascii="Times New Roman" w:hAnsi="Times New Roman" w:cs="Times New Roman"/>
          <w:b/>
          <w:szCs w:val="24"/>
        </w:rPr>
        <w:t>*</w:t>
      </w:r>
      <w:r w:rsidRPr="00473456">
        <w:rPr>
          <w:rFonts w:ascii="Times New Roman" w:hAnsi="Times New Roman" w:cs="Times New Roman"/>
          <w:b/>
          <w:szCs w:val="24"/>
          <w:vertAlign w:val="superscript"/>
        </w:rPr>
        <w:t>1,2</w:t>
      </w:r>
      <w:r w:rsidRPr="00473456">
        <w:rPr>
          <w:rFonts w:ascii="Times New Roman" w:hAnsi="Times New Roman" w:cs="Times New Roman"/>
          <w:b/>
          <w:szCs w:val="24"/>
        </w:rPr>
        <w:t>, Thomas Göttert</w:t>
      </w:r>
      <w:r w:rsidRPr="00473456">
        <w:rPr>
          <w:rFonts w:ascii="Times New Roman" w:hAnsi="Times New Roman" w:cs="Times New Roman"/>
          <w:b/>
          <w:szCs w:val="24"/>
          <w:vertAlign w:val="superscript"/>
        </w:rPr>
        <w:t>3</w:t>
      </w:r>
    </w:p>
    <w:p w14:paraId="316EA829" w14:textId="77777777" w:rsidR="00473456" w:rsidRPr="00473456" w:rsidRDefault="00473456" w:rsidP="00473456">
      <w:pPr>
        <w:spacing w:before="240" w:after="0"/>
        <w:jc w:val="both"/>
        <w:rPr>
          <w:rFonts w:ascii="Times New Roman" w:hAnsi="Times New Roman" w:cs="Times New Roman"/>
          <w:b/>
          <w:szCs w:val="24"/>
        </w:rPr>
      </w:pPr>
      <w:r w:rsidRPr="00473456">
        <w:rPr>
          <w:rFonts w:ascii="Times New Roman" w:hAnsi="Times New Roman" w:cs="Times New Roman"/>
          <w:szCs w:val="24"/>
          <w:vertAlign w:val="superscript"/>
        </w:rPr>
        <w:t>1</w:t>
      </w:r>
      <w:r w:rsidRPr="00473456">
        <w:rPr>
          <w:rFonts w:ascii="Times New Roman" w:hAnsi="Times New Roman" w:cs="Times New Roman"/>
          <w:szCs w:val="24"/>
        </w:rPr>
        <w:t xml:space="preserve">Humboldt-Universität zu Berlin, Faculty </w:t>
      </w:r>
      <w:proofErr w:type="spellStart"/>
      <w:r w:rsidRPr="00473456">
        <w:rPr>
          <w:rFonts w:ascii="Times New Roman" w:hAnsi="Times New Roman" w:cs="Times New Roman"/>
          <w:szCs w:val="24"/>
        </w:rPr>
        <w:t>of</w:t>
      </w:r>
      <w:proofErr w:type="spellEnd"/>
      <w:r w:rsidRPr="00473456">
        <w:rPr>
          <w:rFonts w:ascii="Times New Roman" w:hAnsi="Times New Roman" w:cs="Times New Roman"/>
          <w:szCs w:val="24"/>
        </w:rPr>
        <w:t xml:space="preserve"> Life Sciences, Albrecht Daniel </w:t>
      </w:r>
      <w:proofErr w:type="spellStart"/>
      <w:r w:rsidRPr="00473456">
        <w:rPr>
          <w:rFonts w:ascii="Times New Roman" w:hAnsi="Times New Roman" w:cs="Times New Roman"/>
          <w:szCs w:val="24"/>
        </w:rPr>
        <w:t>Thaer</w:t>
      </w:r>
      <w:proofErr w:type="spellEnd"/>
      <w:r w:rsidRPr="00473456">
        <w:rPr>
          <w:rFonts w:ascii="Times New Roman" w:hAnsi="Times New Roman" w:cs="Times New Roman"/>
          <w:szCs w:val="24"/>
        </w:rPr>
        <w:t xml:space="preserve">-Institute </w:t>
      </w:r>
      <w:proofErr w:type="spellStart"/>
      <w:r w:rsidRPr="00473456">
        <w:rPr>
          <w:rFonts w:ascii="Times New Roman" w:hAnsi="Times New Roman" w:cs="Times New Roman"/>
          <w:szCs w:val="24"/>
        </w:rPr>
        <w:t>of</w:t>
      </w:r>
      <w:proofErr w:type="spellEnd"/>
      <w:r w:rsidRPr="004734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Cs w:val="24"/>
        </w:rPr>
        <w:t>Agricultural</w:t>
      </w:r>
      <w:proofErr w:type="spellEnd"/>
      <w:r w:rsidRPr="00473456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473456">
        <w:rPr>
          <w:rFonts w:ascii="Times New Roman" w:hAnsi="Times New Roman" w:cs="Times New Roman"/>
          <w:szCs w:val="24"/>
        </w:rPr>
        <w:t>Horticultural</w:t>
      </w:r>
      <w:proofErr w:type="spellEnd"/>
      <w:r w:rsidRPr="00473456">
        <w:rPr>
          <w:rFonts w:ascii="Times New Roman" w:hAnsi="Times New Roman" w:cs="Times New Roman"/>
          <w:szCs w:val="24"/>
        </w:rPr>
        <w:t xml:space="preserve"> Sciences, Unter den Linden 6, 10099 Berlin, Germany.</w:t>
      </w:r>
    </w:p>
    <w:p w14:paraId="7D35ED1B" w14:textId="77777777" w:rsidR="00473456" w:rsidRPr="00473456" w:rsidRDefault="00473456" w:rsidP="00473456">
      <w:pPr>
        <w:spacing w:after="0"/>
        <w:rPr>
          <w:rFonts w:ascii="Times New Roman" w:hAnsi="Times New Roman" w:cs="Times New Roman"/>
          <w:szCs w:val="24"/>
        </w:rPr>
      </w:pPr>
      <w:r w:rsidRPr="00473456">
        <w:rPr>
          <w:rFonts w:ascii="Times New Roman" w:hAnsi="Times New Roman" w:cs="Times New Roman"/>
          <w:szCs w:val="24"/>
          <w:vertAlign w:val="superscript"/>
        </w:rPr>
        <w:t>2</w:t>
      </w:r>
      <w:r w:rsidRPr="00473456">
        <w:rPr>
          <w:rFonts w:ascii="Times New Roman" w:hAnsi="Times New Roman" w:cs="Times New Roman"/>
          <w:szCs w:val="24"/>
        </w:rPr>
        <w:t>Deutsche Fledermauswarte e.V., Am Juliusturm 63, 13599 Berlin, Germany.</w:t>
      </w:r>
    </w:p>
    <w:p w14:paraId="18D61833" w14:textId="77777777" w:rsidR="00473456" w:rsidRPr="00473456" w:rsidRDefault="00473456" w:rsidP="00473456">
      <w:pPr>
        <w:spacing w:after="0"/>
        <w:rPr>
          <w:rFonts w:ascii="Times New Roman" w:hAnsi="Times New Roman" w:cs="Times New Roman"/>
          <w:szCs w:val="24"/>
        </w:rPr>
      </w:pPr>
      <w:r w:rsidRPr="00473456">
        <w:rPr>
          <w:rFonts w:ascii="Times New Roman" w:hAnsi="Times New Roman" w:cs="Times New Roman"/>
          <w:szCs w:val="24"/>
          <w:vertAlign w:val="superscript"/>
        </w:rPr>
        <w:t>3</w:t>
      </w:r>
      <w:r w:rsidRPr="00473456">
        <w:rPr>
          <w:rFonts w:ascii="Times New Roman" w:hAnsi="Times New Roman" w:cs="Times New Roman"/>
          <w:szCs w:val="24"/>
        </w:rPr>
        <w:t>Research Center [</w:t>
      </w:r>
      <w:proofErr w:type="spellStart"/>
      <w:r w:rsidRPr="00473456">
        <w:rPr>
          <w:rFonts w:ascii="Times New Roman" w:hAnsi="Times New Roman" w:cs="Times New Roman"/>
          <w:szCs w:val="24"/>
        </w:rPr>
        <w:t>Sustainability</w:t>
      </w:r>
      <w:proofErr w:type="spellEnd"/>
      <w:r w:rsidRPr="00473456">
        <w:rPr>
          <w:rFonts w:ascii="Times New Roman" w:hAnsi="Times New Roman" w:cs="Times New Roman"/>
          <w:szCs w:val="24"/>
        </w:rPr>
        <w:t xml:space="preserve">-Transformation-Transfer], Eberswalde University </w:t>
      </w:r>
      <w:proofErr w:type="spellStart"/>
      <w:r w:rsidRPr="00473456">
        <w:rPr>
          <w:rFonts w:ascii="Times New Roman" w:hAnsi="Times New Roman" w:cs="Times New Roman"/>
          <w:szCs w:val="24"/>
        </w:rPr>
        <w:t>for</w:t>
      </w:r>
      <w:proofErr w:type="spellEnd"/>
      <w:r w:rsidRPr="004734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Cs w:val="24"/>
        </w:rPr>
        <w:t>Sustainable</w:t>
      </w:r>
      <w:proofErr w:type="spellEnd"/>
      <w:r w:rsidRPr="00473456">
        <w:rPr>
          <w:rFonts w:ascii="Times New Roman" w:hAnsi="Times New Roman" w:cs="Times New Roman"/>
          <w:szCs w:val="24"/>
        </w:rPr>
        <w:t xml:space="preserve"> Development, </w:t>
      </w:r>
      <w:proofErr w:type="spellStart"/>
      <w:r w:rsidRPr="00473456">
        <w:rPr>
          <w:rFonts w:ascii="Times New Roman" w:hAnsi="Times New Roman" w:cs="Times New Roman"/>
          <w:szCs w:val="24"/>
        </w:rPr>
        <w:t>Schicklerstr</w:t>
      </w:r>
      <w:proofErr w:type="spellEnd"/>
      <w:r w:rsidRPr="00473456">
        <w:rPr>
          <w:rFonts w:ascii="Times New Roman" w:hAnsi="Times New Roman" w:cs="Times New Roman"/>
          <w:szCs w:val="24"/>
        </w:rPr>
        <w:t>. 5, 16225 Eberswalde, Germany.</w:t>
      </w:r>
    </w:p>
    <w:p w14:paraId="686B2BE0" w14:textId="77777777" w:rsidR="00473456" w:rsidRPr="00473456" w:rsidRDefault="00473456" w:rsidP="00473456">
      <w:pPr>
        <w:spacing w:before="240" w:after="0"/>
        <w:rPr>
          <w:rFonts w:ascii="Times New Roman" w:hAnsi="Times New Roman" w:cs="Times New Roman"/>
          <w:b/>
          <w:szCs w:val="24"/>
        </w:rPr>
      </w:pPr>
      <w:r w:rsidRPr="00473456">
        <w:rPr>
          <w:rFonts w:ascii="Times New Roman" w:hAnsi="Times New Roman" w:cs="Times New Roman"/>
          <w:b/>
          <w:szCs w:val="24"/>
        </w:rPr>
        <w:t xml:space="preserve">* </w:t>
      </w:r>
      <w:proofErr w:type="spellStart"/>
      <w:r w:rsidRPr="00473456">
        <w:rPr>
          <w:rFonts w:ascii="Times New Roman" w:hAnsi="Times New Roman" w:cs="Times New Roman"/>
          <w:b/>
          <w:szCs w:val="24"/>
        </w:rPr>
        <w:t>Correspondence</w:t>
      </w:r>
      <w:proofErr w:type="spellEnd"/>
      <w:r w:rsidRPr="00473456">
        <w:rPr>
          <w:rFonts w:ascii="Times New Roman" w:hAnsi="Times New Roman" w:cs="Times New Roman"/>
          <w:b/>
          <w:szCs w:val="24"/>
        </w:rPr>
        <w:t xml:space="preserve">: </w:t>
      </w:r>
      <w:r w:rsidRPr="00473456">
        <w:rPr>
          <w:rFonts w:ascii="Times New Roman" w:hAnsi="Times New Roman" w:cs="Times New Roman"/>
          <w:b/>
          <w:szCs w:val="24"/>
        </w:rPr>
        <w:br/>
      </w:r>
      <w:r w:rsidRPr="00473456">
        <w:rPr>
          <w:rFonts w:ascii="Times New Roman" w:hAnsi="Times New Roman" w:cs="Times New Roman"/>
          <w:szCs w:val="24"/>
        </w:rPr>
        <w:t xml:space="preserve">Nicole </w:t>
      </w:r>
      <w:proofErr w:type="spellStart"/>
      <w:r w:rsidRPr="00473456">
        <w:rPr>
          <w:rFonts w:ascii="Times New Roman" w:hAnsi="Times New Roman" w:cs="Times New Roman"/>
          <w:szCs w:val="24"/>
        </w:rPr>
        <w:t>Starik</w:t>
      </w:r>
      <w:proofErr w:type="spellEnd"/>
      <w:r w:rsidRPr="00473456">
        <w:rPr>
          <w:rFonts w:ascii="Times New Roman" w:hAnsi="Times New Roman" w:cs="Times New Roman"/>
          <w:szCs w:val="24"/>
        </w:rPr>
        <w:br/>
        <w:t>nicole.starik@hu-berlin.de</w:t>
      </w:r>
    </w:p>
    <w:p w14:paraId="727F17EC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0C5B9FD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C7CDF21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D889BA7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CC82504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5540F201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3790EB67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4DA39C7E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8B771F5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509B71DC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766BE50D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43F25A6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59429F2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4019FE2F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40391FAD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A80F814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70B9F500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8F8E3C2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F464C89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76F31369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63C95DC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3D4DF65C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72F0EE4D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FF2F9BC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47635B37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49AF367B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1C9DCEE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82D84E8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5508815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D815244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053DBCDE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C835309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45155790" w14:textId="77777777" w:rsidR="00473456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5ECCFA3D" w14:textId="77777777" w:rsidR="0064730D" w:rsidRP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  <w:proofErr w:type="spellStart"/>
      <w:r w:rsidRPr="00473456">
        <w:rPr>
          <w:b/>
          <w:szCs w:val="22"/>
        </w:rPr>
        <w:lastRenderedPageBreak/>
        <w:t>Supporting</w:t>
      </w:r>
      <w:proofErr w:type="spellEnd"/>
      <w:r w:rsidRPr="00473456">
        <w:rPr>
          <w:b/>
          <w:szCs w:val="22"/>
        </w:rPr>
        <w:t xml:space="preserve"> </w:t>
      </w:r>
      <w:proofErr w:type="spellStart"/>
      <w:r w:rsidRPr="00473456">
        <w:rPr>
          <w:b/>
          <w:szCs w:val="22"/>
        </w:rPr>
        <w:t>methods</w:t>
      </w:r>
      <w:proofErr w:type="spellEnd"/>
    </w:p>
    <w:p w14:paraId="78A8E893" w14:textId="77777777" w:rsidR="00DB71F5" w:rsidRPr="00473456" w:rsidRDefault="0064730D" w:rsidP="00473456">
      <w:pPr>
        <w:pStyle w:val="v1msonormal"/>
        <w:shd w:val="clear" w:color="auto" w:fill="FFFFFF"/>
        <w:spacing w:before="0" w:beforeAutospacing="0" w:after="0" w:afterAutospacing="0"/>
        <w:rPr>
          <w:szCs w:val="22"/>
        </w:rPr>
      </w:pPr>
      <w:r w:rsidRPr="00473456">
        <w:rPr>
          <w:szCs w:val="22"/>
        </w:rPr>
        <w:t> </w:t>
      </w:r>
    </w:p>
    <w:p w14:paraId="02EF3742" w14:textId="77777777" w:rsidR="00CB53C1" w:rsidRDefault="00CB53C1" w:rsidP="00CB53C1">
      <w:pPr>
        <w:keepNext/>
      </w:pPr>
      <w:r>
        <w:rPr>
          <w:rFonts w:ascii="Times New Roman" w:hAnsi="Times New Roman" w:cs="Times New Roman"/>
          <w:i/>
          <w:noProof/>
          <w:sz w:val="24"/>
          <w:lang w:eastAsia="de-DE"/>
        </w:rPr>
        <w:drawing>
          <wp:inline distT="0" distB="0" distL="0" distR="0" wp14:anchorId="26285563" wp14:editId="74606FD5">
            <wp:extent cx="6433026" cy="3676015"/>
            <wp:effectExtent l="0" t="0" r="635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05" cy="36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7892A" w14:textId="77777777" w:rsidR="00CB53C1" w:rsidRPr="00473456" w:rsidRDefault="00CB53C1" w:rsidP="00CB53C1">
      <w:pPr>
        <w:pStyle w:val="Beschriftung"/>
        <w:rPr>
          <w:rFonts w:ascii="Times New Roman" w:hAnsi="Times New Roman" w:cs="Times New Roman"/>
          <w:i w:val="0"/>
          <w:sz w:val="24"/>
        </w:rPr>
      </w:pPr>
      <w:r>
        <w:t>Figure S</w:t>
      </w:r>
      <w:fldSimple w:instr=" SEQ Abbildung \* ARABIC ">
        <w:r w:rsidR="00DF6F76">
          <w:rPr>
            <w:noProof/>
          </w:rPr>
          <w:t>1</w:t>
        </w:r>
      </w:fldSimple>
      <w:r>
        <w:t xml:space="preserve">. Location </w:t>
      </w:r>
      <w:proofErr w:type="spellStart"/>
      <w:r>
        <w:t>of</w:t>
      </w:r>
      <w:proofErr w:type="spellEnd"/>
      <w:r>
        <w:t xml:space="preserve"> urban (n=3, u1-u3) and rural (n=3, r1-r3)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in Berlin and Brandenburg. </w:t>
      </w:r>
    </w:p>
    <w:p w14:paraId="3DC5CDDA" w14:textId="77777777" w:rsidR="00CB53C1" w:rsidRDefault="00CB53C1">
      <w:pPr>
        <w:rPr>
          <w:rFonts w:ascii="Times New Roman" w:hAnsi="Times New Roman" w:cs="Times New Roman"/>
          <w:i/>
          <w:sz w:val="24"/>
        </w:rPr>
      </w:pPr>
    </w:p>
    <w:p w14:paraId="6876FA83" w14:textId="77777777" w:rsidR="00A63FE6" w:rsidRPr="00473456" w:rsidRDefault="00A63FE6">
      <w:pPr>
        <w:rPr>
          <w:rFonts w:ascii="Times New Roman" w:hAnsi="Times New Roman" w:cs="Times New Roman"/>
          <w:i/>
          <w:sz w:val="24"/>
        </w:rPr>
      </w:pPr>
      <w:r w:rsidRPr="00473456">
        <w:rPr>
          <w:rFonts w:ascii="Times New Roman" w:hAnsi="Times New Roman" w:cs="Times New Roman"/>
          <w:i/>
          <w:sz w:val="24"/>
        </w:rPr>
        <w:t xml:space="preserve">Site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characterization</w:t>
      </w:r>
      <w:proofErr w:type="spellEnd"/>
    </w:p>
    <w:p w14:paraId="37755705" w14:textId="77777777" w:rsidR="00855E5C" w:rsidRDefault="00D3783C">
      <w:pPr>
        <w:rPr>
          <w:rFonts w:ascii="Times New Roman" w:hAnsi="Times New Roman" w:cs="Times New Roman"/>
          <w:sz w:val="24"/>
        </w:rPr>
      </w:pPr>
      <w:proofErr w:type="spellStart"/>
      <w:r w:rsidRPr="00473456">
        <w:rPr>
          <w:rFonts w:ascii="Times New Roman" w:hAnsi="Times New Roman" w:cs="Times New Roman"/>
          <w:sz w:val="24"/>
        </w:rPr>
        <w:t>We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measured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different </w:t>
      </w:r>
      <w:proofErr w:type="spellStart"/>
      <w:r w:rsidRPr="00473456">
        <w:rPr>
          <w:rFonts w:ascii="Times New Roman" w:hAnsi="Times New Roman" w:cs="Times New Roman"/>
          <w:sz w:val="24"/>
        </w:rPr>
        <w:t>parameters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that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supported </w:t>
      </w:r>
      <w:proofErr w:type="spellStart"/>
      <w:r w:rsidRPr="00473456">
        <w:rPr>
          <w:rFonts w:ascii="Times New Roman" w:hAnsi="Times New Roman" w:cs="Times New Roman"/>
          <w:sz w:val="24"/>
        </w:rPr>
        <w:t>site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selection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473456">
        <w:rPr>
          <w:rFonts w:ascii="Times New Roman" w:hAnsi="Times New Roman" w:cs="Times New Roman"/>
          <w:sz w:val="24"/>
        </w:rPr>
        <w:t>classification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of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sites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‚urban‘ and ‚rural‘.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We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used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r w:rsidR="00855E5C" w:rsidRPr="00473456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highly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sensitive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sensor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(</w:t>
      </w:r>
      <w:r w:rsidR="008D12DB" w:rsidRPr="00473456">
        <w:rPr>
          <w:rFonts w:ascii="Times New Roman" w:hAnsi="Times New Roman" w:cs="Times New Roman"/>
          <w:sz w:val="24"/>
        </w:rPr>
        <w:t>Sky Quality Meter SQM</w:t>
      </w:r>
      <w:r w:rsidR="00855E5C"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Unihedron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, Canada),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to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measure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the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brightness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of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the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night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sky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at a solid angle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of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42°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around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the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central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axis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</w:t>
      </w:r>
      <w:r w:rsidR="008D12DB" w:rsidRPr="00473456">
        <w:rPr>
          <w:rFonts w:ascii="Times New Roman" w:hAnsi="Times New Roman" w:cs="Times New Roman"/>
          <w:sz w:val="24"/>
        </w:rPr>
        <w:t>(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full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width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at half maximum</w:t>
      </w:r>
      <w:r w:rsidR="008D12DB" w:rsidRPr="00473456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resulting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magnitudes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per </w:t>
      </w:r>
      <w:proofErr w:type="spellStart"/>
      <w:r w:rsidR="008D12DB" w:rsidRPr="00473456">
        <w:rPr>
          <w:rFonts w:ascii="Times New Roman" w:hAnsi="Times New Roman" w:cs="Times New Roman"/>
          <w:sz w:val="24"/>
        </w:rPr>
        <w:t>arc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 xml:space="preserve"> second</w:t>
      </w:r>
      <w:r w:rsidR="00793AC6">
        <w:rPr>
          <w:rFonts w:ascii="Times New Roman" w:hAnsi="Times New Roman" w:cs="Times New Roman"/>
          <w:sz w:val="24"/>
          <w:vertAlign w:val="superscript"/>
        </w:rPr>
        <w:t>2</w:t>
      </w:r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as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values</w:t>
      </w:r>
      <w:proofErr w:type="spellEnd"/>
      <w:r w:rsidR="008D12DB" w:rsidRPr="00473456">
        <w:rPr>
          <w:rFonts w:ascii="Times New Roman" w:hAnsi="Times New Roman" w:cs="Times New Roman"/>
          <w:sz w:val="24"/>
        </w:rPr>
        <w:t>.</w:t>
      </w:r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Measurements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were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taken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at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five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different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night</w:t>
      </w:r>
      <w:r w:rsidR="00475D43">
        <w:rPr>
          <w:rFonts w:ascii="Times New Roman" w:hAnsi="Times New Roman" w:cs="Times New Roman"/>
          <w:sz w:val="24"/>
        </w:rPr>
        <w:t>s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of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clear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sky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(not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overcast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) per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site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during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the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sampling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period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averaged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to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460" w:rsidRPr="00473456">
        <w:rPr>
          <w:rFonts w:ascii="Times New Roman" w:hAnsi="Times New Roman" w:cs="Times New Roman"/>
          <w:sz w:val="24"/>
        </w:rPr>
        <w:t>mean±SD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>. L</w:t>
      </w:r>
      <w:r w:rsidR="00855E5C" w:rsidRPr="00473456">
        <w:rPr>
          <w:rFonts w:ascii="Times New Roman" w:hAnsi="Times New Roman" w:cs="Times New Roman"/>
          <w:sz w:val="24"/>
        </w:rPr>
        <w:t>arger</w:t>
      </w:r>
      <w:r w:rsidR="00EB5460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values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in mag/arcsec</w:t>
      </w:r>
      <w:r w:rsidR="00855E5C" w:rsidRPr="00473456">
        <w:rPr>
          <w:rFonts w:ascii="Times New Roman" w:hAnsi="Times New Roman" w:cs="Times New Roman"/>
          <w:sz w:val="24"/>
          <w:vertAlign w:val="superscript"/>
        </w:rPr>
        <w:t>2</w:t>
      </w:r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indicate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darker</w:t>
      </w:r>
      <w:proofErr w:type="spellEnd"/>
      <w:r w:rsidR="00855E5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E5C" w:rsidRPr="00473456">
        <w:rPr>
          <w:rFonts w:ascii="Times New Roman" w:hAnsi="Times New Roman" w:cs="Times New Roman"/>
          <w:sz w:val="24"/>
        </w:rPr>
        <w:t>skies</w:t>
      </w:r>
      <w:proofErr w:type="spellEnd"/>
      <w:r w:rsidR="00EB5460" w:rsidRPr="00473456">
        <w:rPr>
          <w:rFonts w:ascii="Times New Roman" w:hAnsi="Times New Roman" w:cs="Times New Roman"/>
          <w:sz w:val="24"/>
        </w:rPr>
        <w:t>.</w:t>
      </w:r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During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the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same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nights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we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measured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anthropogeni</w:t>
      </w:r>
      <w:r w:rsidR="00BB42FC">
        <w:rPr>
          <w:rFonts w:ascii="Times New Roman" w:hAnsi="Times New Roman" w:cs="Times New Roman"/>
          <w:sz w:val="24"/>
        </w:rPr>
        <w:t>c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sound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level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using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commercial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sound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level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meter</w:t>
      </w:r>
      <w:proofErr w:type="spellEnd"/>
      <w:r w:rsidR="00856CD4" w:rsidRPr="00473456">
        <w:rPr>
          <w:rFonts w:ascii="Times New Roman" w:hAnsi="Times New Roman" w:cs="Times New Roman"/>
          <w:sz w:val="24"/>
        </w:rPr>
        <w:t xml:space="preserve"> (SLM, Model: </w:t>
      </w:r>
      <w:proofErr w:type="spellStart"/>
      <w:r w:rsidR="00856CD4" w:rsidRPr="00473456">
        <w:rPr>
          <w:rFonts w:ascii="Times New Roman" w:hAnsi="Times New Roman" w:cs="Times New Roman"/>
          <w:sz w:val="24"/>
        </w:rPr>
        <w:t>Lutron</w:t>
      </w:r>
      <w:proofErr w:type="spellEnd"/>
      <w:r w:rsidR="00856CD4" w:rsidRPr="00473456">
        <w:rPr>
          <w:rFonts w:ascii="Times New Roman" w:hAnsi="Times New Roman" w:cs="Times New Roman"/>
          <w:sz w:val="24"/>
        </w:rPr>
        <w:t>, SL-4001)</w:t>
      </w:r>
      <w:r w:rsidR="00E367D3"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which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makes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calibrated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measurements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of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sound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pressure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level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(SPL; dB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re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 xml:space="preserve"> 20 </w:t>
      </w:r>
      <w:proofErr w:type="spellStart"/>
      <w:r w:rsidR="00E367D3" w:rsidRPr="00473456">
        <w:rPr>
          <w:rFonts w:ascii="Times New Roman" w:hAnsi="Times New Roman" w:cs="Times New Roman"/>
          <w:sz w:val="24"/>
        </w:rPr>
        <w:t>μPa</w:t>
      </w:r>
      <w:proofErr w:type="spellEnd"/>
      <w:r w:rsidR="00E367D3" w:rsidRPr="00473456">
        <w:rPr>
          <w:rFonts w:ascii="Times New Roman" w:hAnsi="Times New Roman" w:cs="Times New Roman"/>
          <w:sz w:val="24"/>
        </w:rPr>
        <w:t>).</w:t>
      </w:r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We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measured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the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proportion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of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imperviousness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land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cover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surrounding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each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site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landscape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scale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) at 500m radii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with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publicly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available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data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on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the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surrounding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landscape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features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from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the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Berlin Environmental Atlas (Senatsverwaltung für Stadtentwicklung und Umwelt, 2016</w:t>
      </w:r>
      <w:r w:rsidR="004E7056" w:rsidRPr="00473456">
        <w:rPr>
          <w:rFonts w:ascii="Times New Roman" w:hAnsi="Times New Roman" w:cs="Times New Roman"/>
          <w:sz w:val="24"/>
        </w:rPr>
        <w:t>; Landesamt für Umwelt</w:t>
      </w:r>
      <w:r w:rsidR="00165A4C" w:rsidRPr="00473456">
        <w:rPr>
          <w:rFonts w:ascii="Times New Roman" w:hAnsi="Times New Roman" w:cs="Times New Roman"/>
          <w:sz w:val="24"/>
        </w:rPr>
        <w:t xml:space="preserve"> at a 2 × 2-m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resolution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using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the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Zonal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statistics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tool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in QGIS </w:t>
      </w:r>
      <w:proofErr w:type="spellStart"/>
      <w:r w:rsidR="00165A4C" w:rsidRPr="00473456">
        <w:rPr>
          <w:rFonts w:ascii="Times New Roman" w:hAnsi="Times New Roman" w:cs="Times New Roman"/>
          <w:sz w:val="24"/>
        </w:rPr>
        <w:t>software</w:t>
      </w:r>
      <w:proofErr w:type="spellEnd"/>
      <w:r w:rsidR="00165A4C" w:rsidRPr="00473456">
        <w:rPr>
          <w:rFonts w:ascii="Times New Roman" w:hAnsi="Times New Roman" w:cs="Times New Roman"/>
          <w:sz w:val="24"/>
        </w:rPr>
        <w:t xml:space="preserve"> v. 2.18.0 (QGIS Development Team, 2018).</w:t>
      </w:r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To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account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for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influence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of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other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influencing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variables on </w:t>
      </w:r>
      <w:proofErr w:type="spellStart"/>
      <w:r w:rsidRPr="00473456">
        <w:rPr>
          <w:rFonts w:ascii="Times New Roman" w:hAnsi="Times New Roman" w:cs="Times New Roman"/>
          <w:sz w:val="24"/>
        </w:rPr>
        <w:t>echolocation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behavior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, all </w:t>
      </w:r>
      <w:proofErr w:type="spellStart"/>
      <w:r w:rsidRPr="00473456">
        <w:rPr>
          <w:rFonts w:ascii="Times New Roman" w:hAnsi="Times New Roman" w:cs="Times New Roman"/>
          <w:sz w:val="24"/>
        </w:rPr>
        <w:t>site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locations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of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each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category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(urban/rural) </w:t>
      </w:r>
      <w:proofErr w:type="spellStart"/>
      <w:r w:rsidRPr="00473456">
        <w:rPr>
          <w:rFonts w:ascii="Times New Roman" w:hAnsi="Times New Roman" w:cs="Times New Roman"/>
          <w:sz w:val="24"/>
        </w:rPr>
        <w:t>were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selected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to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have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similar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habitat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features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surrounding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them</w:t>
      </w:r>
      <w:proofErr w:type="spellEnd"/>
      <w:r w:rsidR="0043011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3011C">
        <w:rPr>
          <w:rFonts w:ascii="Times New Roman" w:hAnsi="Times New Roman" w:cs="Times New Roman"/>
          <w:sz w:val="24"/>
        </w:rPr>
        <w:t>We</w:t>
      </w:r>
      <w:proofErr w:type="spellEnd"/>
      <w:r w:rsidR="004301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011C">
        <w:rPr>
          <w:rFonts w:ascii="Times New Roman" w:hAnsi="Times New Roman" w:cs="Times New Roman"/>
          <w:sz w:val="24"/>
        </w:rPr>
        <w:t>calculated</w:t>
      </w:r>
      <w:proofErr w:type="spellEnd"/>
      <w:r w:rsidR="004301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011C">
        <w:rPr>
          <w:rFonts w:ascii="Times New Roman" w:hAnsi="Times New Roman" w:cs="Times New Roman"/>
          <w:sz w:val="24"/>
        </w:rPr>
        <w:t>distances</w:t>
      </w:r>
      <w:proofErr w:type="spellEnd"/>
      <w:r w:rsidR="004301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011C">
        <w:rPr>
          <w:rFonts w:ascii="Times New Roman" w:hAnsi="Times New Roman" w:cs="Times New Roman"/>
          <w:sz w:val="24"/>
        </w:rPr>
        <w:t>to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54F5">
        <w:rPr>
          <w:rFonts w:ascii="Times New Roman" w:hAnsi="Times New Roman" w:cs="Times New Roman"/>
          <w:sz w:val="24"/>
        </w:rPr>
        <w:t>nearest</w:t>
      </w:r>
      <w:proofErr w:type="spellEnd"/>
      <w:r w:rsidR="004301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011C">
        <w:rPr>
          <w:rFonts w:ascii="Times New Roman" w:hAnsi="Times New Roman" w:cs="Times New Roman"/>
          <w:sz w:val="24"/>
        </w:rPr>
        <w:t>water</w:t>
      </w:r>
      <w:proofErr w:type="spellEnd"/>
      <w:r w:rsidR="0043011C">
        <w:rPr>
          <w:rFonts w:ascii="Times New Roman" w:hAnsi="Times New Roman" w:cs="Times New Roman"/>
          <w:sz w:val="24"/>
        </w:rPr>
        <w:t xml:space="preserve"> source, </w:t>
      </w:r>
      <w:proofErr w:type="spellStart"/>
      <w:r w:rsidR="00A854F5">
        <w:rPr>
          <w:rFonts w:ascii="Times New Roman" w:hAnsi="Times New Roman" w:cs="Times New Roman"/>
          <w:sz w:val="24"/>
        </w:rPr>
        <w:t>tree</w:t>
      </w:r>
      <w:r w:rsidR="002B0C0D">
        <w:rPr>
          <w:rFonts w:ascii="Times New Roman" w:hAnsi="Times New Roman" w:cs="Times New Roman"/>
          <w:sz w:val="24"/>
        </w:rPr>
        <w:t>s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="00A854F5">
        <w:rPr>
          <w:rFonts w:ascii="Times New Roman" w:hAnsi="Times New Roman" w:cs="Times New Roman"/>
          <w:sz w:val="24"/>
        </w:rPr>
        <w:t>building</w:t>
      </w:r>
      <w:r w:rsidR="002B0C0D">
        <w:rPr>
          <w:rFonts w:ascii="Times New Roman" w:hAnsi="Times New Roman" w:cs="Times New Roman"/>
          <w:sz w:val="24"/>
        </w:rPr>
        <w:t>s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. Height </w:t>
      </w:r>
      <w:proofErr w:type="spellStart"/>
      <w:r w:rsidR="00A854F5">
        <w:rPr>
          <w:rFonts w:ascii="Times New Roman" w:hAnsi="Times New Roman" w:cs="Times New Roman"/>
          <w:sz w:val="24"/>
        </w:rPr>
        <w:t>of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54F5">
        <w:rPr>
          <w:rFonts w:ascii="Times New Roman" w:hAnsi="Times New Roman" w:cs="Times New Roman"/>
          <w:sz w:val="24"/>
        </w:rPr>
        <w:t>trees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A854F5">
        <w:rPr>
          <w:rFonts w:ascii="Times New Roman" w:hAnsi="Times New Roman" w:cs="Times New Roman"/>
          <w:sz w:val="24"/>
        </w:rPr>
        <w:t>buildings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54F5">
        <w:rPr>
          <w:rFonts w:ascii="Times New Roman" w:hAnsi="Times New Roman" w:cs="Times New Roman"/>
          <w:sz w:val="24"/>
        </w:rPr>
        <w:t>were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54F5">
        <w:rPr>
          <w:rFonts w:ascii="Times New Roman" w:hAnsi="Times New Roman" w:cs="Times New Roman"/>
          <w:sz w:val="24"/>
        </w:rPr>
        <w:t>measured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54F5">
        <w:rPr>
          <w:rFonts w:ascii="Times New Roman" w:hAnsi="Times New Roman" w:cs="Times New Roman"/>
          <w:sz w:val="24"/>
        </w:rPr>
        <w:t>using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A854F5">
        <w:rPr>
          <w:rFonts w:ascii="Times New Roman" w:hAnsi="Times New Roman" w:cs="Times New Roman"/>
          <w:sz w:val="24"/>
        </w:rPr>
        <w:t>laser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54F5">
        <w:rPr>
          <w:rFonts w:ascii="Times New Roman" w:hAnsi="Times New Roman" w:cs="Times New Roman"/>
          <w:sz w:val="24"/>
        </w:rPr>
        <w:t>range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54F5">
        <w:rPr>
          <w:rFonts w:ascii="Times New Roman" w:hAnsi="Times New Roman" w:cs="Times New Roman"/>
          <w:sz w:val="24"/>
        </w:rPr>
        <w:t>finder</w:t>
      </w:r>
      <w:proofErr w:type="spellEnd"/>
      <w:r w:rsidR="00A854F5">
        <w:rPr>
          <w:rFonts w:ascii="Times New Roman" w:hAnsi="Times New Roman" w:cs="Times New Roman"/>
          <w:sz w:val="24"/>
        </w:rPr>
        <w:t xml:space="preserve"> (LRF 600, Walther GmbH, Germany).</w:t>
      </w:r>
    </w:p>
    <w:p w14:paraId="2B983615" w14:textId="77777777" w:rsidR="002B0C0D" w:rsidRPr="00473456" w:rsidRDefault="002B0C0D">
      <w:pPr>
        <w:rPr>
          <w:rFonts w:ascii="Times New Roman" w:hAnsi="Times New Roman" w:cs="Times New Roman"/>
          <w:sz w:val="24"/>
        </w:rPr>
      </w:pPr>
    </w:p>
    <w:p w14:paraId="095F8040" w14:textId="77777777" w:rsidR="006244E5" w:rsidRDefault="006244E5" w:rsidP="006244E5">
      <w:pPr>
        <w:pStyle w:val="Beschriftung"/>
        <w:keepNext/>
      </w:pPr>
      <w:r>
        <w:lastRenderedPageBreak/>
        <w:t>Table S</w:t>
      </w:r>
      <w:fldSimple w:instr=" SEQ Tabelle \* ARABIC ">
        <w:r w:rsidR="00DF6F76">
          <w:rPr>
            <w:noProof/>
          </w:rPr>
          <w:t>1</w:t>
        </w:r>
      </w:fldSimple>
      <w:r>
        <w:t>.</w:t>
      </w:r>
      <w:r w:rsidR="00CB53C1">
        <w:t xml:space="preserve"> </w:t>
      </w:r>
      <w:proofErr w:type="spellStart"/>
      <w:r w:rsidR="00CB53C1">
        <w:t>Measured</w:t>
      </w:r>
      <w:proofErr w:type="spellEnd"/>
      <w:r w:rsidR="00CB53C1">
        <w:t xml:space="preserve"> </w:t>
      </w:r>
      <w:proofErr w:type="spellStart"/>
      <w:r w:rsidR="00CB53C1">
        <w:t>parameters</w:t>
      </w:r>
      <w:proofErr w:type="spellEnd"/>
      <w:r w:rsidR="00CB53C1">
        <w:t xml:space="preserve"> at </w:t>
      </w:r>
      <w:proofErr w:type="spellStart"/>
      <w:r w:rsidR="00CB53C1">
        <w:t>study</w:t>
      </w:r>
      <w:proofErr w:type="spellEnd"/>
      <w:r w:rsidR="00CB53C1">
        <w:t xml:space="preserve"> </w:t>
      </w:r>
      <w:proofErr w:type="spellStart"/>
      <w:r w:rsidR="00CB53C1">
        <w:t>sites</w:t>
      </w:r>
      <w:proofErr w:type="spellEnd"/>
      <w:r w:rsidR="00CB53C1">
        <w:t xml:space="preserve"> (n= 3 urban </w:t>
      </w:r>
      <w:proofErr w:type="spellStart"/>
      <w:r w:rsidR="00CB53C1">
        <w:t>sites</w:t>
      </w:r>
      <w:proofErr w:type="spellEnd"/>
      <w:r w:rsidR="00CB53C1">
        <w:t xml:space="preserve"> in Berlin </w:t>
      </w:r>
      <w:proofErr w:type="spellStart"/>
      <w:r w:rsidR="00572099">
        <w:t>city</w:t>
      </w:r>
      <w:proofErr w:type="spellEnd"/>
      <w:r w:rsidR="00572099">
        <w:t xml:space="preserve"> </w:t>
      </w:r>
      <w:proofErr w:type="spellStart"/>
      <w:r w:rsidR="00572099">
        <w:t>center</w:t>
      </w:r>
      <w:proofErr w:type="spellEnd"/>
      <w:r w:rsidR="00572099">
        <w:t xml:space="preserve"> </w:t>
      </w:r>
      <w:r w:rsidR="00CB53C1">
        <w:t xml:space="preserve">and 3 rural </w:t>
      </w:r>
      <w:proofErr w:type="spellStart"/>
      <w:r w:rsidR="00CB53C1">
        <w:t>sites</w:t>
      </w:r>
      <w:proofErr w:type="spellEnd"/>
      <w:r w:rsidR="00CB53C1">
        <w:t xml:space="preserve"> in Brandenburg</w:t>
      </w:r>
      <w:r w:rsidR="00572099">
        <w:t xml:space="preserve"> </w:t>
      </w:r>
      <w:proofErr w:type="spellStart"/>
      <w:r w:rsidR="00572099">
        <w:t>district</w:t>
      </w:r>
      <w:proofErr w:type="spellEnd"/>
      <w:r w:rsidR="00CB53C1">
        <w:t>)</w:t>
      </w:r>
    </w:p>
    <w:tbl>
      <w:tblPr>
        <w:tblStyle w:val="Tabellenraster"/>
        <w:tblW w:w="9298" w:type="dxa"/>
        <w:jc w:val="center"/>
        <w:tblLook w:val="04A0" w:firstRow="1" w:lastRow="0" w:firstColumn="1" w:lastColumn="0" w:noHBand="0" w:noVBand="1"/>
      </w:tblPr>
      <w:tblGrid>
        <w:gridCol w:w="1690"/>
        <w:gridCol w:w="1308"/>
        <w:gridCol w:w="1308"/>
        <w:gridCol w:w="1308"/>
        <w:gridCol w:w="1308"/>
        <w:gridCol w:w="1188"/>
        <w:gridCol w:w="1188"/>
      </w:tblGrid>
      <w:tr w:rsidR="00473456" w:rsidRPr="00473456" w14:paraId="51B70BC2" w14:textId="77777777" w:rsidTr="00AA6AF3">
        <w:trPr>
          <w:jc w:val="center"/>
        </w:trPr>
        <w:tc>
          <w:tcPr>
            <w:tcW w:w="1690" w:type="dxa"/>
            <w:vAlign w:val="center"/>
          </w:tcPr>
          <w:p w14:paraId="2FC7C8B4" w14:textId="77777777" w:rsidR="00856CD4" w:rsidRPr="00CE2B51" w:rsidRDefault="00856CD4" w:rsidP="00855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3"/>
            <w:vAlign w:val="center"/>
          </w:tcPr>
          <w:p w14:paraId="1E6B76BC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51">
              <w:rPr>
                <w:rFonts w:ascii="Times New Roman" w:hAnsi="Times New Roman" w:cs="Times New Roman"/>
                <w:b/>
              </w:rPr>
              <w:t>rural</w:t>
            </w:r>
          </w:p>
        </w:tc>
        <w:tc>
          <w:tcPr>
            <w:tcW w:w="3684" w:type="dxa"/>
            <w:gridSpan w:val="3"/>
            <w:vAlign w:val="center"/>
          </w:tcPr>
          <w:p w14:paraId="1BB6DFDE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51">
              <w:rPr>
                <w:rFonts w:ascii="Times New Roman" w:hAnsi="Times New Roman" w:cs="Times New Roman"/>
                <w:b/>
              </w:rPr>
              <w:t>urban</w:t>
            </w:r>
          </w:p>
        </w:tc>
      </w:tr>
      <w:tr w:rsidR="00473456" w:rsidRPr="00473456" w14:paraId="4D173D93" w14:textId="77777777" w:rsidTr="00AA6AF3">
        <w:trPr>
          <w:jc w:val="center"/>
        </w:trPr>
        <w:tc>
          <w:tcPr>
            <w:tcW w:w="1690" w:type="dxa"/>
            <w:vAlign w:val="center"/>
          </w:tcPr>
          <w:p w14:paraId="764AEF95" w14:textId="77777777" w:rsidR="00856CD4" w:rsidRPr="00CE2B51" w:rsidRDefault="00856CD4" w:rsidP="00856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14:paraId="33D62CBA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51">
              <w:rPr>
                <w:rFonts w:ascii="Times New Roman" w:hAnsi="Times New Roman" w:cs="Times New Roman"/>
                <w:b/>
              </w:rPr>
              <w:t>r1</w:t>
            </w:r>
          </w:p>
        </w:tc>
        <w:tc>
          <w:tcPr>
            <w:tcW w:w="1308" w:type="dxa"/>
            <w:vAlign w:val="center"/>
          </w:tcPr>
          <w:p w14:paraId="3A7EB051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51">
              <w:rPr>
                <w:rFonts w:ascii="Times New Roman" w:hAnsi="Times New Roman" w:cs="Times New Roman"/>
                <w:b/>
              </w:rPr>
              <w:t>r2</w:t>
            </w:r>
          </w:p>
        </w:tc>
        <w:tc>
          <w:tcPr>
            <w:tcW w:w="1308" w:type="dxa"/>
            <w:vAlign w:val="center"/>
          </w:tcPr>
          <w:p w14:paraId="293ED79D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51">
              <w:rPr>
                <w:rFonts w:ascii="Times New Roman" w:hAnsi="Times New Roman" w:cs="Times New Roman"/>
                <w:b/>
              </w:rPr>
              <w:t>r3</w:t>
            </w:r>
          </w:p>
        </w:tc>
        <w:tc>
          <w:tcPr>
            <w:tcW w:w="1308" w:type="dxa"/>
            <w:vAlign w:val="center"/>
          </w:tcPr>
          <w:p w14:paraId="6AE260BF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51">
              <w:rPr>
                <w:rFonts w:ascii="Times New Roman" w:hAnsi="Times New Roman" w:cs="Times New Roman"/>
                <w:b/>
              </w:rPr>
              <w:t>u1</w:t>
            </w:r>
          </w:p>
        </w:tc>
        <w:tc>
          <w:tcPr>
            <w:tcW w:w="1188" w:type="dxa"/>
            <w:vAlign w:val="center"/>
          </w:tcPr>
          <w:p w14:paraId="09A680DE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51">
              <w:rPr>
                <w:rFonts w:ascii="Times New Roman" w:hAnsi="Times New Roman" w:cs="Times New Roman"/>
                <w:b/>
              </w:rPr>
              <w:t>u2</w:t>
            </w:r>
          </w:p>
        </w:tc>
        <w:tc>
          <w:tcPr>
            <w:tcW w:w="1188" w:type="dxa"/>
            <w:vAlign w:val="center"/>
          </w:tcPr>
          <w:p w14:paraId="53AA7354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51">
              <w:rPr>
                <w:rFonts w:ascii="Times New Roman" w:hAnsi="Times New Roman" w:cs="Times New Roman"/>
                <w:b/>
              </w:rPr>
              <w:t>u3</w:t>
            </w:r>
          </w:p>
        </w:tc>
      </w:tr>
      <w:tr w:rsidR="00473456" w:rsidRPr="00473456" w14:paraId="4D8D3216" w14:textId="77777777" w:rsidTr="00AA6AF3">
        <w:trPr>
          <w:jc w:val="center"/>
        </w:trPr>
        <w:tc>
          <w:tcPr>
            <w:tcW w:w="1690" w:type="dxa"/>
            <w:vAlign w:val="center"/>
          </w:tcPr>
          <w:p w14:paraId="0FA20500" w14:textId="77777777" w:rsidR="00856CD4" w:rsidRPr="00CE2B51" w:rsidRDefault="008B3463" w:rsidP="00856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B51">
              <w:rPr>
                <w:rFonts w:ascii="Times New Roman" w:hAnsi="Times New Roman" w:cs="Times New Roman"/>
              </w:rPr>
              <w:t>mean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CD4" w:rsidRPr="00CE2B51">
              <w:rPr>
                <w:rFonts w:ascii="Times New Roman" w:hAnsi="Times New Roman" w:cs="Times New Roman"/>
              </w:rPr>
              <w:t>sound</w:t>
            </w:r>
            <w:proofErr w:type="spellEnd"/>
            <w:r w:rsidR="00856CD4"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CD4" w:rsidRPr="00CE2B51">
              <w:rPr>
                <w:rFonts w:ascii="Times New Roman" w:hAnsi="Times New Roman" w:cs="Times New Roman"/>
              </w:rPr>
              <w:t>pressure</w:t>
            </w:r>
            <w:proofErr w:type="spellEnd"/>
            <w:r w:rsidR="00856CD4"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CD4" w:rsidRPr="00CE2B51">
              <w:rPr>
                <w:rFonts w:ascii="Times New Roman" w:hAnsi="Times New Roman" w:cs="Times New Roman"/>
              </w:rPr>
              <w:t>level</w:t>
            </w:r>
            <w:proofErr w:type="spellEnd"/>
          </w:p>
          <w:p w14:paraId="55A6873F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 xml:space="preserve">dB </w:t>
            </w:r>
            <w:proofErr w:type="spellStart"/>
            <w:r w:rsidRPr="00CE2B51">
              <w:rPr>
                <w:rFonts w:ascii="Times New Roman" w:hAnsi="Times New Roman" w:cs="Times New Roman"/>
              </w:rPr>
              <w:t>re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CE2B51">
              <w:rPr>
                <w:rFonts w:ascii="Times New Roman" w:hAnsi="Times New Roman" w:cs="Times New Roman"/>
              </w:rPr>
              <w:t>μPa</w:t>
            </w:r>
            <w:proofErr w:type="spellEnd"/>
          </w:p>
        </w:tc>
        <w:tc>
          <w:tcPr>
            <w:tcW w:w="1308" w:type="dxa"/>
            <w:vAlign w:val="center"/>
          </w:tcPr>
          <w:p w14:paraId="709F6934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24.05±3.08</w:t>
            </w:r>
          </w:p>
        </w:tc>
        <w:tc>
          <w:tcPr>
            <w:tcW w:w="1308" w:type="dxa"/>
            <w:vAlign w:val="center"/>
          </w:tcPr>
          <w:p w14:paraId="2E93F09E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26.02±3.01</w:t>
            </w:r>
          </w:p>
        </w:tc>
        <w:tc>
          <w:tcPr>
            <w:tcW w:w="1308" w:type="dxa"/>
            <w:vAlign w:val="center"/>
          </w:tcPr>
          <w:p w14:paraId="7C82B9A2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29.6±2.06</w:t>
            </w:r>
          </w:p>
        </w:tc>
        <w:tc>
          <w:tcPr>
            <w:tcW w:w="1308" w:type="dxa"/>
            <w:vAlign w:val="center"/>
          </w:tcPr>
          <w:p w14:paraId="3E186CB2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56.0±7.42</w:t>
            </w:r>
          </w:p>
        </w:tc>
        <w:tc>
          <w:tcPr>
            <w:tcW w:w="1188" w:type="dxa"/>
            <w:vAlign w:val="center"/>
          </w:tcPr>
          <w:p w14:paraId="4A0EB16B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47.2±4.54</w:t>
            </w:r>
          </w:p>
        </w:tc>
        <w:tc>
          <w:tcPr>
            <w:tcW w:w="1188" w:type="dxa"/>
            <w:vAlign w:val="center"/>
          </w:tcPr>
          <w:p w14:paraId="30B93E06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57.8±4.58</w:t>
            </w:r>
          </w:p>
        </w:tc>
      </w:tr>
      <w:tr w:rsidR="00473456" w:rsidRPr="00473456" w14:paraId="092E3F5A" w14:textId="77777777" w:rsidTr="00AA6AF3">
        <w:trPr>
          <w:jc w:val="center"/>
        </w:trPr>
        <w:tc>
          <w:tcPr>
            <w:tcW w:w="1690" w:type="dxa"/>
            <w:vAlign w:val="center"/>
          </w:tcPr>
          <w:p w14:paraId="3CC761E4" w14:textId="77777777" w:rsidR="00856CD4" w:rsidRPr="00CE2B51" w:rsidRDefault="008B3463" w:rsidP="00856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B51">
              <w:rPr>
                <w:rFonts w:ascii="Times New Roman" w:hAnsi="Times New Roman" w:cs="Times New Roman"/>
              </w:rPr>
              <w:t>mean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CD4" w:rsidRPr="00CE2B51">
              <w:rPr>
                <w:rFonts w:ascii="Times New Roman" w:hAnsi="Times New Roman" w:cs="Times New Roman"/>
              </w:rPr>
              <w:t>sky</w:t>
            </w:r>
            <w:proofErr w:type="spellEnd"/>
            <w:r w:rsidR="00856CD4"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CD4" w:rsidRPr="00CE2B51">
              <w:rPr>
                <w:rFonts w:ascii="Times New Roman" w:hAnsi="Times New Roman" w:cs="Times New Roman"/>
              </w:rPr>
              <w:t>brightness</w:t>
            </w:r>
            <w:proofErr w:type="spellEnd"/>
            <w:r w:rsidR="00856CD4" w:rsidRPr="00CE2B51">
              <w:rPr>
                <w:rFonts w:ascii="Times New Roman" w:hAnsi="Times New Roman" w:cs="Times New Roman"/>
              </w:rPr>
              <w:t xml:space="preserve"> (mag/arcsec</w:t>
            </w:r>
            <w:r w:rsidR="00856CD4" w:rsidRPr="00CE2B51">
              <w:rPr>
                <w:rFonts w:ascii="Times New Roman" w:hAnsi="Times New Roman" w:cs="Times New Roman"/>
                <w:vertAlign w:val="superscript"/>
              </w:rPr>
              <w:t>2</w:t>
            </w:r>
            <w:r w:rsidR="00856CD4" w:rsidRPr="00CE2B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8" w:type="dxa"/>
            <w:vAlign w:val="center"/>
          </w:tcPr>
          <w:p w14:paraId="480330E2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18.96±0.21</w:t>
            </w:r>
          </w:p>
        </w:tc>
        <w:tc>
          <w:tcPr>
            <w:tcW w:w="1308" w:type="dxa"/>
            <w:vAlign w:val="center"/>
          </w:tcPr>
          <w:p w14:paraId="3D772BC3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18.9±0.6</w:t>
            </w:r>
          </w:p>
        </w:tc>
        <w:tc>
          <w:tcPr>
            <w:tcW w:w="1308" w:type="dxa"/>
            <w:vAlign w:val="center"/>
          </w:tcPr>
          <w:p w14:paraId="1FD6B3A1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18.08±0.43</w:t>
            </w:r>
          </w:p>
        </w:tc>
        <w:tc>
          <w:tcPr>
            <w:tcW w:w="1308" w:type="dxa"/>
            <w:vAlign w:val="center"/>
          </w:tcPr>
          <w:p w14:paraId="0AB5EE86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16.06±0.77</w:t>
            </w:r>
          </w:p>
        </w:tc>
        <w:tc>
          <w:tcPr>
            <w:tcW w:w="1188" w:type="dxa"/>
            <w:vAlign w:val="center"/>
          </w:tcPr>
          <w:p w14:paraId="008C45A7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16.0±0.71</w:t>
            </w:r>
          </w:p>
        </w:tc>
        <w:tc>
          <w:tcPr>
            <w:tcW w:w="1188" w:type="dxa"/>
            <w:vAlign w:val="center"/>
          </w:tcPr>
          <w:p w14:paraId="2058C946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15.4±0.56</w:t>
            </w:r>
          </w:p>
        </w:tc>
      </w:tr>
      <w:tr w:rsidR="00473456" w:rsidRPr="00473456" w14:paraId="6B10D701" w14:textId="77777777" w:rsidTr="00AA6AF3">
        <w:trPr>
          <w:jc w:val="center"/>
        </w:trPr>
        <w:tc>
          <w:tcPr>
            <w:tcW w:w="1690" w:type="dxa"/>
            <w:vAlign w:val="center"/>
          </w:tcPr>
          <w:p w14:paraId="4E411229" w14:textId="77777777" w:rsidR="00856CD4" w:rsidRPr="00CE2B51" w:rsidRDefault="00856CD4" w:rsidP="00856CD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E2B51">
              <w:rPr>
                <w:rFonts w:ascii="Times New Roman" w:hAnsi="Times New Roman" w:cs="Times New Roman"/>
              </w:rPr>
              <w:t>impervious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surface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in 500m </w:t>
            </w:r>
            <w:proofErr w:type="spellStart"/>
            <w:r w:rsidRPr="00CE2B51">
              <w:rPr>
                <w:rFonts w:ascii="Times New Roman" w:hAnsi="Times New Roman" w:cs="Times New Roman"/>
              </w:rPr>
              <w:t>radius</w:t>
            </w:r>
            <w:proofErr w:type="spellEnd"/>
          </w:p>
        </w:tc>
        <w:tc>
          <w:tcPr>
            <w:tcW w:w="1308" w:type="dxa"/>
            <w:vAlign w:val="center"/>
          </w:tcPr>
          <w:p w14:paraId="31628267" w14:textId="77777777" w:rsidR="00856CD4" w:rsidRPr="00CE2B51" w:rsidRDefault="00473456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42.98</w:t>
            </w:r>
          </w:p>
        </w:tc>
        <w:tc>
          <w:tcPr>
            <w:tcW w:w="1308" w:type="dxa"/>
            <w:vAlign w:val="center"/>
          </w:tcPr>
          <w:p w14:paraId="2B3180F0" w14:textId="77777777" w:rsidR="00856CD4" w:rsidRPr="00CE2B51" w:rsidRDefault="00473456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50.13</w:t>
            </w:r>
          </w:p>
        </w:tc>
        <w:tc>
          <w:tcPr>
            <w:tcW w:w="1308" w:type="dxa"/>
            <w:vAlign w:val="center"/>
          </w:tcPr>
          <w:p w14:paraId="252C30A9" w14:textId="77777777" w:rsidR="00856CD4" w:rsidRPr="00CE2B51" w:rsidRDefault="00473456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47.82</w:t>
            </w:r>
          </w:p>
        </w:tc>
        <w:tc>
          <w:tcPr>
            <w:tcW w:w="1308" w:type="dxa"/>
            <w:vAlign w:val="center"/>
          </w:tcPr>
          <w:p w14:paraId="2B538316" w14:textId="77777777" w:rsidR="00856CD4" w:rsidRPr="00CE2B51" w:rsidRDefault="00473456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72.31</w:t>
            </w:r>
          </w:p>
        </w:tc>
        <w:tc>
          <w:tcPr>
            <w:tcW w:w="1188" w:type="dxa"/>
            <w:vAlign w:val="center"/>
          </w:tcPr>
          <w:p w14:paraId="3DD8A59B" w14:textId="77777777" w:rsidR="00856CD4" w:rsidRPr="00CE2B51" w:rsidRDefault="00473456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68.14</w:t>
            </w:r>
          </w:p>
        </w:tc>
        <w:tc>
          <w:tcPr>
            <w:tcW w:w="1188" w:type="dxa"/>
            <w:vAlign w:val="center"/>
          </w:tcPr>
          <w:p w14:paraId="3B55F124" w14:textId="77777777" w:rsidR="00856CD4" w:rsidRPr="00CE2B51" w:rsidRDefault="00473456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85.74</w:t>
            </w:r>
          </w:p>
        </w:tc>
      </w:tr>
      <w:tr w:rsidR="00AA6AF3" w:rsidRPr="00473456" w14:paraId="68237669" w14:textId="77777777" w:rsidTr="00AA6AF3">
        <w:trPr>
          <w:jc w:val="center"/>
        </w:trPr>
        <w:tc>
          <w:tcPr>
            <w:tcW w:w="1690" w:type="dxa"/>
            <w:vAlign w:val="center"/>
          </w:tcPr>
          <w:p w14:paraId="001534E8" w14:textId="77777777" w:rsidR="00AA6AF3" w:rsidRPr="00CE2B51" w:rsidRDefault="00AA6AF3" w:rsidP="00856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B51">
              <w:rPr>
                <w:rFonts w:ascii="Times New Roman" w:hAnsi="Times New Roman" w:cs="Times New Roman"/>
              </w:rPr>
              <w:t>distance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to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nearest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building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308" w:type="dxa"/>
            <w:vAlign w:val="center"/>
          </w:tcPr>
          <w:p w14:paraId="489B5F5A" w14:textId="77777777" w:rsidR="00AA6AF3" w:rsidRPr="00CE2B51" w:rsidRDefault="00CB53C1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1308" w:type="dxa"/>
            <w:vAlign w:val="center"/>
          </w:tcPr>
          <w:p w14:paraId="0BA5ECF2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308" w:type="dxa"/>
            <w:vAlign w:val="center"/>
          </w:tcPr>
          <w:p w14:paraId="777FBA94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63.8</w:t>
            </w:r>
          </w:p>
        </w:tc>
        <w:tc>
          <w:tcPr>
            <w:tcW w:w="1308" w:type="dxa"/>
            <w:vAlign w:val="center"/>
          </w:tcPr>
          <w:p w14:paraId="7A25C895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1188" w:type="dxa"/>
            <w:vAlign w:val="center"/>
          </w:tcPr>
          <w:p w14:paraId="168CF00C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1188" w:type="dxa"/>
            <w:vAlign w:val="center"/>
          </w:tcPr>
          <w:p w14:paraId="37E1AFD6" w14:textId="77777777" w:rsidR="00AA6AF3" w:rsidRPr="00CE2B51" w:rsidRDefault="004B2844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49.3</w:t>
            </w:r>
          </w:p>
        </w:tc>
      </w:tr>
      <w:tr w:rsidR="00AA6AF3" w:rsidRPr="00473456" w14:paraId="4ADB3C9A" w14:textId="77777777" w:rsidTr="00AA6AF3">
        <w:trPr>
          <w:jc w:val="center"/>
        </w:trPr>
        <w:tc>
          <w:tcPr>
            <w:tcW w:w="1690" w:type="dxa"/>
            <w:vAlign w:val="center"/>
          </w:tcPr>
          <w:p w14:paraId="338299E6" w14:textId="77777777" w:rsidR="00AA6AF3" w:rsidRPr="00CE2B51" w:rsidRDefault="008B3463" w:rsidP="00856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B51">
              <w:rPr>
                <w:rFonts w:ascii="Times New Roman" w:hAnsi="Times New Roman" w:cs="Times New Roman"/>
              </w:rPr>
              <w:t>mean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AF3" w:rsidRPr="00CE2B51">
              <w:rPr>
                <w:rFonts w:ascii="Times New Roman" w:hAnsi="Times New Roman" w:cs="Times New Roman"/>
              </w:rPr>
              <w:t>height</w:t>
            </w:r>
            <w:proofErr w:type="spellEnd"/>
            <w:r w:rsidR="00AA6AF3"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AF3" w:rsidRPr="00CE2B51">
              <w:rPr>
                <w:rFonts w:ascii="Times New Roman" w:hAnsi="Times New Roman" w:cs="Times New Roman"/>
              </w:rPr>
              <w:t>of</w:t>
            </w:r>
            <w:proofErr w:type="spellEnd"/>
            <w:r w:rsidR="00AA6AF3"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AF3" w:rsidRPr="00CE2B51">
              <w:rPr>
                <w:rFonts w:ascii="Times New Roman" w:hAnsi="Times New Roman" w:cs="Times New Roman"/>
              </w:rPr>
              <w:t>building</w:t>
            </w:r>
            <w:r w:rsidR="007C371D" w:rsidRPr="00CE2B51">
              <w:rPr>
                <w:rFonts w:ascii="Times New Roman" w:hAnsi="Times New Roman" w:cs="Times New Roman"/>
              </w:rPr>
              <w:t>s</w:t>
            </w:r>
            <w:proofErr w:type="spellEnd"/>
            <w:r w:rsidR="007C371D" w:rsidRPr="00CE2B51">
              <w:rPr>
                <w:rFonts w:ascii="Times New Roman" w:hAnsi="Times New Roman" w:cs="Times New Roman"/>
              </w:rPr>
              <w:t xml:space="preserve"> in 100m </w:t>
            </w:r>
            <w:proofErr w:type="spellStart"/>
            <w:r w:rsidR="007C371D" w:rsidRPr="00CE2B51">
              <w:rPr>
                <w:rFonts w:ascii="Times New Roman" w:hAnsi="Times New Roman" w:cs="Times New Roman"/>
              </w:rPr>
              <w:t>radius</w:t>
            </w:r>
            <w:proofErr w:type="spellEnd"/>
            <w:r w:rsidR="00AA6AF3" w:rsidRPr="00CE2B51"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308" w:type="dxa"/>
            <w:vAlign w:val="center"/>
          </w:tcPr>
          <w:p w14:paraId="3456DAC8" w14:textId="77777777" w:rsidR="00AA6AF3" w:rsidRPr="00CE2B51" w:rsidRDefault="00CB53C1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308" w:type="dxa"/>
            <w:vAlign w:val="center"/>
          </w:tcPr>
          <w:p w14:paraId="0313F66A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308" w:type="dxa"/>
            <w:vAlign w:val="center"/>
          </w:tcPr>
          <w:p w14:paraId="2FE0E620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308" w:type="dxa"/>
            <w:vAlign w:val="center"/>
          </w:tcPr>
          <w:p w14:paraId="61E91425" w14:textId="77777777" w:rsidR="00AA6AF3" w:rsidRPr="00CE2B51" w:rsidRDefault="00AA13A7" w:rsidP="004B2844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</w:t>
            </w:r>
            <w:r w:rsidR="004B2844" w:rsidRPr="00CE2B51">
              <w:rPr>
                <w:rFonts w:ascii="Times New Roman" w:hAnsi="Times New Roman" w:cs="Times New Roman"/>
              </w:rPr>
              <w:t>6</w:t>
            </w:r>
            <w:r w:rsidRPr="00CE2B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88" w:type="dxa"/>
            <w:vAlign w:val="center"/>
          </w:tcPr>
          <w:p w14:paraId="45B6BAF7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188" w:type="dxa"/>
            <w:vAlign w:val="center"/>
          </w:tcPr>
          <w:p w14:paraId="0E2F6250" w14:textId="77777777" w:rsidR="00AA6AF3" w:rsidRPr="00CE2B51" w:rsidRDefault="004B2844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21.3</w:t>
            </w:r>
          </w:p>
        </w:tc>
      </w:tr>
      <w:tr w:rsidR="00AA6AF3" w:rsidRPr="00473456" w14:paraId="75541EF7" w14:textId="77777777" w:rsidTr="00AA6AF3">
        <w:trPr>
          <w:jc w:val="center"/>
        </w:trPr>
        <w:tc>
          <w:tcPr>
            <w:tcW w:w="1690" w:type="dxa"/>
            <w:vAlign w:val="center"/>
          </w:tcPr>
          <w:p w14:paraId="57B0B9DC" w14:textId="77777777" w:rsidR="00AA6AF3" w:rsidRPr="00CE2B51" w:rsidRDefault="00AA6AF3" w:rsidP="00856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B51">
              <w:rPr>
                <w:rFonts w:ascii="Times New Roman" w:hAnsi="Times New Roman" w:cs="Times New Roman"/>
              </w:rPr>
              <w:t>distance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to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water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308" w:type="dxa"/>
            <w:vAlign w:val="center"/>
          </w:tcPr>
          <w:p w14:paraId="31D70590" w14:textId="77777777" w:rsidR="00AA6AF3" w:rsidRPr="00CE2B51" w:rsidRDefault="00CB53C1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08" w:type="dxa"/>
            <w:vAlign w:val="center"/>
          </w:tcPr>
          <w:p w14:paraId="20FD3A95" w14:textId="77777777" w:rsidR="00AA6AF3" w:rsidRPr="00CE2B51" w:rsidRDefault="00CB53C1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308" w:type="dxa"/>
            <w:vAlign w:val="center"/>
          </w:tcPr>
          <w:p w14:paraId="2DBD34BB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08" w:type="dxa"/>
            <w:vAlign w:val="center"/>
          </w:tcPr>
          <w:p w14:paraId="4E9CB22A" w14:textId="77777777" w:rsidR="00AA6AF3" w:rsidRPr="00CE2B51" w:rsidRDefault="00AA13A7" w:rsidP="000A0C07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8" w:type="dxa"/>
            <w:vAlign w:val="center"/>
          </w:tcPr>
          <w:p w14:paraId="6C6BD2FE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</w:t>
            </w:r>
            <w:r w:rsidR="000A0C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88" w:type="dxa"/>
            <w:vAlign w:val="center"/>
          </w:tcPr>
          <w:p w14:paraId="7F8A3D06" w14:textId="77777777" w:rsidR="00AA6AF3" w:rsidRPr="00CE2B51" w:rsidRDefault="000A0C07" w:rsidP="00473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A6AF3" w:rsidRPr="00473456" w14:paraId="70B8E600" w14:textId="77777777" w:rsidTr="00AA6AF3">
        <w:trPr>
          <w:jc w:val="center"/>
        </w:trPr>
        <w:tc>
          <w:tcPr>
            <w:tcW w:w="1690" w:type="dxa"/>
            <w:vAlign w:val="center"/>
          </w:tcPr>
          <w:p w14:paraId="3734D973" w14:textId="77777777" w:rsidR="00AA6AF3" w:rsidRPr="00CE2B51" w:rsidRDefault="00AA6AF3" w:rsidP="00856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B51">
              <w:rPr>
                <w:rFonts w:ascii="Times New Roman" w:hAnsi="Times New Roman" w:cs="Times New Roman"/>
              </w:rPr>
              <w:t>distance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to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nearest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B51">
              <w:rPr>
                <w:rFonts w:ascii="Times New Roman" w:hAnsi="Times New Roman" w:cs="Times New Roman"/>
              </w:rPr>
              <w:t>tree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308" w:type="dxa"/>
            <w:vAlign w:val="center"/>
          </w:tcPr>
          <w:p w14:paraId="0186E407" w14:textId="77777777" w:rsidR="00AA6AF3" w:rsidRPr="00CE2B51" w:rsidRDefault="00CB53C1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1308" w:type="dxa"/>
            <w:vAlign w:val="center"/>
          </w:tcPr>
          <w:p w14:paraId="2EE68C74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1308" w:type="dxa"/>
            <w:vAlign w:val="center"/>
          </w:tcPr>
          <w:p w14:paraId="5DA7028D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56.4</w:t>
            </w:r>
          </w:p>
        </w:tc>
        <w:tc>
          <w:tcPr>
            <w:tcW w:w="1308" w:type="dxa"/>
            <w:vAlign w:val="center"/>
          </w:tcPr>
          <w:p w14:paraId="6B19BA58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68.6</w:t>
            </w:r>
          </w:p>
        </w:tc>
        <w:tc>
          <w:tcPr>
            <w:tcW w:w="1188" w:type="dxa"/>
            <w:vAlign w:val="center"/>
          </w:tcPr>
          <w:p w14:paraId="550E9F54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188" w:type="dxa"/>
            <w:vAlign w:val="center"/>
          </w:tcPr>
          <w:p w14:paraId="2D033FF2" w14:textId="77777777" w:rsidR="00AA6AF3" w:rsidRPr="00CE2B51" w:rsidRDefault="004B2844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52.3</w:t>
            </w:r>
          </w:p>
        </w:tc>
      </w:tr>
      <w:tr w:rsidR="00AA6AF3" w:rsidRPr="00473456" w14:paraId="0749E6FC" w14:textId="77777777" w:rsidTr="00AA6AF3">
        <w:trPr>
          <w:jc w:val="center"/>
        </w:trPr>
        <w:tc>
          <w:tcPr>
            <w:tcW w:w="1690" w:type="dxa"/>
            <w:vAlign w:val="center"/>
          </w:tcPr>
          <w:p w14:paraId="005C8BF5" w14:textId="77777777" w:rsidR="00AA6AF3" w:rsidRPr="00CE2B51" w:rsidRDefault="008B3463" w:rsidP="00856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B51">
              <w:rPr>
                <w:rFonts w:ascii="Times New Roman" w:hAnsi="Times New Roman" w:cs="Times New Roman"/>
              </w:rPr>
              <w:t>mean</w:t>
            </w:r>
            <w:proofErr w:type="spellEnd"/>
            <w:r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AF3" w:rsidRPr="00CE2B51">
              <w:rPr>
                <w:rFonts w:ascii="Times New Roman" w:hAnsi="Times New Roman" w:cs="Times New Roman"/>
              </w:rPr>
              <w:t>height</w:t>
            </w:r>
            <w:proofErr w:type="spellEnd"/>
            <w:r w:rsidR="00AA6AF3"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AF3" w:rsidRPr="00CE2B51">
              <w:rPr>
                <w:rFonts w:ascii="Times New Roman" w:hAnsi="Times New Roman" w:cs="Times New Roman"/>
              </w:rPr>
              <w:t>of</w:t>
            </w:r>
            <w:proofErr w:type="spellEnd"/>
            <w:r w:rsidR="00AA6AF3" w:rsidRPr="00CE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71D" w:rsidRPr="00CE2B51">
              <w:rPr>
                <w:rFonts w:ascii="Times New Roman" w:hAnsi="Times New Roman" w:cs="Times New Roman"/>
              </w:rPr>
              <w:t>vegetation</w:t>
            </w:r>
            <w:proofErr w:type="spellEnd"/>
            <w:r w:rsidR="007C371D" w:rsidRPr="00CE2B51">
              <w:rPr>
                <w:rFonts w:ascii="Times New Roman" w:hAnsi="Times New Roman" w:cs="Times New Roman"/>
              </w:rPr>
              <w:t xml:space="preserve"> in 100m </w:t>
            </w:r>
            <w:proofErr w:type="spellStart"/>
            <w:r w:rsidR="007C371D" w:rsidRPr="00CE2B51">
              <w:rPr>
                <w:rFonts w:ascii="Times New Roman" w:hAnsi="Times New Roman" w:cs="Times New Roman"/>
              </w:rPr>
              <w:t>radius</w:t>
            </w:r>
            <w:proofErr w:type="spellEnd"/>
            <w:r w:rsidR="00AA6AF3" w:rsidRPr="00CE2B51"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308" w:type="dxa"/>
            <w:vAlign w:val="center"/>
          </w:tcPr>
          <w:p w14:paraId="7971F684" w14:textId="77777777" w:rsidR="00AA6AF3" w:rsidRPr="00CE2B51" w:rsidRDefault="00CB53C1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308" w:type="dxa"/>
            <w:vAlign w:val="center"/>
          </w:tcPr>
          <w:p w14:paraId="240B0EDB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308" w:type="dxa"/>
            <w:vAlign w:val="center"/>
          </w:tcPr>
          <w:p w14:paraId="5745B4CF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308" w:type="dxa"/>
            <w:vAlign w:val="center"/>
          </w:tcPr>
          <w:p w14:paraId="28364D74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188" w:type="dxa"/>
            <w:vAlign w:val="center"/>
          </w:tcPr>
          <w:p w14:paraId="46463654" w14:textId="77777777" w:rsidR="00AA6AF3" w:rsidRPr="00CE2B51" w:rsidRDefault="00AA13A7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188" w:type="dxa"/>
            <w:vAlign w:val="center"/>
          </w:tcPr>
          <w:p w14:paraId="0E9F1088" w14:textId="77777777" w:rsidR="00AA6AF3" w:rsidRPr="00CE2B51" w:rsidRDefault="004B2844" w:rsidP="00473456">
            <w:pPr>
              <w:jc w:val="center"/>
              <w:rPr>
                <w:rFonts w:ascii="Times New Roman" w:hAnsi="Times New Roman" w:cs="Times New Roman"/>
              </w:rPr>
            </w:pPr>
            <w:r w:rsidRPr="00CE2B51">
              <w:rPr>
                <w:rFonts w:ascii="Times New Roman" w:hAnsi="Times New Roman" w:cs="Times New Roman"/>
              </w:rPr>
              <w:t>15.1</w:t>
            </w:r>
          </w:p>
        </w:tc>
      </w:tr>
    </w:tbl>
    <w:p w14:paraId="392F0027" w14:textId="77777777" w:rsidR="00856CD4" w:rsidRPr="00473456" w:rsidRDefault="00856CD4" w:rsidP="00856CD4">
      <w:pPr>
        <w:pStyle w:val="v1msonormal"/>
        <w:shd w:val="clear" w:color="auto" w:fill="FFFFFF"/>
        <w:spacing w:before="0" w:beforeAutospacing="0" w:after="0" w:afterAutospacing="0"/>
        <w:rPr>
          <w:szCs w:val="22"/>
        </w:rPr>
      </w:pPr>
    </w:p>
    <w:p w14:paraId="5B25B142" w14:textId="77777777" w:rsidR="00856CD4" w:rsidRPr="00473456" w:rsidRDefault="00856CD4" w:rsidP="00856CD4">
      <w:pPr>
        <w:pStyle w:val="v1msonormal"/>
        <w:shd w:val="clear" w:color="auto" w:fill="FFFFFF"/>
        <w:spacing w:before="0" w:beforeAutospacing="0" w:after="0" w:afterAutospacing="0"/>
        <w:rPr>
          <w:szCs w:val="22"/>
        </w:rPr>
      </w:pPr>
    </w:p>
    <w:p w14:paraId="500E09B1" w14:textId="77777777" w:rsidR="00E37FB0" w:rsidRDefault="00E37FB0" w:rsidP="00D3783C">
      <w:pPr>
        <w:rPr>
          <w:rFonts w:ascii="Times New Roman" w:hAnsi="Times New Roman" w:cs="Times New Roman"/>
          <w:i/>
          <w:sz w:val="24"/>
        </w:rPr>
      </w:pPr>
    </w:p>
    <w:p w14:paraId="4596A78A" w14:textId="77777777" w:rsidR="00D3783C" w:rsidRPr="00473456" w:rsidRDefault="00D3783C" w:rsidP="00D3783C">
      <w:pPr>
        <w:rPr>
          <w:rFonts w:ascii="Times New Roman" w:hAnsi="Times New Roman" w:cs="Times New Roman"/>
          <w:i/>
          <w:sz w:val="24"/>
        </w:rPr>
      </w:pPr>
      <w:r w:rsidRPr="00473456">
        <w:rPr>
          <w:rFonts w:ascii="Times New Roman" w:hAnsi="Times New Roman" w:cs="Times New Roman"/>
          <w:i/>
          <w:sz w:val="24"/>
        </w:rPr>
        <w:t xml:space="preserve">Bat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call</w:t>
      </w:r>
      <w:proofErr w:type="spellEnd"/>
      <w:r w:rsidRPr="0047345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analysis</w:t>
      </w:r>
      <w:proofErr w:type="spellEnd"/>
    </w:p>
    <w:p w14:paraId="3FA6239D" w14:textId="5EC14F29" w:rsidR="00D3783C" w:rsidRPr="00473456" w:rsidRDefault="00D3783C" w:rsidP="00D3783C">
      <w:pPr>
        <w:rPr>
          <w:rFonts w:ascii="Times New Roman" w:hAnsi="Times New Roman" w:cs="Times New Roman"/>
          <w:sz w:val="24"/>
        </w:rPr>
      </w:pPr>
      <w:proofErr w:type="spellStart"/>
      <w:r w:rsidRPr="00473456">
        <w:rPr>
          <w:rFonts w:ascii="Times New Roman" w:hAnsi="Times New Roman" w:cs="Times New Roman"/>
          <w:sz w:val="24"/>
        </w:rPr>
        <w:t>Recorded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bat </w:t>
      </w:r>
      <w:proofErr w:type="spellStart"/>
      <w:r w:rsidRPr="00473456">
        <w:rPr>
          <w:rFonts w:ascii="Times New Roman" w:hAnsi="Times New Roman" w:cs="Times New Roman"/>
          <w:sz w:val="24"/>
        </w:rPr>
        <w:t>calls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were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identified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using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software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bcAdmin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2.0. </w:t>
      </w:r>
      <w:proofErr w:type="spellStart"/>
      <w:r w:rsidRPr="00473456">
        <w:rPr>
          <w:rFonts w:ascii="Times New Roman" w:hAnsi="Times New Roman" w:cs="Times New Roman"/>
          <w:sz w:val="24"/>
        </w:rPr>
        <w:t>followed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by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automatic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species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identification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with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software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batIdent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1.03 (</w:t>
      </w:r>
      <w:proofErr w:type="spellStart"/>
      <w:r w:rsidRPr="00473456">
        <w:rPr>
          <w:rFonts w:ascii="Times New Roman" w:hAnsi="Times New Roman" w:cs="Times New Roman"/>
          <w:sz w:val="24"/>
        </w:rPr>
        <w:t>ecoObs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GmbH, </w:t>
      </w:r>
      <w:proofErr w:type="spellStart"/>
      <w:r w:rsidRPr="00473456">
        <w:rPr>
          <w:rFonts w:ascii="Times New Roman" w:hAnsi="Times New Roman" w:cs="Times New Roman"/>
          <w:sz w:val="24"/>
        </w:rPr>
        <w:t>Nuremberg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, Germany). </w:t>
      </w:r>
      <w:bookmarkStart w:id="0" w:name="_Hlk105596653"/>
      <w:proofErr w:type="spellStart"/>
      <w:r w:rsidRPr="00473456">
        <w:rPr>
          <w:rFonts w:ascii="Times New Roman" w:hAnsi="Times New Roman" w:cs="Times New Roman"/>
          <w:sz w:val="24"/>
        </w:rPr>
        <w:t>Because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there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evidence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456">
        <w:rPr>
          <w:rFonts w:ascii="Times New Roman" w:hAnsi="Times New Roman" w:cs="Times New Roman"/>
          <w:sz w:val="24"/>
        </w:rPr>
        <w:t>that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automatic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species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identification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subject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to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a high rate </w:t>
      </w:r>
      <w:proofErr w:type="spellStart"/>
      <w:r w:rsidRPr="00473456">
        <w:rPr>
          <w:rFonts w:ascii="Times New Roman" w:hAnsi="Times New Roman" w:cs="Times New Roman"/>
          <w:sz w:val="24"/>
        </w:rPr>
        <w:t>of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misidentification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(Russo and Voigt, 2016; </w:t>
      </w:r>
      <w:proofErr w:type="spellStart"/>
      <w:r w:rsidRPr="00473456">
        <w:rPr>
          <w:rFonts w:ascii="Times New Roman" w:hAnsi="Times New Roman" w:cs="Times New Roman"/>
          <w:sz w:val="24"/>
        </w:rPr>
        <w:t>Rydell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et al., 2</w:t>
      </w:r>
      <w:r w:rsidR="00325D09">
        <w:rPr>
          <w:rFonts w:ascii="Times New Roman" w:hAnsi="Times New Roman" w:cs="Times New Roman"/>
          <w:sz w:val="24"/>
        </w:rPr>
        <w:t xml:space="preserve">017, </w:t>
      </w:r>
      <w:proofErr w:type="spellStart"/>
      <w:r w:rsidR="00325D09">
        <w:rPr>
          <w:rFonts w:ascii="Times New Roman" w:hAnsi="Times New Roman" w:cs="Times New Roman"/>
          <w:sz w:val="24"/>
        </w:rPr>
        <w:t>Lopéz-Baucells</w:t>
      </w:r>
      <w:proofErr w:type="spellEnd"/>
      <w:r w:rsidR="00325D09">
        <w:rPr>
          <w:rFonts w:ascii="Times New Roman" w:hAnsi="Times New Roman" w:cs="Times New Roman"/>
          <w:sz w:val="24"/>
        </w:rPr>
        <w:t xml:space="preserve"> et al., 2019</w:t>
      </w:r>
      <w:r w:rsidRPr="00473456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473456">
        <w:rPr>
          <w:rFonts w:ascii="Times New Roman" w:hAnsi="Times New Roman" w:cs="Times New Roman"/>
          <w:sz w:val="24"/>
        </w:rPr>
        <w:t>we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postvalidated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files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with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classification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accuracy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&lt; 95 %. </w:t>
      </w:r>
      <w:proofErr w:type="spellStart"/>
      <w:r w:rsidRPr="00473456">
        <w:rPr>
          <w:rFonts w:ascii="Times New Roman" w:hAnsi="Times New Roman" w:cs="Times New Roman"/>
          <w:sz w:val="24"/>
        </w:rPr>
        <w:t>Using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software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BatSound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ver. 4.1.4 (Pettersson Elekt</w:t>
      </w:r>
      <w:r w:rsidR="006244E5">
        <w:rPr>
          <w:rFonts w:ascii="Times New Roman" w:hAnsi="Times New Roman" w:cs="Times New Roman"/>
          <w:sz w:val="24"/>
        </w:rPr>
        <w:t xml:space="preserve">ronik AB, Uppsala, </w:t>
      </w:r>
      <w:proofErr w:type="spellStart"/>
      <w:r w:rsidR="006244E5">
        <w:rPr>
          <w:rFonts w:ascii="Times New Roman" w:hAnsi="Times New Roman" w:cs="Times New Roman"/>
          <w:sz w:val="24"/>
        </w:rPr>
        <w:t>Sweden</w:t>
      </w:r>
      <w:proofErr w:type="spellEnd"/>
      <w:r w:rsidR="006244E5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6244E5">
        <w:rPr>
          <w:rFonts w:ascii="Times New Roman" w:hAnsi="Times New Roman" w:cs="Times New Roman"/>
          <w:sz w:val="24"/>
        </w:rPr>
        <w:t>we</w:t>
      </w:r>
      <w:proofErr w:type="spellEnd"/>
      <w:r w:rsidR="006244E5">
        <w:rPr>
          <w:rFonts w:ascii="Times New Roman" w:hAnsi="Times New Roman" w:cs="Times New Roman"/>
          <w:sz w:val="24"/>
        </w:rPr>
        <w:t xml:space="preserve"> </w:t>
      </w:r>
      <w:r w:rsidRPr="00473456">
        <w:rPr>
          <w:rFonts w:ascii="Times New Roman" w:hAnsi="Times New Roman" w:cs="Times New Roman"/>
          <w:sz w:val="24"/>
        </w:rPr>
        <w:t>post-</w:t>
      </w:r>
      <w:proofErr w:type="spellStart"/>
      <w:r w:rsidRPr="00473456">
        <w:rPr>
          <w:rFonts w:ascii="Times New Roman" w:hAnsi="Times New Roman" w:cs="Times New Roman"/>
          <w:sz w:val="24"/>
        </w:rPr>
        <w:t>validated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files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comparing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measured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parameters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473456">
        <w:rPr>
          <w:rFonts w:ascii="Times New Roman" w:hAnsi="Times New Roman" w:cs="Times New Roman"/>
          <w:sz w:val="24"/>
        </w:rPr>
        <w:t>spectrograms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3456">
        <w:rPr>
          <w:rFonts w:ascii="Times New Roman" w:hAnsi="Times New Roman" w:cs="Times New Roman"/>
          <w:sz w:val="24"/>
        </w:rPr>
        <w:t>shape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456">
        <w:rPr>
          <w:rFonts w:ascii="Times New Roman" w:hAnsi="Times New Roman" w:cs="Times New Roman"/>
          <w:sz w:val="24"/>
        </w:rPr>
        <w:t>peak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frequency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456">
        <w:rPr>
          <w:rFonts w:ascii="Times New Roman" w:hAnsi="Times New Roman" w:cs="Times New Roman"/>
          <w:sz w:val="24"/>
        </w:rPr>
        <w:t>duration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456">
        <w:rPr>
          <w:rFonts w:ascii="Times New Roman" w:hAnsi="Times New Roman" w:cs="Times New Roman"/>
          <w:sz w:val="24"/>
        </w:rPr>
        <w:t>intervals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3456">
        <w:rPr>
          <w:rFonts w:ascii="Times New Roman" w:hAnsi="Times New Roman" w:cs="Times New Roman"/>
          <w:sz w:val="24"/>
        </w:rPr>
        <w:t>with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those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available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from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literature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3456">
        <w:rPr>
          <w:rFonts w:ascii="Times New Roman" w:hAnsi="Times New Roman" w:cs="Times New Roman"/>
          <w:sz w:val="24"/>
          <w:szCs w:val="24"/>
        </w:rPr>
        <w:t>Ahlén</w:t>
      </w:r>
      <w:proofErr w:type="spellEnd"/>
      <w:r w:rsidR="00416045">
        <w:rPr>
          <w:rFonts w:ascii="Times New Roman" w:hAnsi="Times New Roman" w:cs="Times New Roman"/>
          <w:sz w:val="24"/>
          <w:szCs w:val="24"/>
        </w:rPr>
        <w:t>,</w:t>
      </w:r>
      <w:r w:rsidRPr="00473456">
        <w:rPr>
          <w:rFonts w:ascii="Times New Roman" w:hAnsi="Times New Roman" w:cs="Times New Roman"/>
          <w:sz w:val="24"/>
          <w:szCs w:val="24"/>
        </w:rPr>
        <w:t xml:space="preserve"> 1990; Vaughan et al.</w:t>
      </w:r>
      <w:r w:rsidR="00416045">
        <w:rPr>
          <w:rFonts w:ascii="Times New Roman" w:hAnsi="Times New Roman" w:cs="Times New Roman"/>
          <w:sz w:val="24"/>
          <w:szCs w:val="24"/>
        </w:rPr>
        <w:t>,</w:t>
      </w:r>
      <w:r w:rsidRPr="00473456">
        <w:rPr>
          <w:rFonts w:ascii="Times New Roman" w:hAnsi="Times New Roman" w:cs="Times New Roman"/>
          <w:sz w:val="24"/>
          <w:szCs w:val="24"/>
        </w:rPr>
        <w:t xml:space="preserve"> 1997</w:t>
      </w:r>
      <w:r w:rsidR="00416045">
        <w:rPr>
          <w:rFonts w:ascii="Times New Roman" w:hAnsi="Times New Roman" w:cs="Times New Roman"/>
          <w:sz w:val="24"/>
          <w:szCs w:val="24"/>
        </w:rPr>
        <w:t>;</w:t>
      </w:r>
      <w:r w:rsidR="00416045" w:rsidRPr="00416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6045" w:rsidRPr="00473456">
        <w:rPr>
          <w:rFonts w:ascii="Times New Roman" w:hAnsi="Times New Roman" w:cs="Times New Roman"/>
          <w:sz w:val="24"/>
          <w:szCs w:val="24"/>
        </w:rPr>
        <w:t>Barataud</w:t>
      </w:r>
      <w:proofErr w:type="spellEnd"/>
      <w:r w:rsidR="00416045">
        <w:rPr>
          <w:rFonts w:ascii="Times New Roman" w:hAnsi="Times New Roman" w:cs="Times New Roman"/>
          <w:sz w:val="24"/>
          <w:szCs w:val="24"/>
        </w:rPr>
        <w:t>,</w:t>
      </w:r>
      <w:r w:rsidR="00416045" w:rsidRPr="00473456">
        <w:rPr>
          <w:rFonts w:ascii="Times New Roman" w:hAnsi="Times New Roman" w:cs="Times New Roman"/>
          <w:sz w:val="24"/>
          <w:szCs w:val="24"/>
        </w:rPr>
        <w:t xml:space="preserve"> 2015; </w:t>
      </w:r>
      <w:proofErr w:type="spellStart"/>
      <w:r w:rsidR="00866E4C">
        <w:rPr>
          <w:rFonts w:ascii="Times New Roman" w:hAnsi="Times New Roman" w:cs="Times New Roman"/>
          <w:sz w:val="24"/>
        </w:rPr>
        <w:t>Marckmann</w:t>
      </w:r>
      <w:proofErr w:type="spellEnd"/>
      <w:r w:rsidR="00866E4C">
        <w:rPr>
          <w:rFonts w:ascii="Times New Roman" w:hAnsi="Times New Roman" w:cs="Times New Roman"/>
          <w:sz w:val="24"/>
        </w:rPr>
        <w:t xml:space="preserve"> </w:t>
      </w:r>
      <w:r w:rsidR="00416045">
        <w:rPr>
          <w:rFonts w:ascii="Times New Roman" w:hAnsi="Times New Roman" w:cs="Times New Roman"/>
          <w:sz w:val="24"/>
        </w:rPr>
        <w:t>and</w:t>
      </w:r>
      <w:r w:rsidR="00866E4C" w:rsidRPr="00866E4C">
        <w:rPr>
          <w:rFonts w:ascii="Times New Roman" w:hAnsi="Times New Roman" w:cs="Times New Roman"/>
          <w:sz w:val="24"/>
        </w:rPr>
        <w:t xml:space="preserve"> </w:t>
      </w:r>
      <w:r w:rsidR="00866E4C">
        <w:rPr>
          <w:rFonts w:ascii="Times New Roman" w:hAnsi="Times New Roman" w:cs="Times New Roman"/>
          <w:sz w:val="24"/>
        </w:rPr>
        <w:t>Pfeiffer</w:t>
      </w:r>
      <w:r w:rsidR="00416045">
        <w:rPr>
          <w:rFonts w:ascii="Times New Roman" w:hAnsi="Times New Roman" w:cs="Times New Roman"/>
          <w:sz w:val="24"/>
        </w:rPr>
        <w:t>, 2020</w:t>
      </w:r>
      <w:r w:rsidRPr="00473456">
        <w:rPr>
          <w:rFonts w:ascii="Times New Roman" w:hAnsi="Times New Roman" w:cs="Times New Roman"/>
          <w:sz w:val="24"/>
          <w:szCs w:val="24"/>
        </w:rPr>
        <w:t>).</w:t>
      </w:r>
      <w:r w:rsidRPr="00473456">
        <w:rPr>
          <w:rFonts w:ascii="Times New Roman" w:hAnsi="Times New Roman" w:cs="Times New Roman"/>
          <w:sz w:val="24"/>
        </w:rPr>
        <w:t xml:space="preserve"> </w:t>
      </w:r>
      <w:bookmarkEnd w:id="0"/>
    </w:p>
    <w:p w14:paraId="63B106A4" w14:textId="77777777" w:rsidR="00D3783C" w:rsidRDefault="00D3783C" w:rsidP="00D3783C">
      <w:pPr>
        <w:rPr>
          <w:rFonts w:ascii="Times New Roman" w:hAnsi="Times New Roman" w:cs="Times New Roman"/>
          <w:sz w:val="24"/>
        </w:rPr>
      </w:pPr>
      <w:bookmarkStart w:id="1" w:name="_Hlk105601874"/>
      <w:r w:rsidRPr="00473456">
        <w:rPr>
          <w:rFonts w:ascii="Times New Roman" w:hAnsi="Times New Roman" w:cs="Times New Roman"/>
          <w:sz w:val="24"/>
        </w:rPr>
        <w:t xml:space="preserve">Manual </w:t>
      </w:r>
      <w:proofErr w:type="spellStart"/>
      <w:r w:rsidRPr="00473456">
        <w:rPr>
          <w:rFonts w:ascii="Times New Roman" w:hAnsi="Times New Roman" w:cs="Times New Roman"/>
          <w:sz w:val="24"/>
        </w:rPr>
        <w:t>analyses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revealed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that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calls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from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Pipistrellus</w:t>
      </w:r>
      <w:proofErr w:type="spellEnd"/>
      <w:r w:rsidRPr="0047345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pipistrellus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Pipistrellus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pygmaeus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were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assigned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correctly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with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software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batIdent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if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automatically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assigned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≥84% and </w:t>
      </w:r>
      <w:proofErr w:type="spellStart"/>
      <w:r w:rsidRPr="00473456">
        <w:rPr>
          <w:rFonts w:ascii="Times New Roman" w:hAnsi="Times New Roman" w:cs="Times New Roman"/>
          <w:sz w:val="24"/>
        </w:rPr>
        <w:t>for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Nyctalus</w:t>
      </w:r>
      <w:proofErr w:type="spellEnd"/>
      <w:r w:rsidRPr="0047345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noctula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≥93% </w:t>
      </w:r>
      <w:proofErr w:type="spellStart"/>
      <w:r w:rsidRPr="00473456">
        <w:rPr>
          <w:rFonts w:ascii="Times New Roman" w:hAnsi="Times New Roman" w:cs="Times New Roman"/>
          <w:sz w:val="24"/>
        </w:rPr>
        <w:t>to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this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species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. In </w:t>
      </w:r>
      <w:proofErr w:type="spellStart"/>
      <w:r w:rsidRPr="00473456">
        <w:rPr>
          <w:rFonts w:ascii="Times New Roman" w:hAnsi="Times New Roman" w:cs="Times New Roman"/>
          <w:sz w:val="24"/>
        </w:rPr>
        <w:t>contrast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456">
        <w:rPr>
          <w:rFonts w:ascii="Times New Roman" w:hAnsi="Times New Roman" w:cs="Times New Roman"/>
          <w:sz w:val="24"/>
        </w:rPr>
        <w:t>calls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assigned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to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Eptesicus</w:t>
      </w:r>
      <w:proofErr w:type="spellEnd"/>
      <w:r w:rsidRPr="0047345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serotinus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Vespertilio</w:t>
      </w:r>
      <w:proofErr w:type="spellEnd"/>
      <w:r w:rsidRPr="0047345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murinus</w:t>
      </w:r>
      <w:proofErr w:type="spellEnd"/>
      <w:r w:rsidRPr="00473456">
        <w:rPr>
          <w:rFonts w:ascii="Times New Roman" w:hAnsi="Times New Roman" w:cs="Times New Roman"/>
          <w:i/>
          <w:sz w:val="24"/>
        </w:rPr>
        <w:t xml:space="preserve">, </w:t>
      </w:r>
      <w:r w:rsidRPr="00473456">
        <w:rPr>
          <w:rFonts w:ascii="Times New Roman" w:hAnsi="Times New Roman" w:cs="Times New Roman"/>
          <w:sz w:val="24"/>
        </w:rPr>
        <w:t>and</w:t>
      </w:r>
      <w:r w:rsidRPr="00473456">
        <w:rPr>
          <w:rFonts w:ascii="Times New Roman" w:hAnsi="Times New Roman" w:cs="Times New Roman"/>
          <w:i/>
          <w:sz w:val="24"/>
        </w:rPr>
        <w:t xml:space="preserve"> P.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nathusii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were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assigned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correctly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with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batIdent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only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if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automatically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assigned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≥95% </w:t>
      </w:r>
      <w:proofErr w:type="spellStart"/>
      <w:r w:rsidRPr="00473456">
        <w:rPr>
          <w:rFonts w:ascii="Times New Roman" w:hAnsi="Times New Roman" w:cs="Times New Roman"/>
          <w:sz w:val="24"/>
        </w:rPr>
        <w:t>to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this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species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456">
        <w:rPr>
          <w:rFonts w:ascii="Times New Roman" w:hAnsi="Times New Roman" w:cs="Times New Roman"/>
          <w:sz w:val="24"/>
        </w:rPr>
        <w:t>For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i/>
          <w:sz w:val="24"/>
        </w:rPr>
        <w:t>Myotis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spec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456">
        <w:rPr>
          <w:rFonts w:ascii="Times New Roman" w:hAnsi="Times New Roman" w:cs="Times New Roman"/>
          <w:sz w:val="24"/>
        </w:rPr>
        <w:t>rates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of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accuracy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ranged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456">
        <w:rPr>
          <w:rFonts w:ascii="Times New Roman" w:hAnsi="Times New Roman" w:cs="Times New Roman"/>
          <w:sz w:val="24"/>
        </w:rPr>
        <w:t>from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95 </w:t>
      </w:r>
      <w:proofErr w:type="spellStart"/>
      <w:r w:rsidRPr="00473456">
        <w:rPr>
          <w:rFonts w:ascii="Times New Roman" w:hAnsi="Times New Roman" w:cs="Times New Roman"/>
          <w:sz w:val="24"/>
        </w:rPr>
        <w:t>to</w:t>
      </w:r>
      <w:proofErr w:type="spellEnd"/>
      <w:r w:rsidRPr="00473456">
        <w:rPr>
          <w:rFonts w:ascii="Times New Roman" w:hAnsi="Times New Roman" w:cs="Times New Roman"/>
          <w:sz w:val="24"/>
        </w:rPr>
        <w:t xml:space="preserve"> 100%.</w:t>
      </w:r>
    </w:p>
    <w:p w14:paraId="19589BCB" w14:textId="41B6213F" w:rsidR="001846AD" w:rsidRDefault="00FF1BC7" w:rsidP="00A80846">
      <w:pPr>
        <w:rPr>
          <w:rFonts w:ascii="Times New Roman" w:hAnsi="Times New Roman" w:cs="Times New Roman"/>
          <w:sz w:val="24"/>
        </w:rPr>
      </w:pPr>
      <w:proofErr w:type="spellStart"/>
      <w:r w:rsidRPr="00FF1BC7">
        <w:rPr>
          <w:rFonts w:ascii="Times New Roman" w:hAnsi="Times New Roman" w:cs="Times New Roman"/>
          <w:sz w:val="24"/>
        </w:rPr>
        <w:t>Overlap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F1BC7">
        <w:rPr>
          <w:rFonts w:ascii="Times New Roman" w:hAnsi="Times New Roman" w:cs="Times New Roman"/>
          <w:sz w:val="24"/>
        </w:rPr>
        <w:t>call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characteristics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makes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it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diff</w:t>
      </w:r>
      <w:r w:rsidR="00793AC6">
        <w:rPr>
          <w:rFonts w:ascii="Times New Roman" w:hAnsi="Times New Roman" w:cs="Times New Roman"/>
          <w:sz w:val="24"/>
        </w:rPr>
        <w:t>icult</w:t>
      </w:r>
      <w:proofErr w:type="spellEnd"/>
      <w:r w:rsidR="00793AC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793AC6">
        <w:rPr>
          <w:rFonts w:ascii="Times New Roman" w:hAnsi="Times New Roman" w:cs="Times New Roman"/>
          <w:sz w:val="24"/>
        </w:rPr>
        <w:t>sometimes</w:t>
      </w:r>
      <w:proofErr w:type="spellEnd"/>
      <w:r w:rsidR="00793AC6">
        <w:rPr>
          <w:rFonts w:ascii="Times New Roman" w:hAnsi="Times New Roman" w:cs="Times New Roman"/>
          <w:sz w:val="24"/>
        </w:rPr>
        <w:t xml:space="preserve"> impossible </w:t>
      </w:r>
      <w:proofErr w:type="spellStart"/>
      <w:r w:rsidRPr="00FF1BC7">
        <w:rPr>
          <w:rFonts w:ascii="Times New Roman" w:hAnsi="Times New Roman" w:cs="Times New Roman"/>
          <w:sz w:val="24"/>
        </w:rPr>
        <w:t>to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distinguish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species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by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their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echolocation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AC6">
        <w:rPr>
          <w:rFonts w:ascii="Times New Roman" w:hAnsi="Times New Roman" w:cs="Times New Roman"/>
          <w:sz w:val="24"/>
        </w:rPr>
        <w:t>calls</w:t>
      </w:r>
      <w:proofErr w:type="spellEnd"/>
      <w:r w:rsidR="00793AC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93AC6">
        <w:rPr>
          <w:rFonts w:ascii="Times New Roman" w:hAnsi="Times New Roman" w:cs="Times New Roman"/>
          <w:sz w:val="24"/>
        </w:rPr>
        <w:t>Barataud</w:t>
      </w:r>
      <w:proofErr w:type="spellEnd"/>
      <w:r w:rsidR="009B3BDC">
        <w:rPr>
          <w:rFonts w:ascii="Times New Roman" w:hAnsi="Times New Roman" w:cs="Times New Roman"/>
          <w:sz w:val="24"/>
        </w:rPr>
        <w:t>,</w:t>
      </w:r>
      <w:r w:rsidR="00793AC6">
        <w:rPr>
          <w:rFonts w:ascii="Times New Roman" w:hAnsi="Times New Roman" w:cs="Times New Roman"/>
          <w:sz w:val="24"/>
        </w:rPr>
        <w:t xml:space="preserve"> 2015). This </w:t>
      </w:r>
      <w:proofErr w:type="spellStart"/>
      <w:r w:rsidR="00793AC6">
        <w:rPr>
          <w:rFonts w:ascii="Times New Roman" w:hAnsi="Times New Roman" w:cs="Times New Roman"/>
          <w:sz w:val="24"/>
        </w:rPr>
        <w:t>is</w:t>
      </w:r>
      <w:proofErr w:type="spellEnd"/>
      <w:r w:rsidR="00793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the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case</w:t>
      </w:r>
      <w:proofErr w:type="spellEnd"/>
      <w:r w:rsidR="00793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for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the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mid-frequency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nyctaloid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species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i/>
          <w:sz w:val="24"/>
        </w:rPr>
        <w:t>Eptesicus</w:t>
      </w:r>
      <w:proofErr w:type="spellEnd"/>
      <w:r w:rsidRPr="00FF1BC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i/>
          <w:sz w:val="24"/>
        </w:rPr>
        <w:t>serotinus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1BC7">
        <w:rPr>
          <w:rFonts w:ascii="Times New Roman" w:hAnsi="Times New Roman" w:cs="Times New Roman"/>
          <w:i/>
          <w:sz w:val="24"/>
        </w:rPr>
        <w:t>Vespertilio</w:t>
      </w:r>
      <w:proofErr w:type="spellEnd"/>
      <w:r w:rsidRPr="00FF1BC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i/>
          <w:sz w:val="24"/>
        </w:rPr>
        <w:t>murinus</w:t>
      </w:r>
      <w:proofErr w:type="spellEnd"/>
      <w:r w:rsidRPr="00FF1BC7">
        <w:rPr>
          <w:rFonts w:ascii="Times New Roman" w:hAnsi="Times New Roman" w:cs="Times New Roman"/>
          <w:i/>
          <w:sz w:val="24"/>
        </w:rPr>
        <w:t xml:space="preserve"> </w:t>
      </w:r>
      <w:r w:rsidRPr="00FF1BC7"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FF1BC7">
        <w:rPr>
          <w:rFonts w:ascii="Times New Roman" w:hAnsi="Times New Roman" w:cs="Times New Roman"/>
          <w:i/>
          <w:sz w:val="24"/>
        </w:rPr>
        <w:t>Nyctalus</w:t>
      </w:r>
      <w:proofErr w:type="spellEnd"/>
      <w:r w:rsidRPr="00FF1BC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i/>
          <w:sz w:val="24"/>
        </w:rPr>
        <w:t>leisleri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F1BC7">
        <w:rPr>
          <w:rFonts w:ascii="Times New Roman" w:hAnsi="Times New Roman" w:cs="Times New Roman"/>
          <w:sz w:val="24"/>
        </w:rPr>
        <w:t>Therefore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 w:rsidRPr="00FF1B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bats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genera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3AC6">
        <w:rPr>
          <w:rFonts w:ascii="Times New Roman" w:hAnsi="Times New Roman" w:cs="Times New Roman"/>
          <w:i/>
          <w:sz w:val="24"/>
        </w:rPr>
        <w:t>Nyctalus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3AC6">
        <w:rPr>
          <w:rFonts w:ascii="Times New Roman" w:hAnsi="Times New Roman" w:cs="Times New Roman"/>
          <w:i/>
          <w:sz w:val="24"/>
        </w:rPr>
        <w:t>Vespertilio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793AC6">
        <w:rPr>
          <w:rFonts w:ascii="Times New Roman" w:hAnsi="Times New Roman" w:cs="Times New Roman"/>
          <w:i/>
          <w:sz w:val="24"/>
        </w:rPr>
        <w:t>Eptesicus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grouped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pooled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F1BC7">
        <w:rPr>
          <w:rFonts w:ascii="Times New Roman" w:hAnsi="Times New Roman" w:cs="Times New Roman"/>
          <w:sz w:val="24"/>
        </w:rPr>
        <w:t>as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FF1BC7">
        <w:rPr>
          <w:rFonts w:ascii="Times New Roman" w:hAnsi="Times New Roman" w:cs="Times New Roman"/>
          <w:sz w:val="24"/>
        </w:rPr>
        <w:t>nyctaloid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’ </w:t>
      </w:r>
      <w:proofErr w:type="spellStart"/>
      <w:r w:rsidRPr="00FF1BC7">
        <w:rPr>
          <w:rFonts w:ascii="Times New Roman" w:hAnsi="Times New Roman" w:cs="Times New Roman"/>
          <w:sz w:val="24"/>
        </w:rPr>
        <w:t>or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‘NEV’. </w:t>
      </w:r>
      <w:proofErr w:type="spellStart"/>
      <w:r>
        <w:rPr>
          <w:rFonts w:ascii="Times New Roman" w:hAnsi="Times New Roman" w:cs="Times New Roman"/>
          <w:sz w:val="24"/>
        </w:rPr>
        <w:t>However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view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this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BC7">
        <w:rPr>
          <w:rFonts w:ascii="Times New Roman" w:hAnsi="Times New Roman" w:cs="Times New Roman"/>
          <w:sz w:val="24"/>
        </w:rPr>
        <w:t>has</w:t>
      </w:r>
      <w:proofErr w:type="spellEnd"/>
      <w:r w:rsidRPr="00FF1BC7">
        <w:rPr>
          <w:rFonts w:ascii="Times New Roman" w:hAnsi="Times New Roman" w:cs="Times New Roman"/>
          <w:sz w:val="24"/>
        </w:rPr>
        <w:t xml:space="preserve"> strong </w:t>
      </w:r>
      <w:proofErr w:type="spellStart"/>
      <w:r w:rsidRPr="00FF1BC7">
        <w:rPr>
          <w:rFonts w:ascii="Times New Roman" w:hAnsi="Times New Roman" w:cs="Times New Roman"/>
          <w:sz w:val="24"/>
        </w:rPr>
        <w:t>implicat</w:t>
      </w:r>
      <w:r>
        <w:rPr>
          <w:rFonts w:ascii="Times New Roman" w:hAnsi="Times New Roman" w:cs="Times New Roman"/>
          <w:sz w:val="24"/>
        </w:rPr>
        <w:t>ions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conservation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practice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especially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view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urban </w:t>
      </w:r>
      <w:proofErr w:type="spellStart"/>
      <w:r>
        <w:rPr>
          <w:rFonts w:ascii="Times New Roman" w:hAnsi="Times New Roman" w:cs="Times New Roman"/>
          <w:sz w:val="24"/>
        </w:rPr>
        <w:t>planning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A80846">
        <w:rPr>
          <w:rFonts w:ascii="Times New Roman" w:hAnsi="Times New Roman" w:cs="Times New Roman"/>
          <w:sz w:val="24"/>
        </w:rPr>
        <w:t xml:space="preserve">Thus, </w:t>
      </w:r>
      <w:proofErr w:type="spellStart"/>
      <w:r w:rsidR="00A80846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aimed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 w:rsidR="00A80846">
        <w:rPr>
          <w:rFonts w:ascii="Times New Roman" w:hAnsi="Times New Roman" w:cs="Times New Roman"/>
          <w:sz w:val="24"/>
        </w:rPr>
        <w:t>manual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species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identification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r w:rsidR="00D30AAE">
        <w:rPr>
          <w:rFonts w:ascii="Times New Roman" w:hAnsi="Times New Roman" w:cs="Times New Roman"/>
          <w:sz w:val="24"/>
        </w:rPr>
        <w:t xml:space="preserve">on </w:t>
      </w:r>
      <w:proofErr w:type="spellStart"/>
      <w:r w:rsidR="00D30AAE">
        <w:rPr>
          <w:rFonts w:ascii="Times New Roman" w:hAnsi="Times New Roman" w:cs="Times New Roman"/>
          <w:sz w:val="24"/>
        </w:rPr>
        <w:t>the</w:t>
      </w:r>
      <w:proofErr w:type="spellEnd"/>
      <w:r w:rsid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0AAE">
        <w:rPr>
          <w:rFonts w:ascii="Times New Roman" w:hAnsi="Times New Roman" w:cs="Times New Roman"/>
          <w:sz w:val="24"/>
        </w:rPr>
        <w:t>basis</w:t>
      </w:r>
      <w:proofErr w:type="spellEnd"/>
      <w:r w:rsid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AC6">
        <w:rPr>
          <w:rFonts w:ascii="Times New Roman" w:hAnsi="Times New Roman" w:cs="Times New Roman"/>
          <w:sz w:val="24"/>
        </w:rPr>
        <w:t>of</w:t>
      </w:r>
      <w:proofErr w:type="spellEnd"/>
      <w:r w:rsidR="00793A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AC6">
        <w:rPr>
          <w:rFonts w:ascii="Times New Roman" w:hAnsi="Times New Roman" w:cs="Times New Roman"/>
          <w:sz w:val="24"/>
        </w:rPr>
        <w:t>t</w:t>
      </w:r>
      <w:r w:rsidR="00D30AAE">
        <w:rPr>
          <w:rFonts w:ascii="Times New Roman" w:hAnsi="Times New Roman" w:cs="Times New Roman"/>
          <w:sz w:val="24"/>
        </w:rPr>
        <w:t>he</w:t>
      </w:r>
      <w:proofErr w:type="spellEnd"/>
      <w:r w:rsid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0AAE">
        <w:rPr>
          <w:rFonts w:ascii="Times New Roman" w:hAnsi="Times New Roman" w:cs="Times New Roman"/>
          <w:sz w:val="24"/>
        </w:rPr>
        <w:t>most</w:t>
      </w:r>
      <w:proofErr w:type="spellEnd"/>
      <w:r w:rsid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0AAE">
        <w:rPr>
          <w:rFonts w:ascii="Times New Roman" w:hAnsi="Times New Roman" w:cs="Times New Roman"/>
          <w:sz w:val="24"/>
        </w:rPr>
        <w:t>distinctive</w:t>
      </w:r>
      <w:proofErr w:type="spellEnd"/>
      <w:r w:rsid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0AAE">
        <w:rPr>
          <w:rFonts w:ascii="Times New Roman" w:hAnsi="Times New Roman" w:cs="Times New Roman"/>
          <w:sz w:val="24"/>
        </w:rPr>
        <w:t>call</w:t>
      </w:r>
      <w:proofErr w:type="spellEnd"/>
      <w:r w:rsid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0AAE">
        <w:rPr>
          <w:rFonts w:ascii="Times New Roman" w:hAnsi="Times New Roman" w:cs="Times New Roman"/>
          <w:sz w:val="24"/>
        </w:rPr>
        <w:t>types</w:t>
      </w:r>
      <w:proofErr w:type="spellEnd"/>
      <w:r w:rsid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according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to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the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6AD">
        <w:rPr>
          <w:rFonts w:ascii="Times New Roman" w:hAnsi="Times New Roman" w:cs="Times New Roman"/>
          <w:sz w:val="24"/>
        </w:rPr>
        <w:t>following</w:t>
      </w:r>
      <w:proofErr w:type="spellEnd"/>
      <w:r w:rsidR="00184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criteria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of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BDC">
        <w:rPr>
          <w:rFonts w:ascii="Times New Roman" w:hAnsi="Times New Roman" w:cs="Times New Roman"/>
          <w:sz w:val="24"/>
        </w:rPr>
        <w:t>Marckmann</w:t>
      </w:r>
      <w:proofErr w:type="spellEnd"/>
      <w:r w:rsidR="009B3BDC">
        <w:rPr>
          <w:rFonts w:ascii="Times New Roman" w:hAnsi="Times New Roman" w:cs="Times New Roman"/>
          <w:sz w:val="24"/>
        </w:rPr>
        <w:t xml:space="preserve"> </w:t>
      </w:r>
      <w:r w:rsidR="00A826A0">
        <w:rPr>
          <w:rFonts w:ascii="Times New Roman" w:hAnsi="Times New Roman" w:cs="Times New Roman"/>
          <w:sz w:val="24"/>
        </w:rPr>
        <w:t xml:space="preserve">and </w:t>
      </w:r>
      <w:r w:rsidR="009B3BDC">
        <w:rPr>
          <w:rFonts w:ascii="Times New Roman" w:hAnsi="Times New Roman" w:cs="Times New Roman"/>
          <w:sz w:val="24"/>
        </w:rPr>
        <w:t xml:space="preserve">Pfeiffer </w:t>
      </w:r>
      <w:r w:rsidR="00A826A0">
        <w:rPr>
          <w:rFonts w:ascii="Times New Roman" w:hAnsi="Times New Roman" w:cs="Times New Roman"/>
          <w:sz w:val="24"/>
        </w:rPr>
        <w:t xml:space="preserve">(2020): </w:t>
      </w:r>
    </w:p>
    <w:p w14:paraId="775D88E5" w14:textId="77777777" w:rsidR="00A80846" w:rsidRDefault="00D30AAE" w:rsidP="00A80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</w:rPr>
        <w:t>contrast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other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nyctaloid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species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calls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B6160">
        <w:rPr>
          <w:rFonts w:ascii="Times New Roman" w:hAnsi="Times New Roman" w:cs="Times New Roman"/>
          <w:b/>
          <w:i/>
          <w:sz w:val="24"/>
        </w:rPr>
        <w:t>E</w:t>
      </w:r>
      <w:r w:rsidRPr="005B6160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5B6160">
        <w:rPr>
          <w:rFonts w:ascii="Times New Roman" w:hAnsi="Times New Roman" w:cs="Times New Roman"/>
          <w:b/>
          <w:i/>
          <w:sz w:val="24"/>
        </w:rPr>
        <w:t>serotinus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reveal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AAE">
        <w:rPr>
          <w:rFonts w:ascii="Times New Roman" w:hAnsi="Times New Roman" w:cs="Times New Roman"/>
          <w:sz w:val="24"/>
        </w:rPr>
        <w:t>no</w:t>
      </w:r>
      <w:proofErr w:type="spellEnd"/>
      <w:r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AAE">
        <w:rPr>
          <w:rFonts w:ascii="Times New Roman" w:hAnsi="Times New Roman" w:cs="Times New Roman"/>
          <w:sz w:val="24"/>
        </w:rPr>
        <w:t>chang</w:t>
      </w:r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30AAE">
        <w:rPr>
          <w:rFonts w:ascii="Times New Roman" w:hAnsi="Times New Roman" w:cs="Times New Roman"/>
          <w:sz w:val="24"/>
        </w:rPr>
        <w:t>call</w:t>
      </w:r>
      <w:proofErr w:type="spellEnd"/>
      <w:r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structure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sequences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147A68">
        <w:rPr>
          <w:rFonts w:ascii="Times New Roman" w:hAnsi="Times New Roman" w:cs="Times New Roman"/>
          <w:sz w:val="24"/>
        </w:rPr>
        <w:t>O</w:t>
      </w:r>
      <w:r w:rsidR="00147A68" w:rsidRPr="00D30AAE">
        <w:rPr>
          <w:rFonts w:ascii="Times New Roman" w:hAnsi="Times New Roman" w:cs="Times New Roman"/>
          <w:sz w:val="24"/>
        </w:rPr>
        <w:t xml:space="preserve">n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average</w:t>
      </w:r>
      <w:proofErr w:type="spellEnd"/>
      <w:r w:rsidR="00147A68">
        <w:rPr>
          <w:rFonts w:ascii="Times New Roman" w:hAnsi="Times New Roman" w:cs="Times New Roman"/>
          <w:sz w:val="24"/>
        </w:rPr>
        <w:t>,</w:t>
      </w:r>
      <w:r w:rsidR="00147A68" w:rsidRPr="00D30AAE">
        <w:rPr>
          <w:rFonts w:ascii="Times New Roman" w:hAnsi="Times New Roman" w:cs="Times New Roman"/>
          <w:sz w:val="24"/>
        </w:rPr>
        <w:t xml:space="preserve"> </w:t>
      </w:r>
      <w:r w:rsidR="00147A68" w:rsidRPr="00147A68">
        <w:rPr>
          <w:rFonts w:ascii="Times New Roman" w:hAnsi="Times New Roman" w:cs="Times New Roman"/>
          <w:i/>
          <w:sz w:val="24"/>
        </w:rPr>
        <w:t>E</w:t>
      </w:r>
      <w:r w:rsidR="00147A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47A68" w:rsidRPr="00147A68">
        <w:rPr>
          <w:rFonts w:ascii="Times New Roman" w:hAnsi="Times New Roman" w:cs="Times New Roman"/>
          <w:i/>
          <w:sz w:val="24"/>
        </w:rPr>
        <w:t>serotinus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shows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shorter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calls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call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intervals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than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other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nyctaloid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species</w:t>
      </w:r>
      <w:proofErr w:type="spellEnd"/>
      <w:r w:rsidR="00147A68">
        <w:rPr>
          <w:rFonts w:ascii="Times New Roman" w:hAnsi="Times New Roman" w:cs="Times New Roman"/>
          <w:sz w:val="24"/>
        </w:rPr>
        <w:t>. C</w:t>
      </w:r>
      <w:r w:rsidR="00147A68" w:rsidRPr="00D30AAE">
        <w:rPr>
          <w:rFonts w:ascii="Times New Roman" w:hAnsi="Times New Roman" w:cs="Times New Roman"/>
          <w:sz w:val="24"/>
        </w:rPr>
        <w:t xml:space="preserve">all </w:t>
      </w:r>
      <w:proofErr w:type="spellStart"/>
      <w:r w:rsidR="00147A68">
        <w:rPr>
          <w:rFonts w:ascii="Times New Roman" w:hAnsi="Times New Roman" w:cs="Times New Roman"/>
          <w:sz w:val="24"/>
        </w:rPr>
        <w:t>intervals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between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qcf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calls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are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relatively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constant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at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around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300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ms.</w:t>
      </w:r>
      <w:proofErr w:type="spellEnd"/>
      <w:r w:rsidR="00147A68" w:rsidRPr="00D30AAE">
        <w:t xml:space="preserve"> </w:t>
      </w:r>
      <w:r w:rsidR="00147A68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147A68">
        <w:rPr>
          <w:rFonts w:ascii="Times New Roman" w:hAnsi="Times New Roman" w:cs="Times New Roman"/>
          <w:sz w:val="24"/>
        </w:rPr>
        <w:t>contrast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, </w:t>
      </w:r>
      <w:r w:rsidR="00147A68" w:rsidRPr="00147A68">
        <w:rPr>
          <w:rFonts w:ascii="Times New Roman" w:hAnsi="Times New Roman" w:cs="Times New Roman"/>
          <w:i/>
          <w:sz w:val="24"/>
        </w:rPr>
        <w:t>V</w:t>
      </w:r>
      <w:r w:rsidR="00147A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47A68" w:rsidRPr="00147A68">
        <w:rPr>
          <w:rFonts w:ascii="Times New Roman" w:hAnsi="Times New Roman" w:cs="Times New Roman"/>
          <w:i/>
          <w:sz w:val="24"/>
        </w:rPr>
        <w:t>murinus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and </w:t>
      </w:r>
      <w:r w:rsidR="00147A68" w:rsidRPr="00147A68">
        <w:rPr>
          <w:rFonts w:ascii="Times New Roman" w:hAnsi="Times New Roman" w:cs="Times New Roman"/>
          <w:i/>
          <w:sz w:val="24"/>
        </w:rPr>
        <w:t>N</w:t>
      </w:r>
      <w:r w:rsidR="00147A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47A68" w:rsidRPr="00147A68">
        <w:rPr>
          <w:rFonts w:ascii="Times New Roman" w:hAnsi="Times New Roman" w:cs="Times New Roman"/>
          <w:i/>
          <w:sz w:val="24"/>
        </w:rPr>
        <w:t>leisleri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have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longer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more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irregular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call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intervals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. In </w:t>
      </w:r>
      <w:proofErr w:type="spellStart"/>
      <w:r w:rsidR="00147A68">
        <w:rPr>
          <w:rFonts w:ascii="Times New Roman" w:hAnsi="Times New Roman" w:cs="Times New Roman"/>
          <w:sz w:val="24"/>
        </w:rPr>
        <w:t>addition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47A68">
        <w:rPr>
          <w:rFonts w:ascii="Times New Roman" w:hAnsi="Times New Roman" w:cs="Times New Roman"/>
          <w:sz w:val="24"/>
        </w:rPr>
        <w:t>the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calls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of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r w:rsidR="00147A68" w:rsidRPr="00147A68">
        <w:rPr>
          <w:rFonts w:ascii="Times New Roman" w:hAnsi="Times New Roman" w:cs="Times New Roman"/>
          <w:i/>
          <w:sz w:val="24"/>
        </w:rPr>
        <w:t>V</w:t>
      </w:r>
      <w:r w:rsidR="00147A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47A68" w:rsidRPr="00147A68">
        <w:rPr>
          <w:rFonts w:ascii="Times New Roman" w:hAnsi="Times New Roman" w:cs="Times New Roman"/>
          <w:i/>
          <w:sz w:val="24"/>
        </w:rPr>
        <w:t>murinus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and </w:t>
      </w:r>
      <w:r w:rsidR="00147A68" w:rsidRPr="00147A68">
        <w:rPr>
          <w:rFonts w:ascii="Times New Roman" w:hAnsi="Times New Roman" w:cs="Times New Roman"/>
          <w:i/>
          <w:sz w:val="24"/>
        </w:rPr>
        <w:t>N</w:t>
      </w:r>
      <w:r w:rsidR="00147A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47A68" w:rsidRPr="00147A68">
        <w:rPr>
          <w:rFonts w:ascii="Times New Roman" w:hAnsi="Times New Roman" w:cs="Times New Roman"/>
          <w:i/>
          <w:sz w:val="24"/>
        </w:rPr>
        <w:t>leisleri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are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almost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constant</w:t>
      </w:r>
      <w:proofErr w:type="spellEnd"/>
      <w:r w:rsidR="00147A68" w:rsidRPr="00D30AAE">
        <w:rPr>
          <w:rFonts w:ascii="Times New Roman" w:hAnsi="Times New Roman" w:cs="Times New Roman"/>
          <w:sz w:val="24"/>
        </w:rPr>
        <w:t xml:space="preserve"> </w:t>
      </w:r>
      <w:r w:rsidR="00147A68">
        <w:rPr>
          <w:rFonts w:ascii="Times New Roman" w:hAnsi="Times New Roman" w:cs="Times New Roman"/>
          <w:sz w:val="24"/>
        </w:rPr>
        <w:t>(</w:t>
      </w:r>
      <w:proofErr w:type="spellStart"/>
      <w:r w:rsidR="00147A68">
        <w:rPr>
          <w:rFonts w:ascii="Times New Roman" w:hAnsi="Times New Roman" w:cs="Times New Roman"/>
          <w:sz w:val="24"/>
        </w:rPr>
        <w:t>without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 w:rsidRPr="00D30AAE">
        <w:rPr>
          <w:rFonts w:ascii="Times New Roman" w:hAnsi="Times New Roman" w:cs="Times New Roman"/>
          <w:sz w:val="24"/>
        </w:rPr>
        <w:t>frequency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</w:rPr>
        <w:t>changes</w:t>
      </w:r>
      <w:proofErr w:type="spellEnd"/>
      <w:r w:rsidR="00147A68">
        <w:rPr>
          <w:rFonts w:ascii="Times New Roman" w:hAnsi="Times New Roman" w:cs="Times New Roman"/>
          <w:sz w:val="24"/>
        </w:rPr>
        <w:t>)</w:t>
      </w:r>
      <w:r w:rsidR="00147A68" w:rsidRPr="00D30AAE">
        <w:rPr>
          <w:rFonts w:ascii="Times New Roman" w:hAnsi="Times New Roman" w:cs="Times New Roman"/>
          <w:sz w:val="24"/>
        </w:rPr>
        <w:t>.</w:t>
      </w:r>
      <w:r w:rsidR="00793A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Qcf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calls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characterized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by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 w:rsidR="00793A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AC6">
        <w:rPr>
          <w:rFonts w:ascii="Times New Roman" w:hAnsi="Times New Roman" w:cs="Times New Roman"/>
          <w:sz w:val="24"/>
        </w:rPr>
        <w:t>downwards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AAE">
        <w:rPr>
          <w:rFonts w:ascii="Times New Roman" w:hAnsi="Times New Roman" w:cs="Times New Roman"/>
          <w:sz w:val="24"/>
        </w:rPr>
        <w:t>freq</w:t>
      </w:r>
      <w:r>
        <w:rPr>
          <w:rFonts w:ascii="Times New Roman" w:hAnsi="Times New Roman" w:cs="Times New Roman"/>
          <w:sz w:val="24"/>
        </w:rPr>
        <w:t>uency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AC6">
        <w:rPr>
          <w:rFonts w:ascii="Times New Roman" w:hAnsi="Times New Roman" w:cs="Times New Roman"/>
          <w:sz w:val="24"/>
        </w:rPr>
        <w:t>change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AAE">
        <w:rPr>
          <w:rFonts w:ascii="Times New Roman" w:hAnsi="Times New Roman" w:cs="Times New Roman"/>
          <w:sz w:val="24"/>
        </w:rPr>
        <w:t>of</w:t>
      </w:r>
      <w:proofErr w:type="spellEnd"/>
      <w:r w:rsidRPr="00D30AAE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D30AAE">
        <w:rPr>
          <w:rFonts w:ascii="Times New Roman" w:hAnsi="Times New Roman" w:cs="Times New Roman"/>
          <w:sz w:val="24"/>
        </w:rPr>
        <w:t>to</w:t>
      </w:r>
      <w:proofErr w:type="spellEnd"/>
      <w:r w:rsidRPr="00D30AAE">
        <w:rPr>
          <w:rFonts w:ascii="Times New Roman" w:hAnsi="Times New Roman" w:cs="Times New Roman"/>
          <w:sz w:val="24"/>
        </w:rPr>
        <w:t xml:space="preserve"> 10 kHz </w:t>
      </w:r>
      <w:proofErr w:type="spellStart"/>
      <w:r w:rsidRPr="00D30AAE">
        <w:rPr>
          <w:rFonts w:ascii="Times New Roman" w:hAnsi="Times New Roman" w:cs="Times New Roman"/>
          <w:sz w:val="24"/>
        </w:rPr>
        <w:t>over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entire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course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call</w:t>
      </w:r>
      <w:proofErr w:type="spellEnd"/>
      <w:r w:rsidR="00147A68">
        <w:rPr>
          <w:rFonts w:ascii="Times New Roman" w:hAnsi="Times New Roman" w:cs="Times New Roman"/>
          <w:sz w:val="24"/>
        </w:rPr>
        <w:t xml:space="preserve">. </w:t>
      </w:r>
      <w:r w:rsidR="00147A68" w:rsidRPr="00147A68">
        <w:rPr>
          <w:rFonts w:ascii="Times New Roman" w:hAnsi="Times New Roman" w:cs="Times New Roman"/>
          <w:sz w:val="24"/>
          <w:szCs w:val="24"/>
        </w:rPr>
        <w:t xml:space="preserve">Thus,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fm-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qcf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qcf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AC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93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AC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uniform </w:t>
      </w:r>
      <w:r w:rsidR="00147A68">
        <w:rPr>
          <w:rFonts w:ascii="Times New Roman" w:hAnsi="Times New Roman" w:cs="Times New Roman"/>
          <w:sz w:val="24"/>
          <w:szCs w:val="24"/>
        </w:rPr>
        <w:t>in</w:t>
      </w:r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AC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793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and</w:t>
      </w:r>
      <w:r w:rsidR="005B6160" w:rsidRP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 w:rsidRPr="00147A6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5B6160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 w:rsidRPr="00147A68">
        <w:rPr>
          <w:rFonts w:ascii="Times New Roman" w:hAnsi="Times New Roman" w:cs="Times New Roman"/>
          <w:sz w:val="24"/>
          <w:szCs w:val="24"/>
        </w:rPr>
        <w:t>frequencies</w:t>
      </w:r>
      <w:proofErr w:type="spellEnd"/>
      <w:r w:rsidR="005B6160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 w:rsidRPr="00147A6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5B6160" w:rsidRPr="00147A68">
        <w:rPr>
          <w:rFonts w:ascii="Times New Roman" w:hAnsi="Times New Roman" w:cs="Times New Roman"/>
          <w:sz w:val="24"/>
          <w:szCs w:val="24"/>
        </w:rPr>
        <w:t xml:space="preserve"> 21 and 25 kHz</w:t>
      </w:r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qcf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F</w:t>
      </w:r>
      <w:r w:rsidR="00147A68" w:rsidRPr="00147A6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fm-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qcf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 w:rsidRPr="00147A68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5B6160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 w:rsidRPr="00147A68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="005B6160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100 and 300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5B6160" w:rsidRPr="00147A68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="005B6160" w:rsidRPr="00147A68">
        <w:rPr>
          <w:rFonts w:ascii="Times New Roman" w:hAnsi="Times New Roman" w:cs="Times New Roman"/>
          <w:sz w:val="24"/>
          <w:szCs w:val="24"/>
        </w:rPr>
        <w:t xml:space="preserve"> 26 kHz</w:t>
      </w:r>
      <w:r w:rsidR="005B61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a</w:t>
      </w:r>
      <w:r w:rsidR="00147A68" w:rsidRPr="0014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pronounced</w:t>
      </w:r>
      <w:proofErr w:type="spellEnd"/>
      <w:r w:rsidR="005B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0">
        <w:rPr>
          <w:rFonts w:ascii="Times New Roman" w:hAnsi="Times New Roman" w:cs="Times New Roman"/>
          <w:sz w:val="24"/>
          <w:szCs w:val="24"/>
        </w:rPr>
        <w:t>uppercut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47A68" w:rsidRPr="00147A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7A68" w:rsidRPr="00147A68">
        <w:rPr>
          <w:rFonts w:ascii="Times New Roman" w:hAnsi="Times New Roman" w:cs="Times New Roman"/>
          <w:sz w:val="24"/>
          <w:szCs w:val="24"/>
        </w:rPr>
        <w:t xml:space="preserve"> end. </w:t>
      </w:r>
      <w:r w:rsidR="00A80846">
        <w:rPr>
          <w:rFonts w:ascii="Times New Roman" w:hAnsi="Times New Roman" w:cs="Times New Roman"/>
          <w:sz w:val="24"/>
        </w:rPr>
        <w:t>F</w:t>
      </w:r>
      <w:r w:rsidR="00A80846" w:rsidRPr="00A80846">
        <w:rPr>
          <w:rFonts w:ascii="Times New Roman" w:hAnsi="Times New Roman" w:cs="Times New Roman"/>
          <w:sz w:val="24"/>
        </w:rPr>
        <w:t>m-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qcf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and fm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calls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for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r w:rsidR="005B6160" w:rsidRPr="005B6160">
        <w:rPr>
          <w:rFonts w:ascii="Times New Roman" w:hAnsi="Times New Roman" w:cs="Times New Roman"/>
          <w:b/>
          <w:i/>
          <w:sz w:val="24"/>
        </w:rPr>
        <w:t>N</w:t>
      </w:r>
      <w:r w:rsidR="005B6160" w:rsidRPr="005B6160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5B6160" w:rsidRPr="005B6160">
        <w:rPr>
          <w:rFonts w:ascii="Times New Roman" w:hAnsi="Times New Roman" w:cs="Times New Roman"/>
          <w:b/>
          <w:i/>
          <w:sz w:val="24"/>
        </w:rPr>
        <w:t>leisleri</w:t>
      </w:r>
      <w:proofErr w:type="spellEnd"/>
      <w:r w:rsidR="005B61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are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not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characteristic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sin</w:t>
      </w:r>
      <w:r w:rsidR="00A80846">
        <w:rPr>
          <w:rFonts w:ascii="Times New Roman" w:hAnsi="Times New Roman" w:cs="Times New Roman"/>
          <w:sz w:val="24"/>
        </w:rPr>
        <w:t>ce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they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show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strong </w:t>
      </w:r>
      <w:proofErr w:type="spellStart"/>
      <w:r w:rsidR="00A80846">
        <w:rPr>
          <w:rFonts w:ascii="Times New Roman" w:hAnsi="Times New Roman" w:cs="Times New Roman"/>
          <w:sz w:val="24"/>
        </w:rPr>
        <w:t>overlaps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the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frequency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range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with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all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other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nyctaloid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"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calling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types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80846">
        <w:rPr>
          <w:rFonts w:ascii="Times New Roman" w:hAnsi="Times New Roman" w:cs="Times New Roman"/>
          <w:sz w:val="24"/>
        </w:rPr>
        <w:t>Therefore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only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qcf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calls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AAE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30AAE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D30AAE">
        <w:rPr>
          <w:rFonts w:ascii="Times New Roman" w:hAnsi="Times New Roman" w:cs="Times New Roman"/>
          <w:sz w:val="24"/>
        </w:rPr>
        <w:t>characteristic</w:t>
      </w:r>
      <w:proofErr w:type="spellEnd"/>
      <w:r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AAE">
        <w:rPr>
          <w:rFonts w:ascii="Times New Roman" w:hAnsi="Times New Roman" w:cs="Times New Roman"/>
          <w:sz w:val="24"/>
        </w:rPr>
        <w:t>frequency</w:t>
      </w:r>
      <w:proofErr w:type="spellEnd"/>
      <w:r w:rsidRPr="00D30A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AAE">
        <w:rPr>
          <w:rFonts w:ascii="Times New Roman" w:hAnsi="Times New Roman" w:cs="Times New Roman"/>
          <w:sz w:val="24"/>
        </w:rPr>
        <w:t>of</w:t>
      </w:r>
      <w:proofErr w:type="spellEnd"/>
      <w:r w:rsidRPr="00D30AAE">
        <w:rPr>
          <w:rFonts w:ascii="Times New Roman" w:hAnsi="Times New Roman" w:cs="Times New Roman"/>
          <w:sz w:val="24"/>
        </w:rPr>
        <w:t xml:space="preserve"> 23 kHz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reliable </w:t>
      </w:r>
      <w:proofErr w:type="spellStart"/>
      <w:r>
        <w:rPr>
          <w:rFonts w:ascii="Times New Roman" w:hAnsi="Times New Roman" w:cs="Times New Roman"/>
          <w:sz w:val="24"/>
        </w:rPr>
        <w:t>species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determination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used</w:t>
      </w:r>
      <w:proofErr w:type="spellEnd"/>
      <w:r w:rsidRPr="00D30AAE">
        <w:rPr>
          <w:rFonts w:ascii="Times New Roman" w:hAnsi="Times New Roman" w:cs="Times New Roman"/>
          <w:sz w:val="24"/>
        </w:rPr>
        <w:t xml:space="preserve"> </w:t>
      </w:r>
      <w:r w:rsidRPr="00A80846">
        <w:rPr>
          <w:rFonts w:ascii="Times New Roman" w:hAnsi="Times New Roman" w:cs="Times New Roman"/>
          <w:sz w:val="24"/>
        </w:rPr>
        <w:t xml:space="preserve">at least </w:t>
      </w:r>
      <w:proofErr w:type="spellStart"/>
      <w:r w:rsidRPr="00A80846">
        <w:rPr>
          <w:rFonts w:ascii="Times New Roman" w:hAnsi="Times New Roman" w:cs="Times New Roman"/>
          <w:sz w:val="24"/>
        </w:rPr>
        <w:t>three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46">
        <w:rPr>
          <w:rFonts w:ascii="Times New Roman" w:hAnsi="Times New Roman" w:cs="Times New Roman"/>
          <w:sz w:val="24"/>
        </w:rPr>
        <w:t>sequences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46">
        <w:rPr>
          <w:rFonts w:ascii="Times New Roman" w:hAnsi="Times New Roman" w:cs="Times New Roman"/>
          <w:sz w:val="24"/>
        </w:rPr>
        <w:t>with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46">
        <w:rPr>
          <w:rFonts w:ascii="Times New Roman" w:hAnsi="Times New Roman" w:cs="Times New Roman"/>
          <w:sz w:val="24"/>
        </w:rPr>
        <w:t>regular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46">
        <w:rPr>
          <w:rFonts w:ascii="Times New Roman" w:hAnsi="Times New Roman" w:cs="Times New Roman"/>
          <w:sz w:val="24"/>
        </w:rPr>
        <w:t>call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changes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typical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plip-plops</w:t>
      </w:r>
      <w:proofErr w:type="spellEnd"/>
      <w:r>
        <w:rPr>
          <w:rFonts w:ascii="Times New Roman" w:hAnsi="Times New Roman" w:cs="Times New Roman"/>
          <w:sz w:val="24"/>
        </w:rPr>
        <w:t>“)</w:t>
      </w:r>
      <w:r w:rsidRPr="00D30AAE">
        <w:rPr>
          <w:rFonts w:ascii="Times New Roman" w:hAnsi="Times New Roman" w:cs="Times New Roman"/>
          <w:sz w:val="24"/>
        </w:rPr>
        <w:t xml:space="preserve"> </w:t>
      </w:r>
      <w:r w:rsidRPr="00A80846"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A80846">
        <w:rPr>
          <w:rFonts w:ascii="Times New Roman" w:hAnsi="Times New Roman" w:cs="Times New Roman"/>
          <w:sz w:val="24"/>
        </w:rPr>
        <w:t>unmistakable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46">
        <w:rPr>
          <w:rFonts w:ascii="Times New Roman" w:hAnsi="Times New Roman" w:cs="Times New Roman"/>
          <w:sz w:val="24"/>
        </w:rPr>
        <w:t>qcf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46">
        <w:rPr>
          <w:rFonts w:ascii="Times New Roman" w:hAnsi="Times New Roman" w:cs="Times New Roman"/>
          <w:sz w:val="24"/>
        </w:rPr>
        <w:t>calls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80846">
        <w:rPr>
          <w:rFonts w:ascii="Times New Roman" w:hAnsi="Times New Roman" w:cs="Times New Roman"/>
          <w:sz w:val="24"/>
        </w:rPr>
        <w:t>together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&gt; 10 </w:t>
      </w:r>
      <w:proofErr w:type="spellStart"/>
      <w:r w:rsidRPr="00A80846">
        <w:rPr>
          <w:rFonts w:ascii="Times New Roman" w:hAnsi="Times New Roman" w:cs="Times New Roman"/>
          <w:sz w:val="24"/>
        </w:rPr>
        <w:t>calls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</w:rPr>
        <w:t>excluded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sequences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46">
        <w:rPr>
          <w:rFonts w:ascii="Times New Roman" w:hAnsi="Times New Roman" w:cs="Times New Roman"/>
          <w:sz w:val="24"/>
        </w:rPr>
        <w:t>confusion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46">
        <w:rPr>
          <w:rFonts w:ascii="Times New Roman" w:hAnsi="Times New Roman" w:cs="Times New Roman"/>
          <w:sz w:val="24"/>
        </w:rPr>
        <w:t>species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in temporal </w:t>
      </w:r>
      <w:proofErr w:type="spellStart"/>
      <w:r w:rsidRPr="00A80846">
        <w:rPr>
          <w:rFonts w:ascii="Times New Roman" w:hAnsi="Times New Roman" w:cs="Times New Roman"/>
          <w:sz w:val="24"/>
        </w:rPr>
        <w:t>proximity</w:t>
      </w:r>
      <w:proofErr w:type="spellEnd"/>
      <w:r w:rsidRPr="00A80846">
        <w:rPr>
          <w:rFonts w:ascii="Times New Roman" w:hAnsi="Times New Roman" w:cs="Times New Roman"/>
          <w:sz w:val="24"/>
        </w:rPr>
        <w:t xml:space="preserve"> (+/- 2 min.).</w:t>
      </w:r>
      <w:r w:rsidR="00A826A0">
        <w:rPr>
          <w:rFonts w:ascii="Times New Roman" w:hAnsi="Times New Roman" w:cs="Times New Roman"/>
          <w:sz w:val="24"/>
        </w:rPr>
        <w:t xml:space="preserve"> </w:t>
      </w:r>
      <w:r w:rsidR="00A80846">
        <w:rPr>
          <w:rFonts w:ascii="Times New Roman" w:hAnsi="Times New Roman" w:cs="Times New Roman"/>
          <w:sz w:val="24"/>
        </w:rPr>
        <w:t xml:space="preserve">As </w:t>
      </w:r>
      <w:r w:rsidR="005B6160" w:rsidRPr="005B6160">
        <w:rPr>
          <w:rFonts w:ascii="Times New Roman" w:hAnsi="Times New Roman" w:cs="Times New Roman"/>
          <w:b/>
          <w:i/>
          <w:sz w:val="24"/>
        </w:rPr>
        <w:t>V</w:t>
      </w:r>
      <w:r w:rsidR="005B6160" w:rsidRPr="005B6160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5B6160" w:rsidRPr="005B6160">
        <w:rPr>
          <w:rFonts w:ascii="Times New Roman" w:hAnsi="Times New Roman" w:cs="Times New Roman"/>
          <w:b/>
          <w:i/>
          <w:sz w:val="24"/>
        </w:rPr>
        <w:t>murinus</w:t>
      </w:r>
      <w:proofErr w:type="spellEnd"/>
      <w:r w:rsidR="005B61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shows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an extreme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overlap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the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call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repertoire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with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other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A80846">
        <w:rPr>
          <w:rFonts w:ascii="Times New Roman" w:hAnsi="Times New Roman" w:cs="Times New Roman"/>
          <w:sz w:val="24"/>
        </w:rPr>
        <w:t>nyctaloid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"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species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0846">
        <w:rPr>
          <w:rFonts w:ascii="Times New Roman" w:hAnsi="Times New Roman" w:cs="Times New Roman"/>
          <w:sz w:val="24"/>
        </w:rPr>
        <w:t>echolocation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calls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cannot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be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reliably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determined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80846">
        <w:rPr>
          <w:rFonts w:ascii="Times New Roman" w:hAnsi="Times New Roman" w:cs="Times New Roman"/>
          <w:sz w:val="24"/>
        </w:rPr>
        <w:t>Our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species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identifications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are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solely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based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on </w:t>
      </w:r>
      <w:proofErr w:type="spellStart"/>
      <w:r w:rsidR="00A80846">
        <w:rPr>
          <w:rFonts w:ascii="Times New Roman" w:hAnsi="Times New Roman" w:cs="Times New Roman"/>
          <w:sz w:val="24"/>
        </w:rPr>
        <w:t>courtship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calls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during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the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mating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season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80846">
        <w:rPr>
          <w:rFonts w:ascii="Times New Roman" w:hAnsi="Times New Roman" w:cs="Times New Roman"/>
          <w:sz w:val="24"/>
        </w:rPr>
        <w:t>We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>
        <w:rPr>
          <w:rFonts w:ascii="Times New Roman" w:hAnsi="Times New Roman" w:cs="Times New Roman"/>
          <w:sz w:val="24"/>
        </w:rPr>
        <w:t>used</w:t>
      </w:r>
      <w:proofErr w:type="spellEnd"/>
      <w:r w:rsidR="00A80846">
        <w:rPr>
          <w:rFonts w:ascii="Times New Roman" w:hAnsi="Times New Roman" w:cs="Times New Roman"/>
          <w:sz w:val="24"/>
        </w:rPr>
        <w:t xml:space="preserve"> </w:t>
      </w:r>
      <w:r w:rsidR="00A80846" w:rsidRPr="00A80846">
        <w:rPr>
          <w:rFonts w:ascii="Times New Roman" w:hAnsi="Times New Roman" w:cs="Times New Roman"/>
          <w:sz w:val="24"/>
        </w:rPr>
        <w:t xml:space="preserve">at least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one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typical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sequence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of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courtship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calls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with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intermediate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quiet</w:t>
      </w:r>
      <w:proofErr w:type="spellEnd"/>
      <w:r w:rsidR="00A80846" w:rsidRPr="00A80846">
        <w:rPr>
          <w:rFonts w:ascii="Times New Roman" w:hAnsi="Times New Roman" w:cs="Times New Roman"/>
          <w:sz w:val="24"/>
        </w:rPr>
        <w:t xml:space="preserve"> fm </w:t>
      </w:r>
      <w:proofErr w:type="spellStart"/>
      <w:r w:rsidR="00A80846" w:rsidRPr="00A80846">
        <w:rPr>
          <w:rFonts w:ascii="Times New Roman" w:hAnsi="Times New Roman" w:cs="Times New Roman"/>
          <w:sz w:val="24"/>
        </w:rPr>
        <w:t>calls</w:t>
      </w:r>
      <w:proofErr w:type="spellEnd"/>
      <w:r w:rsidR="00A80846">
        <w:rPr>
          <w:rFonts w:ascii="Times New Roman" w:hAnsi="Times New Roman" w:cs="Times New Roman"/>
          <w:sz w:val="24"/>
        </w:rPr>
        <w:t>.</w:t>
      </w:r>
    </w:p>
    <w:p w14:paraId="5A59A456" w14:textId="3CDC9CEC" w:rsidR="00DF6F76" w:rsidRPr="00A80846" w:rsidRDefault="00DF6F76" w:rsidP="00A80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Calls, </w:t>
      </w:r>
      <w:proofErr w:type="spellStart"/>
      <w:r>
        <w:rPr>
          <w:rFonts w:ascii="Times New Roman" w:hAnsi="Times New Roman" w:cs="Times New Roman"/>
          <w:sz w:val="24"/>
        </w:rPr>
        <w:t>which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could</w:t>
      </w:r>
      <w:proofErr w:type="spellEnd"/>
      <w:r>
        <w:rPr>
          <w:rFonts w:ascii="Times New Roman" w:hAnsi="Times New Roman" w:cs="Times New Roman"/>
          <w:sz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</w:rPr>
        <w:t>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species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level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BDC">
        <w:rPr>
          <w:rFonts w:ascii="Times New Roman" w:hAnsi="Times New Roman" w:cs="Times New Roman"/>
          <w:sz w:val="24"/>
        </w:rPr>
        <w:t>according</w:t>
      </w:r>
      <w:proofErr w:type="spellEnd"/>
      <w:r w:rsidR="009B3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BDC">
        <w:rPr>
          <w:rFonts w:ascii="Times New Roman" w:hAnsi="Times New Roman" w:cs="Times New Roman"/>
          <w:sz w:val="24"/>
        </w:rPr>
        <w:t>to</w:t>
      </w:r>
      <w:proofErr w:type="spellEnd"/>
      <w:r w:rsidR="009B3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BDC">
        <w:rPr>
          <w:rFonts w:ascii="Times New Roman" w:hAnsi="Times New Roman" w:cs="Times New Roman"/>
          <w:sz w:val="24"/>
        </w:rPr>
        <w:t>these</w:t>
      </w:r>
      <w:proofErr w:type="spellEnd"/>
      <w:r w:rsidR="009B3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BDC">
        <w:rPr>
          <w:rFonts w:ascii="Times New Roman" w:hAnsi="Times New Roman" w:cs="Times New Roman"/>
          <w:sz w:val="24"/>
        </w:rPr>
        <w:t>criteria</w:t>
      </w:r>
      <w:proofErr w:type="spellEnd"/>
      <w:r w:rsidR="009B3B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grouped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sonotype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Nycmi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containing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F76">
        <w:rPr>
          <w:rFonts w:ascii="Times New Roman" w:hAnsi="Times New Roman" w:cs="Times New Roman"/>
          <w:i/>
          <w:sz w:val="24"/>
        </w:rPr>
        <w:t>Nyctalus</w:t>
      </w:r>
      <w:proofErr w:type="spellEnd"/>
      <w:r w:rsidRPr="00DF6F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6F76">
        <w:rPr>
          <w:rFonts w:ascii="Times New Roman" w:hAnsi="Times New Roman" w:cs="Times New Roman"/>
          <w:i/>
          <w:sz w:val="24"/>
        </w:rPr>
        <w:t>leisleri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6F76">
        <w:rPr>
          <w:rFonts w:ascii="Times New Roman" w:hAnsi="Times New Roman" w:cs="Times New Roman"/>
          <w:i/>
          <w:sz w:val="24"/>
        </w:rPr>
        <w:t>Eptesicus</w:t>
      </w:r>
      <w:proofErr w:type="spellEnd"/>
      <w:r w:rsidRPr="00DF6F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6F76">
        <w:rPr>
          <w:rFonts w:ascii="Times New Roman" w:hAnsi="Times New Roman" w:cs="Times New Roman"/>
          <w:i/>
          <w:sz w:val="24"/>
        </w:rPr>
        <w:t>serotinus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F6F76">
        <w:rPr>
          <w:rFonts w:ascii="Times New Roman" w:hAnsi="Times New Roman" w:cs="Times New Roman"/>
          <w:i/>
          <w:sz w:val="24"/>
        </w:rPr>
        <w:t>Vespertilio</w:t>
      </w:r>
      <w:proofErr w:type="spellEnd"/>
      <w:r w:rsidRPr="00DF6F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6F76">
        <w:rPr>
          <w:rFonts w:ascii="Times New Roman" w:hAnsi="Times New Roman" w:cs="Times New Roman"/>
          <w:i/>
          <w:sz w:val="24"/>
        </w:rPr>
        <w:t>murinus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bookmarkEnd w:id="1"/>
    <w:p w14:paraId="3C026DDB" w14:textId="77777777" w:rsid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443D32A4" w14:textId="77777777" w:rsidR="00E37FB0" w:rsidRDefault="00E37FB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7ACC8D60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45886E0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33B018A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9B6CD85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4F73E9B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7C29B199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68F2CFF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DBE1A91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10DDDAE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2BFE2E1C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513BB01A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79DFBDAB" w14:textId="77777777" w:rsidR="00A826A0" w:rsidRDefault="00A826A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77C3C5D" w14:textId="77777777" w:rsidR="00E37FB0" w:rsidRDefault="00E37FB0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4247D5A" w14:textId="77777777" w:rsidR="00DF6F76" w:rsidRDefault="00DF6F7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56E996B3" w14:textId="77777777" w:rsidR="00D12039" w:rsidRDefault="00D12039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5A4722EC" w14:textId="77777777" w:rsid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  <w:proofErr w:type="spellStart"/>
      <w:r w:rsidRPr="00473456">
        <w:rPr>
          <w:b/>
          <w:szCs w:val="22"/>
        </w:rPr>
        <w:t>Supporting</w:t>
      </w:r>
      <w:proofErr w:type="spellEnd"/>
      <w:r w:rsidRPr="00473456"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results</w:t>
      </w:r>
      <w:proofErr w:type="spellEnd"/>
    </w:p>
    <w:p w14:paraId="7613A607" w14:textId="77777777" w:rsid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AD542C4" w14:textId="77777777" w:rsidR="006244E5" w:rsidRDefault="006244E5" w:rsidP="00473456">
      <w:pPr>
        <w:pStyle w:val="v1msonormal"/>
        <w:shd w:val="clear" w:color="auto" w:fill="FFFFFF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Median and </w:t>
      </w:r>
      <w:proofErr w:type="spellStart"/>
      <w:r>
        <w:rPr>
          <w:szCs w:val="22"/>
        </w:rPr>
        <w:t>range</w:t>
      </w:r>
      <w:proofErr w:type="spellEnd"/>
      <w:r>
        <w:rPr>
          <w:szCs w:val="22"/>
        </w:rPr>
        <w:t xml:space="preserve"> </w:t>
      </w:r>
      <w:proofErr w:type="spellStart"/>
      <w:r w:rsidR="00FA1B02">
        <w:rPr>
          <w:szCs w:val="22"/>
        </w:rPr>
        <w:t>values</w:t>
      </w:r>
      <w:proofErr w:type="spellEnd"/>
      <w:r w:rsidR="00FA1B02">
        <w:rPr>
          <w:szCs w:val="22"/>
        </w:rPr>
        <w:t xml:space="preserve"> </w:t>
      </w:r>
      <w:proofErr w:type="spellStart"/>
      <w:r>
        <w:rPr>
          <w:szCs w:val="22"/>
        </w:rPr>
        <w:t>for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echolocation</w:t>
      </w:r>
      <w:proofErr w:type="spellEnd"/>
      <w:r>
        <w:rPr>
          <w:szCs w:val="22"/>
        </w:rPr>
        <w:t xml:space="preserve"> and social </w:t>
      </w:r>
      <w:proofErr w:type="spellStart"/>
      <w:r>
        <w:rPr>
          <w:szCs w:val="22"/>
        </w:rPr>
        <w:t>calls</w:t>
      </w:r>
      <w:proofErr w:type="spellEnd"/>
    </w:p>
    <w:p w14:paraId="126F4C85" w14:textId="77777777" w:rsidR="006244E5" w:rsidRDefault="006244E5" w:rsidP="00473456">
      <w:pPr>
        <w:pStyle w:val="v1msonormal"/>
        <w:shd w:val="clear" w:color="auto" w:fill="FFFFFF"/>
        <w:spacing w:before="0" w:beforeAutospacing="0" w:after="0" w:afterAutospacing="0"/>
        <w:rPr>
          <w:szCs w:val="22"/>
        </w:rPr>
      </w:pPr>
    </w:p>
    <w:p w14:paraId="52D752C5" w14:textId="77777777" w:rsidR="006244E5" w:rsidRDefault="006244E5" w:rsidP="006244E5">
      <w:pPr>
        <w:pStyle w:val="Beschriftung"/>
        <w:keepNext/>
      </w:pPr>
      <w:r>
        <w:t xml:space="preserve">Table S2. Median and </w:t>
      </w:r>
      <w:proofErr w:type="spellStart"/>
      <w:r>
        <w:t>range</w:t>
      </w:r>
      <w:proofErr w:type="spellEnd"/>
      <w:r w:rsidR="00FA1B02">
        <w:t xml:space="preserve"> </w:t>
      </w:r>
      <w:proofErr w:type="spellStart"/>
      <w:r w:rsidR="00FA1B02"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time and </w:t>
      </w:r>
      <w:proofErr w:type="spellStart"/>
      <w:r>
        <w:t>frequency</w:t>
      </w:r>
      <w:proofErr w:type="spellEnd"/>
      <w:r>
        <w:t xml:space="preserve"> variables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echolocation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in urban and rural </w:t>
      </w:r>
      <w:proofErr w:type="spellStart"/>
      <w:r>
        <w:t>Pipistrellus</w:t>
      </w:r>
      <w:proofErr w:type="spellEnd"/>
      <w:r>
        <w:t xml:space="preserve"> </w:t>
      </w:r>
      <w:proofErr w:type="spellStart"/>
      <w:r>
        <w:t>pipistrellus</w:t>
      </w:r>
      <w:proofErr w:type="spellEnd"/>
      <w:r>
        <w:t xml:space="preserve">; </w:t>
      </w:r>
      <w:proofErr w:type="spellStart"/>
      <w:r>
        <w:t>F</w:t>
      </w:r>
      <w:r>
        <w:rPr>
          <w:vertAlign w:val="subscript"/>
        </w:rPr>
        <w:t>Start</w:t>
      </w:r>
      <w:proofErr w:type="spellEnd"/>
      <w:r>
        <w:t xml:space="preserve"> =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>; F</w:t>
      </w:r>
      <w:r w:rsidRPr="00D9400F">
        <w:rPr>
          <w:vertAlign w:val="subscript"/>
        </w:rPr>
        <w:t>end</w:t>
      </w:r>
      <w:r>
        <w:t xml:space="preserve"> = end </w:t>
      </w:r>
      <w:proofErr w:type="spellStart"/>
      <w:r>
        <w:t>frequency</w:t>
      </w:r>
      <w:proofErr w:type="spellEnd"/>
      <w:r>
        <w:t xml:space="preserve">; </w:t>
      </w:r>
      <w:proofErr w:type="spellStart"/>
      <w:r>
        <w:t>F</w:t>
      </w:r>
      <w:r>
        <w:rPr>
          <w:vertAlign w:val="subscript"/>
        </w:rPr>
        <w:t>maxE</w:t>
      </w:r>
      <w:proofErr w:type="spellEnd"/>
      <w:r>
        <w:t xml:space="preserve"> =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maximum; </w:t>
      </w:r>
      <w:proofErr w:type="spellStart"/>
      <w:r>
        <w:t>freq</w:t>
      </w:r>
      <w:proofErr w:type="spellEnd"/>
      <w:r>
        <w:t>=</w:t>
      </w:r>
      <w:proofErr w:type="spellStart"/>
      <w:r>
        <w:t>bandwith</w:t>
      </w:r>
      <w:proofErr w:type="spellEnd"/>
      <w:r>
        <w:t xml:space="preserve">; </w:t>
      </w:r>
      <w:proofErr w:type="spellStart"/>
      <w:r>
        <w:t>dur</w:t>
      </w:r>
      <w:proofErr w:type="spellEnd"/>
      <w:r>
        <w:t xml:space="preserve"> = </w:t>
      </w:r>
      <w:proofErr w:type="spellStart"/>
      <w:r>
        <w:t>duration</w:t>
      </w:r>
      <w:proofErr w:type="spellEnd"/>
      <w:r>
        <w:t xml:space="preserve">; IPI= </w:t>
      </w:r>
      <w:proofErr w:type="spellStart"/>
      <w:r>
        <w:t>Inter</w:t>
      </w:r>
      <w:proofErr w:type="spellEnd"/>
      <w:r>
        <w:t xml:space="preserve"> pulse </w:t>
      </w:r>
      <w:proofErr w:type="spellStart"/>
      <w:r>
        <w:t>interval</w:t>
      </w:r>
      <w:proofErr w:type="spellEnd"/>
      <w:r>
        <w:t xml:space="preserve">;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kHz, time variables in </w:t>
      </w:r>
      <w:proofErr w:type="spellStart"/>
      <w:r>
        <w:t>ms.</w:t>
      </w:r>
      <w:proofErr w:type="spellEnd"/>
      <w:r>
        <w:t xml:space="preserve"> </w:t>
      </w:r>
      <w:r w:rsidRPr="00C63B46">
        <w:t>n=</w:t>
      </w:r>
      <w:proofErr w:type="spellStart"/>
      <w:r>
        <w:t>n</w:t>
      </w:r>
      <w:r w:rsidRPr="00C63B46">
        <w:t>umber</w:t>
      </w:r>
      <w:proofErr w:type="spellEnd"/>
      <w:r w:rsidRPr="00C63B46">
        <w:t xml:space="preserve"> </w:t>
      </w:r>
      <w:proofErr w:type="spellStart"/>
      <w:r w:rsidRPr="00C63B46">
        <w:t>of</w:t>
      </w:r>
      <w:proofErr w:type="spellEnd"/>
      <w:r w:rsidRPr="00C63B46">
        <w:t xml:space="preserve"> </w:t>
      </w:r>
      <w:proofErr w:type="spellStart"/>
      <w:r w:rsidRPr="00C63B46">
        <w:t>calls</w:t>
      </w:r>
      <w:proofErr w:type="spellEnd"/>
      <w:r w:rsidRPr="00C63B46">
        <w:t xml:space="preserve"> </w:t>
      </w:r>
      <w:proofErr w:type="spellStart"/>
      <w:r w:rsidRPr="00C63B46">
        <w:t>used</w:t>
      </w:r>
      <w:proofErr w:type="spellEnd"/>
      <w:r w:rsidRPr="00C63B46">
        <w:t xml:space="preserve"> </w:t>
      </w:r>
      <w:proofErr w:type="spellStart"/>
      <w:r w:rsidRPr="00C63B46">
        <w:t>to</w:t>
      </w:r>
      <w:proofErr w:type="spellEnd"/>
      <w:r w:rsidRPr="00C63B46">
        <w:t xml:space="preserve"> </w:t>
      </w:r>
      <w:proofErr w:type="spellStart"/>
      <w:r w:rsidRPr="00C63B46">
        <w:t>calculate</w:t>
      </w:r>
      <w:proofErr w:type="spellEnd"/>
      <w:r w:rsidRPr="00C63B46">
        <w:t xml:space="preserve"> </w:t>
      </w:r>
      <w:proofErr w:type="spellStart"/>
      <w:r w:rsidRPr="00C63B46">
        <w:t>mean</w:t>
      </w:r>
      <w:proofErr w:type="spellEnd"/>
      <w:r>
        <w:t xml:space="preserve">; </w:t>
      </w:r>
      <w:r w:rsidRPr="00C63B46">
        <w:t xml:space="preserve">N= </w:t>
      </w:r>
      <w:proofErr w:type="spellStart"/>
      <w:r w:rsidRPr="00C63B46">
        <w:t>number</w:t>
      </w:r>
      <w:proofErr w:type="spellEnd"/>
      <w:r w:rsidRPr="00C63B46">
        <w:t xml:space="preserve"> </w:t>
      </w:r>
      <w:proofErr w:type="spellStart"/>
      <w:r w:rsidRPr="00C63B46">
        <w:t>of</w:t>
      </w:r>
      <w:proofErr w:type="spellEnd"/>
      <w:r w:rsidRPr="00C63B46">
        <w:t xml:space="preserve"> </w:t>
      </w:r>
      <w:proofErr w:type="spellStart"/>
      <w:r w:rsidRPr="00C63B46">
        <w:t>recorded</w:t>
      </w:r>
      <w:proofErr w:type="spellEnd"/>
      <w:r w:rsidRPr="00C63B46">
        <w:t xml:space="preserve"> </w:t>
      </w:r>
      <w:proofErr w:type="spellStart"/>
      <w:r w:rsidRPr="00C63B46">
        <w:t>sequences</w:t>
      </w:r>
      <w:proofErr w:type="spellEnd"/>
    </w:p>
    <w:tbl>
      <w:tblPr>
        <w:tblStyle w:val="Tabellenraster"/>
        <w:tblW w:w="10499" w:type="dxa"/>
        <w:jc w:val="center"/>
        <w:tblLook w:val="04A0" w:firstRow="1" w:lastRow="0" w:firstColumn="1" w:lastColumn="0" w:noHBand="0" w:noVBand="1"/>
      </w:tblPr>
      <w:tblGrid>
        <w:gridCol w:w="1480"/>
        <w:gridCol w:w="1267"/>
        <w:gridCol w:w="1258"/>
        <w:gridCol w:w="1258"/>
        <w:gridCol w:w="1320"/>
        <w:gridCol w:w="1309"/>
        <w:gridCol w:w="1245"/>
        <w:gridCol w:w="1362"/>
      </w:tblGrid>
      <w:tr w:rsidR="006244E5" w:rsidRPr="00A7497E" w14:paraId="5948ADE9" w14:textId="77777777" w:rsidTr="00572099">
        <w:trPr>
          <w:trHeight w:val="363"/>
          <w:jc w:val="center"/>
        </w:trPr>
        <w:tc>
          <w:tcPr>
            <w:tcW w:w="1317" w:type="dxa"/>
            <w:vMerge w:val="restart"/>
            <w:vAlign w:val="center"/>
          </w:tcPr>
          <w:p w14:paraId="298F4235" w14:textId="77777777" w:rsidR="006244E5" w:rsidRPr="00A7497E" w:rsidRDefault="006244E5" w:rsidP="00572099">
            <w:pPr>
              <w:jc w:val="center"/>
              <w:rPr>
                <w:szCs w:val="36"/>
              </w:rPr>
            </w:pPr>
            <w:r w:rsidRPr="00A7497E">
              <w:rPr>
                <w:szCs w:val="36"/>
              </w:rPr>
              <w:t xml:space="preserve">Urban             </w:t>
            </w:r>
            <w:proofErr w:type="gramStart"/>
            <w:r w:rsidRPr="00A7497E">
              <w:rPr>
                <w:szCs w:val="36"/>
              </w:rPr>
              <w:t xml:space="preserve"> </w:t>
            </w:r>
            <w:r w:rsidR="00572099" w:rsidRPr="00A7497E">
              <w:rPr>
                <w:szCs w:val="36"/>
              </w:rPr>
              <w:t xml:space="preserve">  </w:t>
            </w:r>
            <w:r w:rsidR="00572099" w:rsidRPr="00572099">
              <w:rPr>
                <w:sz w:val="18"/>
                <w:szCs w:val="18"/>
              </w:rPr>
              <w:t>(</w:t>
            </w:r>
            <w:proofErr w:type="gramEnd"/>
            <w:r w:rsidRPr="005720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=1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810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N=486)</w:t>
            </w:r>
          </w:p>
        </w:tc>
        <w:tc>
          <w:tcPr>
            <w:tcW w:w="1282" w:type="dxa"/>
            <w:vAlign w:val="center"/>
          </w:tcPr>
          <w:p w14:paraId="77EBC1A5" w14:textId="77777777" w:rsidR="006244E5" w:rsidRPr="00A7497E" w:rsidRDefault="006244E5" w:rsidP="00E007D1">
            <w:pPr>
              <w:rPr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A70C157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F</w:t>
            </w:r>
            <w:r w:rsidRPr="00A7497E">
              <w:rPr>
                <w:szCs w:val="24"/>
                <w:vertAlign w:val="subscript"/>
              </w:rPr>
              <w:t>Start</w:t>
            </w:r>
            <w:proofErr w:type="spellEnd"/>
            <w:r w:rsidRPr="00A7497E">
              <w:rPr>
                <w:szCs w:val="24"/>
              </w:rPr>
              <w:t xml:space="preserve"> (kHz)</w:t>
            </w:r>
          </w:p>
        </w:tc>
        <w:tc>
          <w:tcPr>
            <w:tcW w:w="1281" w:type="dxa"/>
            <w:vAlign w:val="center"/>
          </w:tcPr>
          <w:p w14:paraId="42B5FDBF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F</w:t>
            </w:r>
            <w:r w:rsidRPr="00A7497E">
              <w:rPr>
                <w:szCs w:val="24"/>
                <w:vertAlign w:val="subscript"/>
              </w:rPr>
              <w:t>max</w:t>
            </w:r>
            <w:r w:rsidRPr="00572099">
              <w:rPr>
                <w:szCs w:val="24"/>
                <w:vertAlign w:val="subscript"/>
              </w:rPr>
              <w:t>E</w:t>
            </w:r>
            <w:proofErr w:type="spellEnd"/>
            <w:r w:rsidRPr="00A7497E">
              <w:rPr>
                <w:szCs w:val="24"/>
              </w:rPr>
              <w:t xml:space="preserve"> (kHz)</w:t>
            </w:r>
          </w:p>
        </w:tc>
        <w:tc>
          <w:tcPr>
            <w:tcW w:w="1346" w:type="dxa"/>
            <w:vAlign w:val="center"/>
          </w:tcPr>
          <w:p w14:paraId="5AD46BBE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F</w:t>
            </w:r>
            <w:r w:rsidRPr="00A7497E">
              <w:rPr>
                <w:szCs w:val="24"/>
                <w:vertAlign w:val="subscript"/>
              </w:rPr>
              <w:t>End</w:t>
            </w:r>
            <w:proofErr w:type="spellEnd"/>
            <w:r w:rsidRPr="00A7497E">
              <w:rPr>
                <w:szCs w:val="24"/>
              </w:rPr>
              <w:t xml:space="preserve"> (kHz)</w:t>
            </w:r>
          </w:p>
        </w:tc>
        <w:tc>
          <w:tcPr>
            <w:tcW w:w="1334" w:type="dxa"/>
            <w:vAlign w:val="center"/>
          </w:tcPr>
          <w:p w14:paraId="22362C52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freq</w:t>
            </w:r>
            <w:proofErr w:type="spellEnd"/>
            <w:r w:rsidRPr="00A7497E">
              <w:rPr>
                <w:szCs w:val="24"/>
              </w:rPr>
              <w:t xml:space="preserve"> (kHz)</w:t>
            </w:r>
          </w:p>
        </w:tc>
        <w:tc>
          <w:tcPr>
            <w:tcW w:w="1270" w:type="dxa"/>
            <w:vAlign w:val="center"/>
          </w:tcPr>
          <w:p w14:paraId="134F0688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dur</w:t>
            </w:r>
            <w:proofErr w:type="spellEnd"/>
            <w:r w:rsidRPr="00A7497E">
              <w:rPr>
                <w:szCs w:val="24"/>
              </w:rPr>
              <w:t xml:space="preserve"> (</w:t>
            </w:r>
            <w:proofErr w:type="spellStart"/>
            <w:r w:rsidRPr="00A7497E">
              <w:rPr>
                <w:szCs w:val="24"/>
              </w:rPr>
              <w:t>ms</w:t>
            </w:r>
            <w:proofErr w:type="spellEnd"/>
            <w:r w:rsidRPr="00A7497E">
              <w:rPr>
                <w:szCs w:val="24"/>
              </w:rPr>
              <w:t>)</w:t>
            </w:r>
          </w:p>
        </w:tc>
        <w:tc>
          <w:tcPr>
            <w:tcW w:w="1388" w:type="dxa"/>
            <w:vAlign w:val="center"/>
          </w:tcPr>
          <w:p w14:paraId="59BA407C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IPI (</w:t>
            </w:r>
            <w:proofErr w:type="spellStart"/>
            <w:r w:rsidRPr="00A7497E">
              <w:rPr>
                <w:szCs w:val="24"/>
              </w:rPr>
              <w:t>ms</w:t>
            </w:r>
            <w:proofErr w:type="spellEnd"/>
            <w:r w:rsidRPr="00A7497E">
              <w:rPr>
                <w:szCs w:val="24"/>
              </w:rPr>
              <w:t>)</w:t>
            </w:r>
          </w:p>
        </w:tc>
      </w:tr>
      <w:tr w:rsidR="006244E5" w:rsidRPr="00A7497E" w14:paraId="20FCCA96" w14:textId="77777777" w:rsidTr="006244E5">
        <w:trPr>
          <w:trHeight w:val="363"/>
          <w:jc w:val="center"/>
        </w:trPr>
        <w:tc>
          <w:tcPr>
            <w:tcW w:w="1317" w:type="dxa"/>
            <w:vMerge/>
          </w:tcPr>
          <w:p w14:paraId="5444ADD1" w14:textId="77777777" w:rsidR="006244E5" w:rsidRPr="00A7497E" w:rsidRDefault="006244E5" w:rsidP="00E007D1">
            <w:pPr>
              <w:rPr>
                <w:szCs w:val="36"/>
              </w:rPr>
            </w:pPr>
          </w:p>
        </w:tc>
        <w:tc>
          <w:tcPr>
            <w:tcW w:w="1282" w:type="dxa"/>
            <w:vAlign w:val="center"/>
          </w:tcPr>
          <w:p w14:paraId="69CD1386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Median</w:t>
            </w:r>
          </w:p>
        </w:tc>
        <w:tc>
          <w:tcPr>
            <w:tcW w:w="1281" w:type="dxa"/>
            <w:vAlign w:val="center"/>
          </w:tcPr>
          <w:p w14:paraId="7B72EB65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70.2</w:t>
            </w:r>
          </w:p>
        </w:tc>
        <w:tc>
          <w:tcPr>
            <w:tcW w:w="1281" w:type="dxa"/>
            <w:vAlign w:val="center"/>
          </w:tcPr>
          <w:p w14:paraId="02BD7B3B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49.0</w:t>
            </w:r>
          </w:p>
        </w:tc>
        <w:tc>
          <w:tcPr>
            <w:tcW w:w="1346" w:type="dxa"/>
            <w:vAlign w:val="center"/>
          </w:tcPr>
          <w:p w14:paraId="3A2D2B86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47</w:t>
            </w:r>
          </w:p>
        </w:tc>
        <w:tc>
          <w:tcPr>
            <w:tcW w:w="1334" w:type="dxa"/>
            <w:vAlign w:val="center"/>
          </w:tcPr>
          <w:p w14:paraId="71EB8A26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23.5</w:t>
            </w:r>
          </w:p>
        </w:tc>
        <w:tc>
          <w:tcPr>
            <w:tcW w:w="1270" w:type="dxa"/>
            <w:vAlign w:val="center"/>
          </w:tcPr>
          <w:p w14:paraId="741FB5CF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3.9</w:t>
            </w:r>
          </w:p>
        </w:tc>
        <w:tc>
          <w:tcPr>
            <w:tcW w:w="1388" w:type="dxa"/>
            <w:vAlign w:val="center"/>
          </w:tcPr>
          <w:p w14:paraId="7F8EB683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88.3</w:t>
            </w:r>
          </w:p>
        </w:tc>
      </w:tr>
      <w:tr w:rsidR="006244E5" w:rsidRPr="00A7497E" w14:paraId="30C7AFF6" w14:textId="77777777" w:rsidTr="006244E5">
        <w:trPr>
          <w:trHeight w:val="347"/>
          <w:jc w:val="center"/>
        </w:trPr>
        <w:tc>
          <w:tcPr>
            <w:tcW w:w="1317" w:type="dxa"/>
            <w:vMerge/>
          </w:tcPr>
          <w:p w14:paraId="1CF48DDF" w14:textId="77777777" w:rsidR="006244E5" w:rsidRPr="00A7497E" w:rsidRDefault="006244E5" w:rsidP="00E007D1">
            <w:pPr>
              <w:rPr>
                <w:szCs w:val="36"/>
              </w:rPr>
            </w:pPr>
          </w:p>
        </w:tc>
        <w:tc>
          <w:tcPr>
            <w:tcW w:w="1282" w:type="dxa"/>
            <w:vAlign w:val="center"/>
          </w:tcPr>
          <w:p w14:paraId="6CF37262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Range</w:t>
            </w:r>
          </w:p>
        </w:tc>
        <w:tc>
          <w:tcPr>
            <w:tcW w:w="1281" w:type="dxa"/>
            <w:vAlign w:val="center"/>
          </w:tcPr>
          <w:p w14:paraId="527819A7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65-85.3</w:t>
            </w:r>
          </w:p>
        </w:tc>
        <w:tc>
          <w:tcPr>
            <w:tcW w:w="1281" w:type="dxa"/>
            <w:vAlign w:val="center"/>
          </w:tcPr>
          <w:p w14:paraId="647D05D7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47.5-52.2</w:t>
            </w:r>
          </w:p>
        </w:tc>
        <w:tc>
          <w:tcPr>
            <w:tcW w:w="1346" w:type="dxa"/>
            <w:vAlign w:val="center"/>
          </w:tcPr>
          <w:p w14:paraId="2B55F1B5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47-51.5</w:t>
            </w:r>
          </w:p>
        </w:tc>
        <w:tc>
          <w:tcPr>
            <w:tcW w:w="1334" w:type="dxa"/>
            <w:vAlign w:val="center"/>
          </w:tcPr>
          <w:p w14:paraId="1B26761C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15.5-36.5</w:t>
            </w:r>
          </w:p>
        </w:tc>
        <w:tc>
          <w:tcPr>
            <w:tcW w:w="1270" w:type="dxa"/>
            <w:vAlign w:val="center"/>
          </w:tcPr>
          <w:p w14:paraId="2D8DE358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2-4.7</w:t>
            </w:r>
          </w:p>
        </w:tc>
        <w:tc>
          <w:tcPr>
            <w:tcW w:w="1388" w:type="dxa"/>
            <w:vAlign w:val="center"/>
          </w:tcPr>
          <w:p w14:paraId="37577246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81.6-92.6</w:t>
            </w:r>
          </w:p>
        </w:tc>
      </w:tr>
      <w:tr w:rsidR="006244E5" w:rsidRPr="00A7497E" w14:paraId="45C82407" w14:textId="77777777" w:rsidTr="00572099">
        <w:trPr>
          <w:trHeight w:val="380"/>
          <w:jc w:val="center"/>
        </w:trPr>
        <w:tc>
          <w:tcPr>
            <w:tcW w:w="1317" w:type="dxa"/>
            <w:vMerge w:val="restart"/>
            <w:vAlign w:val="center"/>
          </w:tcPr>
          <w:p w14:paraId="77B6439C" w14:textId="77777777" w:rsidR="006244E5" w:rsidRPr="00A7497E" w:rsidRDefault="006244E5" w:rsidP="00572099">
            <w:pPr>
              <w:jc w:val="center"/>
              <w:rPr>
                <w:szCs w:val="36"/>
              </w:rPr>
            </w:pPr>
            <w:r w:rsidRPr="00A7497E">
              <w:rPr>
                <w:szCs w:val="36"/>
              </w:rPr>
              <w:t>Rural</w:t>
            </w:r>
          </w:p>
          <w:p w14:paraId="264CB04F" w14:textId="77777777" w:rsidR="006244E5" w:rsidRPr="00A7497E" w:rsidRDefault="006244E5" w:rsidP="00572099">
            <w:pPr>
              <w:jc w:val="center"/>
              <w:rPr>
                <w:szCs w:val="36"/>
              </w:rPr>
            </w:pPr>
            <w:r w:rsidRPr="00A7497E">
              <w:rPr>
                <w:rFonts w:cs="Times New Roman"/>
                <w:sz w:val="18"/>
                <w:szCs w:val="20"/>
              </w:rPr>
              <w:t>(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n=1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,659/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N=486)</w:t>
            </w:r>
          </w:p>
        </w:tc>
        <w:tc>
          <w:tcPr>
            <w:tcW w:w="1282" w:type="dxa"/>
            <w:vAlign w:val="center"/>
          </w:tcPr>
          <w:p w14:paraId="67148B42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Median</w:t>
            </w:r>
          </w:p>
        </w:tc>
        <w:tc>
          <w:tcPr>
            <w:tcW w:w="1281" w:type="dxa"/>
            <w:vAlign w:val="center"/>
          </w:tcPr>
          <w:p w14:paraId="1A2F4489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64.5</w:t>
            </w:r>
          </w:p>
        </w:tc>
        <w:tc>
          <w:tcPr>
            <w:tcW w:w="1281" w:type="dxa"/>
            <w:vAlign w:val="center"/>
          </w:tcPr>
          <w:p w14:paraId="22650247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48.1</w:t>
            </w:r>
          </w:p>
        </w:tc>
        <w:tc>
          <w:tcPr>
            <w:tcW w:w="1346" w:type="dxa"/>
            <w:vAlign w:val="center"/>
          </w:tcPr>
          <w:p w14:paraId="181534B6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44.7</w:t>
            </w:r>
          </w:p>
        </w:tc>
        <w:tc>
          <w:tcPr>
            <w:tcW w:w="1334" w:type="dxa"/>
            <w:vAlign w:val="center"/>
          </w:tcPr>
          <w:p w14:paraId="0093F892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20.5</w:t>
            </w:r>
          </w:p>
        </w:tc>
        <w:tc>
          <w:tcPr>
            <w:tcW w:w="1270" w:type="dxa"/>
            <w:vAlign w:val="center"/>
          </w:tcPr>
          <w:p w14:paraId="47B3B355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5.9.</w:t>
            </w:r>
          </w:p>
        </w:tc>
        <w:tc>
          <w:tcPr>
            <w:tcW w:w="1388" w:type="dxa"/>
            <w:vAlign w:val="center"/>
          </w:tcPr>
          <w:p w14:paraId="53F3A9DB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101</w:t>
            </w:r>
          </w:p>
        </w:tc>
      </w:tr>
      <w:tr w:rsidR="006244E5" w:rsidRPr="00A7497E" w14:paraId="74602B09" w14:textId="77777777" w:rsidTr="00572099">
        <w:trPr>
          <w:trHeight w:val="419"/>
          <w:jc w:val="center"/>
        </w:trPr>
        <w:tc>
          <w:tcPr>
            <w:tcW w:w="1317" w:type="dxa"/>
            <w:vMerge/>
          </w:tcPr>
          <w:p w14:paraId="2A1B08D8" w14:textId="77777777" w:rsidR="006244E5" w:rsidRPr="00A7497E" w:rsidRDefault="006244E5" w:rsidP="00E007D1"/>
        </w:tc>
        <w:tc>
          <w:tcPr>
            <w:tcW w:w="1282" w:type="dxa"/>
            <w:vAlign w:val="center"/>
          </w:tcPr>
          <w:p w14:paraId="6A2F1A50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Range</w:t>
            </w:r>
          </w:p>
        </w:tc>
        <w:tc>
          <w:tcPr>
            <w:tcW w:w="1281" w:type="dxa"/>
            <w:vAlign w:val="center"/>
          </w:tcPr>
          <w:p w14:paraId="2C1152B8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50.8-95.2</w:t>
            </w:r>
          </w:p>
        </w:tc>
        <w:tc>
          <w:tcPr>
            <w:tcW w:w="1281" w:type="dxa"/>
            <w:vAlign w:val="center"/>
          </w:tcPr>
          <w:p w14:paraId="2F9F26A6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41.1-50.6</w:t>
            </w:r>
          </w:p>
        </w:tc>
        <w:tc>
          <w:tcPr>
            <w:tcW w:w="1346" w:type="dxa"/>
            <w:vAlign w:val="center"/>
          </w:tcPr>
          <w:p w14:paraId="079A84ED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40.7-49.9</w:t>
            </w:r>
          </w:p>
        </w:tc>
        <w:tc>
          <w:tcPr>
            <w:tcW w:w="1334" w:type="dxa"/>
            <w:vAlign w:val="center"/>
          </w:tcPr>
          <w:p w14:paraId="4DEA2AAC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13.1</w:t>
            </w:r>
          </w:p>
        </w:tc>
        <w:tc>
          <w:tcPr>
            <w:tcW w:w="1270" w:type="dxa"/>
            <w:vAlign w:val="center"/>
          </w:tcPr>
          <w:p w14:paraId="2B73F9A1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3.2-8.6</w:t>
            </w:r>
          </w:p>
        </w:tc>
        <w:tc>
          <w:tcPr>
            <w:tcW w:w="1388" w:type="dxa"/>
            <w:vAlign w:val="center"/>
          </w:tcPr>
          <w:p w14:paraId="1B3C539B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58.7-210.6</w:t>
            </w:r>
          </w:p>
        </w:tc>
      </w:tr>
    </w:tbl>
    <w:p w14:paraId="285FEE49" w14:textId="77777777" w:rsidR="006244E5" w:rsidRDefault="006244E5" w:rsidP="006244E5">
      <w:pPr>
        <w:pStyle w:val="Beschriftung"/>
        <w:keepNext/>
      </w:pPr>
    </w:p>
    <w:p w14:paraId="03451D4C" w14:textId="77777777" w:rsidR="006244E5" w:rsidRDefault="006244E5" w:rsidP="006244E5">
      <w:pPr>
        <w:pStyle w:val="Beschriftung"/>
        <w:keepNext/>
      </w:pPr>
      <w:r>
        <w:t xml:space="preserve">Table S3. Median and </w:t>
      </w:r>
      <w:proofErr w:type="spellStart"/>
      <w:r>
        <w:t>range</w:t>
      </w:r>
      <w:proofErr w:type="spellEnd"/>
      <w:r>
        <w:t xml:space="preserve"> </w:t>
      </w:r>
      <w:proofErr w:type="spellStart"/>
      <w:r w:rsidR="00FA1B02">
        <w:t>values</w:t>
      </w:r>
      <w:proofErr w:type="spellEnd"/>
      <w:r w:rsidR="00FA1B02">
        <w:t xml:space="preserve"> </w:t>
      </w:r>
      <w:proofErr w:type="spellStart"/>
      <w:r>
        <w:t>for</w:t>
      </w:r>
      <w:proofErr w:type="spellEnd"/>
      <w:r>
        <w:t xml:space="preserve"> time and </w:t>
      </w:r>
      <w:proofErr w:type="spellStart"/>
      <w:r>
        <w:t>frequency</w:t>
      </w:r>
      <w:proofErr w:type="spellEnd"/>
      <w:r>
        <w:t xml:space="preserve"> variables </w:t>
      </w:r>
      <w:proofErr w:type="spellStart"/>
      <w:r>
        <w:t>of</w:t>
      </w:r>
      <w:proofErr w:type="spellEnd"/>
      <w:r>
        <w:t xml:space="preserve"> social </w:t>
      </w:r>
      <w:proofErr w:type="spellStart"/>
      <w:r>
        <w:t>calls</w:t>
      </w:r>
      <w:proofErr w:type="spellEnd"/>
      <w:r>
        <w:t xml:space="preserve"> in urban and rural </w:t>
      </w:r>
      <w:proofErr w:type="spellStart"/>
      <w:r>
        <w:t>Pipistrellus</w:t>
      </w:r>
      <w:proofErr w:type="spellEnd"/>
      <w:r>
        <w:t xml:space="preserve"> </w:t>
      </w:r>
      <w:proofErr w:type="spellStart"/>
      <w:r>
        <w:t>pipistrellus</w:t>
      </w:r>
      <w:proofErr w:type="spellEnd"/>
      <w:r>
        <w:t xml:space="preserve">; </w:t>
      </w:r>
      <w:proofErr w:type="spellStart"/>
      <w:r>
        <w:t>F</w:t>
      </w:r>
      <w:r>
        <w:rPr>
          <w:vertAlign w:val="subscript"/>
        </w:rPr>
        <w:t>Start</w:t>
      </w:r>
      <w:proofErr w:type="spellEnd"/>
      <w:r>
        <w:t xml:space="preserve"> =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>; F</w:t>
      </w:r>
      <w:r w:rsidRPr="00D9400F">
        <w:rPr>
          <w:vertAlign w:val="subscript"/>
        </w:rPr>
        <w:t>end</w:t>
      </w:r>
      <w:r>
        <w:t xml:space="preserve"> = end </w:t>
      </w:r>
      <w:proofErr w:type="spellStart"/>
      <w:r>
        <w:t>frequency</w:t>
      </w:r>
      <w:proofErr w:type="spellEnd"/>
      <w:r>
        <w:t xml:space="preserve">; </w:t>
      </w:r>
      <w:proofErr w:type="spellStart"/>
      <w:r>
        <w:t>F</w:t>
      </w:r>
      <w:r>
        <w:rPr>
          <w:vertAlign w:val="subscript"/>
        </w:rPr>
        <w:t>maxE</w:t>
      </w:r>
      <w:proofErr w:type="spellEnd"/>
      <w:r>
        <w:t xml:space="preserve"> =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maximum; </w:t>
      </w:r>
      <w:proofErr w:type="spellStart"/>
      <w:r>
        <w:t>freq</w:t>
      </w:r>
      <w:proofErr w:type="spellEnd"/>
      <w:r>
        <w:t>=</w:t>
      </w:r>
      <w:proofErr w:type="spellStart"/>
      <w:r>
        <w:t>bandwith</w:t>
      </w:r>
      <w:proofErr w:type="spellEnd"/>
      <w:r>
        <w:t xml:space="preserve">; </w:t>
      </w:r>
      <w:proofErr w:type="spellStart"/>
      <w:r>
        <w:t>dur</w:t>
      </w:r>
      <w:proofErr w:type="spellEnd"/>
      <w:r>
        <w:t xml:space="preserve"> = </w:t>
      </w:r>
      <w:proofErr w:type="spellStart"/>
      <w:r>
        <w:t>duration</w:t>
      </w:r>
      <w:proofErr w:type="spellEnd"/>
      <w:r>
        <w:t xml:space="preserve">; IPI= </w:t>
      </w:r>
      <w:proofErr w:type="spellStart"/>
      <w:r>
        <w:t>Inter</w:t>
      </w:r>
      <w:proofErr w:type="spellEnd"/>
      <w:r>
        <w:t xml:space="preserve"> pulse </w:t>
      </w:r>
      <w:proofErr w:type="spellStart"/>
      <w:r>
        <w:t>interval</w:t>
      </w:r>
      <w:proofErr w:type="spellEnd"/>
      <w:r>
        <w:t xml:space="preserve">;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kHz, time variables in </w:t>
      </w:r>
      <w:proofErr w:type="spellStart"/>
      <w:r>
        <w:t>ms.</w:t>
      </w:r>
      <w:proofErr w:type="spellEnd"/>
      <w:r>
        <w:t xml:space="preserve"> </w:t>
      </w:r>
      <w:r w:rsidRPr="00C63B46">
        <w:t>n=</w:t>
      </w:r>
      <w:proofErr w:type="spellStart"/>
      <w:r>
        <w:t>n</w:t>
      </w:r>
      <w:r w:rsidRPr="00C63B46">
        <w:t>umber</w:t>
      </w:r>
      <w:proofErr w:type="spellEnd"/>
      <w:r w:rsidRPr="00C63B46">
        <w:t xml:space="preserve"> </w:t>
      </w:r>
      <w:proofErr w:type="spellStart"/>
      <w:r w:rsidRPr="00C63B46">
        <w:t>of</w:t>
      </w:r>
      <w:proofErr w:type="spellEnd"/>
      <w:r w:rsidRPr="00C63B46">
        <w:t xml:space="preserve"> </w:t>
      </w:r>
      <w:proofErr w:type="spellStart"/>
      <w:r w:rsidRPr="00C63B46">
        <w:t>calls</w:t>
      </w:r>
      <w:proofErr w:type="spellEnd"/>
      <w:r w:rsidRPr="00C63B46">
        <w:t xml:space="preserve"> </w:t>
      </w:r>
      <w:proofErr w:type="spellStart"/>
      <w:r w:rsidRPr="00C63B46">
        <w:t>used</w:t>
      </w:r>
      <w:proofErr w:type="spellEnd"/>
      <w:r w:rsidRPr="00C63B46">
        <w:t xml:space="preserve"> </w:t>
      </w:r>
      <w:proofErr w:type="spellStart"/>
      <w:r w:rsidRPr="00C63B46">
        <w:t>to</w:t>
      </w:r>
      <w:proofErr w:type="spellEnd"/>
      <w:r w:rsidRPr="00C63B46">
        <w:t xml:space="preserve"> </w:t>
      </w:r>
      <w:proofErr w:type="spellStart"/>
      <w:r w:rsidRPr="00C63B46">
        <w:t>calculate</w:t>
      </w:r>
      <w:proofErr w:type="spellEnd"/>
      <w:r w:rsidRPr="00C63B46">
        <w:t xml:space="preserve"> </w:t>
      </w:r>
      <w:proofErr w:type="spellStart"/>
      <w:r w:rsidRPr="00C63B46">
        <w:t>mean</w:t>
      </w:r>
      <w:proofErr w:type="spellEnd"/>
      <w:r>
        <w:t xml:space="preserve">; </w:t>
      </w:r>
      <w:r w:rsidRPr="00C63B46">
        <w:t xml:space="preserve">N= </w:t>
      </w:r>
      <w:proofErr w:type="spellStart"/>
      <w:r w:rsidRPr="00C63B46">
        <w:t>number</w:t>
      </w:r>
      <w:proofErr w:type="spellEnd"/>
      <w:r w:rsidRPr="00C63B46">
        <w:t xml:space="preserve"> </w:t>
      </w:r>
      <w:proofErr w:type="spellStart"/>
      <w:r w:rsidRPr="00C63B46">
        <w:t>of</w:t>
      </w:r>
      <w:proofErr w:type="spellEnd"/>
      <w:r w:rsidRPr="00C63B46">
        <w:t xml:space="preserve"> </w:t>
      </w:r>
      <w:proofErr w:type="spellStart"/>
      <w:r w:rsidRPr="00C63B46">
        <w:t>recorded</w:t>
      </w:r>
      <w:proofErr w:type="spellEnd"/>
      <w:r w:rsidRPr="00C63B46">
        <w:t xml:space="preserve"> </w:t>
      </w:r>
      <w:proofErr w:type="spellStart"/>
      <w:r w:rsidRPr="00C63B46">
        <w:t>sequences</w:t>
      </w:r>
      <w:proofErr w:type="spellEnd"/>
    </w:p>
    <w:tbl>
      <w:tblPr>
        <w:tblStyle w:val="Tabellenraster"/>
        <w:tblW w:w="9555" w:type="dxa"/>
        <w:jc w:val="center"/>
        <w:tblLook w:val="04A0" w:firstRow="1" w:lastRow="0" w:firstColumn="1" w:lastColumn="0" w:noHBand="0" w:noVBand="1"/>
      </w:tblPr>
      <w:tblGrid>
        <w:gridCol w:w="1382"/>
        <w:gridCol w:w="1345"/>
        <w:gridCol w:w="1343"/>
        <w:gridCol w:w="1343"/>
        <w:gridCol w:w="1411"/>
        <w:gridCol w:w="1399"/>
        <w:gridCol w:w="1332"/>
      </w:tblGrid>
      <w:tr w:rsidR="006244E5" w:rsidRPr="00A7497E" w14:paraId="37B00141" w14:textId="77777777" w:rsidTr="00572099">
        <w:trPr>
          <w:trHeight w:val="383"/>
          <w:jc w:val="center"/>
        </w:trPr>
        <w:tc>
          <w:tcPr>
            <w:tcW w:w="1382" w:type="dxa"/>
            <w:vMerge w:val="restart"/>
            <w:vAlign w:val="center"/>
          </w:tcPr>
          <w:p w14:paraId="0D81979F" w14:textId="77777777" w:rsidR="006244E5" w:rsidRPr="00A7497E" w:rsidRDefault="006244E5" w:rsidP="00572099">
            <w:pPr>
              <w:jc w:val="center"/>
              <w:rPr>
                <w:szCs w:val="36"/>
              </w:rPr>
            </w:pPr>
            <w:r w:rsidRPr="00A7497E">
              <w:rPr>
                <w:szCs w:val="36"/>
              </w:rPr>
              <w:t xml:space="preserve">Urban               </w:t>
            </w:r>
            <w:proofErr w:type="gramStart"/>
            <w:r w:rsidRPr="00A7497E">
              <w:rPr>
                <w:szCs w:val="36"/>
              </w:rPr>
              <w:t xml:space="preserve">  </w:t>
            </w:r>
            <w:r w:rsidRPr="00A7497E">
              <w:rPr>
                <w:rFonts w:cs="Times New Roman"/>
                <w:szCs w:val="24"/>
              </w:rPr>
              <w:t xml:space="preserve"> </w:t>
            </w:r>
            <w:r w:rsidRPr="00A7497E">
              <w:rPr>
                <w:rFonts w:cs="Times New Roman"/>
                <w:sz w:val="18"/>
                <w:szCs w:val="20"/>
              </w:rPr>
              <w:t>(</w:t>
            </w:r>
            <w:proofErr w:type="gramEnd"/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n=</w:t>
            </w:r>
            <w:r w:rsidR="00B228FF">
              <w:rPr>
                <w:rFonts w:ascii="Times New Roman" w:hAnsi="Times New Roman" w:cs="Times New Roman"/>
                <w:sz w:val="18"/>
                <w:szCs w:val="20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N=</w:t>
            </w:r>
            <w:r w:rsidR="00B228FF">
              <w:rPr>
                <w:rFonts w:ascii="Times New Roman" w:hAnsi="Times New Roman" w:cs="Times New Roman"/>
                <w:sz w:val="18"/>
                <w:szCs w:val="20"/>
              </w:rPr>
              <w:t>108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45" w:type="dxa"/>
            <w:vAlign w:val="center"/>
          </w:tcPr>
          <w:p w14:paraId="3FA26C48" w14:textId="77777777" w:rsidR="006244E5" w:rsidRPr="00A7497E" w:rsidRDefault="006244E5" w:rsidP="00E007D1">
            <w:pPr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520D581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F</w:t>
            </w:r>
            <w:r w:rsidRPr="00A7497E">
              <w:rPr>
                <w:szCs w:val="24"/>
                <w:vertAlign w:val="subscript"/>
              </w:rPr>
              <w:t>Start</w:t>
            </w:r>
            <w:proofErr w:type="spellEnd"/>
            <w:r w:rsidRPr="00A7497E">
              <w:rPr>
                <w:szCs w:val="24"/>
              </w:rPr>
              <w:t xml:space="preserve"> (kHz)</w:t>
            </w:r>
          </w:p>
        </w:tc>
        <w:tc>
          <w:tcPr>
            <w:tcW w:w="1343" w:type="dxa"/>
            <w:vAlign w:val="center"/>
          </w:tcPr>
          <w:p w14:paraId="67AB9D69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F</w:t>
            </w:r>
            <w:r w:rsidRPr="00A7497E">
              <w:rPr>
                <w:szCs w:val="24"/>
                <w:vertAlign w:val="subscript"/>
              </w:rPr>
              <w:t>maxE</w:t>
            </w:r>
            <w:proofErr w:type="spellEnd"/>
            <w:r w:rsidRPr="00A7497E">
              <w:rPr>
                <w:szCs w:val="24"/>
              </w:rPr>
              <w:t xml:space="preserve"> (kHz)</w:t>
            </w:r>
          </w:p>
        </w:tc>
        <w:tc>
          <w:tcPr>
            <w:tcW w:w="1411" w:type="dxa"/>
            <w:vAlign w:val="center"/>
          </w:tcPr>
          <w:p w14:paraId="3DC2C665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F</w:t>
            </w:r>
            <w:r w:rsidRPr="00A7497E">
              <w:rPr>
                <w:szCs w:val="24"/>
                <w:vertAlign w:val="subscript"/>
              </w:rPr>
              <w:t>End</w:t>
            </w:r>
            <w:proofErr w:type="spellEnd"/>
            <w:r w:rsidRPr="00A7497E">
              <w:rPr>
                <w:szCs w:val="24"/>
              </w:rPr>
              <w:t xml:space="preserve"> (kHz)</w:t>
            </w:r>
          </w:p>
        </w:tc>
        <w:tc>
          <w:tcPr>
            <w:tcW w:w="1399" w:type="dxa"/>
            <w:vAlign w:val="center"/>
          </w:tcPr>
          <w:p w14:paraId="7441F731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freq</w:t>
            </w:r>
            <w:proofErr w:type="spellEnd"/>
            <w:r w:rsidRPr="00A7497E">
              <w:rPr>
                <w:szCs w:val="24"/>
              </w:rPr>
              <w:t xml:space="preserve"> (kHz)</w:t>
            </w:r>
          </w:p>
        </w:tc>
        <w:tc>
          <w:tcPr>
            <w:tcW w:w="1332" w:type="dxa"/>
            <w:vAlign w:val="center"/>
          </w:tcPr>
          <w:p w14:paraId="21B4FF39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proofErr w:type="spellStart"/>
            <w:r w:rsidRPr="00A7497E">
              <w:rPr>
                <w:szCs w:val="24"/>
              </w:rPr>
              <w:t>dur</w:t>
            </w:r>
            <w:proofErr w:type="spellEnd"/>
            <w:r w:rsidRPr="00A7497E">
              <w:rPr>
                <w:szCs w:val="24"/>
              </w:rPr>
              <w:t xml:space="preserve"> (</w:t>
            </w:r>
            <w:proofErr w:type="spellStart"/>
            <w:r w:rsidRPr="00A7497E">
              <w:rPr>
                <w:szCs w:val="24"/>
              </w:rPr>
              <w:t>ms</w:t>
            </w:r>
            <w:proofErr w:type="spellEnd"/>
            <w:r w:rsidRPr="00A7497E">
              <w:rPr>
                <w:szCs w:val="24"/>
              </w:rPr>
              <w:t>)</w:t>
            </w:r>
          </w:p>
        </w:tc>
      </w:tr>
      <w:tr w:rsidR="006244E5" w:rsidRPr="00A7497E" w14:paraId="57B47F5C" w14:textId="77777777" w:rsidTr="006244E5">
        <w:trPr>
          <w:trHeight w:val="383"/>
          <w:jc w:val="center"/>
        </w:trPr>
        <w:tc>
          <w:tcPr>
            <w:tcW w:w="1382" w:type="dxa"/>
            <w:vMerge/>
          </w:tcPr>
          <w:p w14:paraId="762CE264" w14:textId="77777777" w:rsidR="006244E5" w:rsidRPr="00A7497E" w:rsidRDefault="006244E5" w:rsidP="00E007D1">
            <w:pPr>
              <w:rPr>
                <w:szCs w:val="36"/>
              </w:rPr>
            </w:pPr>
          </w:p>
        </w:tc>
        <w:tc>
          <w:tcPr>
            <w:tcW w:w="1345" w:type="dxa"/>
            <w:vAlign w:val="center"/>
          </w:tcPr>
          <w:p w14:paraId="32F616FB" w14:textId="77777777" w:rsidR="006244E5" w:rsidRPr="00A7497E" w:rsidRDefault="00572099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244E5" w:rsidRPr="00A7497E">
              <w:rPr>
                <w:szCs w:val="24"/>
              </w:rPr>
              <w:t>edian</w:t>
            </w:r>
          </w:p>
        </w:tc>
        <w:tc>
          <w:tcPr>
            <w:tcW w:w="1343" w:type="dxa"/>
            <w:vAlign w:val="center"/>
          </w:tcPr>
          <w:p w14:paraId="25DC7061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35.5</w:t>
            </w:r>
          </w:p>
        </w:tc>
        <w:tc>
          <w:tcPr>
            <w:tcW w:w="1343" w:type="dxa"/>
            <w:vAlign w:val="center"/>
          </w:tcPr>
          <w:p w14:paraId="14D000DF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20.5</w:t>
            </w:r>
          </w:p>
        </w:tc>
        <w:tc>
          <w:tcPr>
            <w:tcW w:w="1411" w:type="dxa"/>
            <w:vAlign w:val="center"/>
          </w:tcPr>
          <w:p w14:paraId="0ABE375E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1399" w:type="dxa"/>
            <w:vAlign w:val="center"/>
          </w:tcPr>
          <w:p w14:paraId="3E5EC825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19.5</w:t>
            </w:r>
          </w:p>
        </w:tc>
        <w:tc>
          <w:tcPr>
            <w:tcW w:w="1332" w:type="dxa"/>
            <w:vAlign w:val="center"/>
          </w:tcPr>
          <w:p w14:paraId="553119B8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6244E5" w:rsidRPr="00A7497E" w14:paraId="3B087FEB" w14:textId="77777777" w:rsidTr="006244E5">
        <w:trPr>
          <w:trHeight w:val="366"/>
          <w:jc w:val="center"/>
        </w:trPr>
        <w:tc>
          <w:tcPr>
            <w:tcW w:w="1382" w:type="dxa"/>
            <w:vMerge/>
          </w:tcPr>
          <w:p w14:paraId="4286CC41" w14:textId="77777777" w:rsidR="006244E5" w:rsidRPr="00A7497E" w:rsidRDefault="006244E5" w:rsidP="00E007D1">
            <w:pPr>
              <w:rPr>
                <w:szCs w:val="36"/>
              </w:rPr>
            </w:pPr>
          </w:p>
        </w:tc>
        <w:tc>
          <w:tcPr>
            <w:tcW w:w="1345" w:type="dxa"/>
            <w:vAlign w:val="center"/>
          </w:tcPr>
          <w:p w14:paraId="4856BFAA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Range</w:t>
            </w:r>
          </w:p>
        </w:tc>
        <w:tc>
          <w:tcPr>
            <w:tcW w:w="1343" w:type="dxa"/>
            <w:vAlign w:val="center"/>
          </w:tcPr>
          <w:p w14:paraId="4303C5BC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33.1-37.0</w:t>
            </w:r>
          </w:p>
        </w:tc>
        <w:tc>
          <w:tcPr>
            <w:tcW w:w="1343" w:type="dxa"/>
            <w:vAlign w:val="center"/>
          </w:tcPr>
          <w:p w14:paraId="02C58322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17.5-24.0</w:t>
            </w:r>
          </w:p>
        </w:tc>
        <w:tc>
          <w:tcPr>
            <w:tcW w:w="1411" w:type="dxa"/>
            <w:vAlign w:val="center"/>
          </w:tcPr>
          <w:p w14:paraId="6E446DEA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15.5-17.1</w:t>
            </w:r>
          </w:p>
        </w:tc>
        <w:tc>
          <w:tcPr>
            <w:tcW w:w="1399" w:type="dxa"/>
            <w:vAlign w:val="center"/>
          </w:tcPr>
          <w:p w14:paraId="52399D8C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17.5-22.2</w:t>
            </w:r>
          </w:p>
        </w:tc>
        <w:tc>
          <w:tcPr>
            <w:tcW w:w="1332" w:type="dxa"/>
            <w:vAlign w:val="center"/>
          </w:tcPr>
          <w:p w14:paraId="075DF83A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27.8-40.0</w:t>
            </w:r>
          </w:p>
        </w:tc>
      </w:tr>
      <w:tr w:rsidR="006244E5" w:rsidRPr="00A7497E" w14:paraId="10437957" w14:textId="77777777" w:rsidTr="00572099">
        <w:trPr>
          <w:trHeight w:val="401"/>
          <w:jc w:val="center"/>
        </w:trPr>
        <w:tc>
          <w:tcPr>
            <w:tcW w:w="1382" w:type="dxa"/>
            <w:vMerge w:val="restart"/>
            <w:vAlign w:val="center"/>
          </w:tcPr>
          <w:p w14:paraId="502032B6" w14:textId="77777777" w:rsidR="006244E5" w:rsidRPr="00A7497E" w:rsidRDefault="006244E5" w:rsidP="00572099">
            <w:pPr>
              <w:jc w:val="center"/>
              <w:rPr>
                <w:szCs w:val="36"/>
              </w:rPr>
            </w:pPr>
            <w:r w:rsidRPr="00A7497E">
              <w:rPr>
                <w:szCs w:val="36"/>
              </w:rPr>
              <w:t>Rural</w:t>
            </w:r>
          </w:p>
          <w:p w14:paraId="7E464FDF" w14:textId="77777777" w:rsidR="006244E5" w:rsidRPr="00A7497E" w:rsidRDefault="006244E5" w:rsidP="00572099">
            <w:pPr>
              <w:jc w:val="center"/>
              <w:rPr>
                <w:szCs w:val="36"/>
              </w:rPr>
            </w:pPr>
            <w:r w:rsidRPr="00A7497E">
              <w:rPr>
                <w:rFonts w:cs="Times New Roman"/>
                <w:sz w:val="18"/>
                <w:szCs w:val="20"/>
              </w:rPr>
              <w:t>(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n=1</w:t>
            </w:r>
            <w:r w:rsidR="00B228FF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N=</w:t>
            </w:r>
            <w:r w:rsidR="00B228FF">
              <w:rPr>
                <w:rFonts w:ascii="Times New Roman" w:hAnsi="Times New Roman" w:cs="Times New Roman"/>
                <w:sz w:val="18"/>
                <w:szCs w:val="20"/>
              </w:rPr>
              <w:t>108</w:t>
            </w:r>
            <w:r w:rsidRPr="00A7497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45" w:type="dxa"/>
            <w:vAlign w:val="center"/>
          </w:tcPr>
          <w:p w14:paraId="6A732375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Median</w:t>
            </w:r>
          </w:p>
        </w:tc>
        <w:tc>
          <w:tcPr>
            <w:tcW w:w="1343" w:type="dxa"/>
            <w:vAlign w:val="center"/>
          </w:tcPr>
          <w:p w14:paraId="5E242CAC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7497E">
              <w:rPr>
                <w:szCs w:val="24"/>
              </w:rPr>
              <w:t>4.5</w:t>
            </w:r>
          </w:p>
        </w:tc>
        <w:tc>
          <w:tcPr>
            <w:tcW w:w="1343" w:type="dxa"/>
            <w:vAlign w:val="center"/>
          </w:tcPr>
          <w:p w14:paraId="2CD2B547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</w:t>
            </w:r>
          </w:p>
        </w:tc>
        <w:tc>
          <w:tcPr>
            <w:tcW w:w="1411" w:type="dxa"/>
            <w:vAlign w:val="center"/>
          </w:tcPr>
          <w:p w14:paraId="2A8122C3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  <w:tc>
          <w:tcPr>
            <w:tcW w:w="1399" w:type="dxa"/>
            <w:vAlign w:val="center"/>
          </w:tcPr>
          <w:p w14:paraId="371F4EA2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A7497E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471874BE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27.5</w:t>
            </w:r>
          </w:p>
        </w:tc>
      </w:tr>
      <w:tr w:rsidR="006244E5" w:rsidRPr="00A7497E" w14:paraId="4E919CBE" w14:textId="77777777" w:rsidTr="00572099">
        <w:trPr>
          <w:trHeight w:val="456"/>
          <w:jc w:val="center"/>
        </w:trPr>
        <w:tc>
          <w:tcPr>
            <w:tcW w:w="1382" w:type="dxa"/>
            <w:vMerge/>
          </w:tcPr>
          <w:p w14:paraId="0792A9B1" w14:textId="77777777" w:rsidR="006244E5" w:rsidRPr="00A7497E" w:rsidRDefault="006244E5" w:rsidP="00E007D1"/>
        </w:tc>
        <w:tc>
          <w:tcPr>
            <w:tcW w:w="1345" w:type="dxa"/>
            <w:vAlign w:val="center"/>
          </w:tcPr>
          <w:p w14:paraId="2084AFCA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 w:rsidRPr="00A7497E">
              <w:rPr>
                <w:szCs w:val="24"/>
              </w:rPr>
              <w:t>Range</w:t>
            </w:r>
          </w:p>
        </w:tc>
        <w:tc>
          <w:tcPr>
            <w:tcW w:w="1343" w:type="dxa"/>
            <w:vAlign w:val="center"/>
          </w:tcPr>
          <w:p w14:paraId="1D588C9C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33.0-38.0</w:t>
            </w:r>
          </w:p>
        </w:tc>
        <w:tc>
          <w:tcPr>
            <w:tcW w:w="1343" w:type="dxa"/>
            <w:vAlign w:val="center"/>
          </w:tcPr>
          <w:p w14:paraId="6917074C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14.9-20.5</w:t>
            </w:r>
          </w:p>
        </w:tc>
        <w:tc>
          <w:tcPr>
            <w:tcW w:w="1411" w:type="dxa"/>
            <w:vAlign w:val="center"/>
          </w:tcPr>
          <w:p w14:paraId="337FEB84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14.9-20.5</w:t>
            </w:r>
          </w:p>
        </w:tc>
        <w:tc>
          <w:tcPr>
            <w:tcW w:w="1399" w:type="dxa"/>
            <w:vAlign w:val="center"/>
          </w:tcPr>
          <w:p w14:paraId="4D7AF8ED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13.6-26.7</w:t>
            </w:r>
          </w:p>
        </w:tc>
        <w:tc>
          <w:tcPr>
            <w:tcW w:w="1332" w:type="dxa"/>
            <w:vAlign w:val="center"/>
          </w:tcPr>
          <w:p w14:paraId="01AC6B00" w14:textId="77777777" w:rsidR="006244E5" w:rsidRPr="00A7497E" w:rsidRDefault="006244E5" w:rsidP="00E007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18.0-35.5</w:t>
            </w:r>
          </w:p>
        </w:tc>
      </w:tr>
    </w:tbl>
    <w:p w14:paraId="4336F247" w14:textId="77777777" w:rsidR="006244E5" w:rsidRDefault="006244E5" w:rsidP="006244E5"/>
    <w:p w14:paraId="2DF962B0" w14:textId="63C41F38" w:rsidR="00624A05" w:rsidRDefault="009B3BDC" w:rsidP="00473456">
      <w:pPr>
        <w:pStyle w:val="v1msonormal"/>
        <w:shd w:val="clear" w:color="auto" w:fill="FFFFFF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Median </w:t>
      </w:r>
      <w:proofErr w:type="spellStart"/>
      <w:r>
        <w:rPr>
          <w:szCs w:val="22"/>
        </w:rPr>
        <w:t>values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overall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activity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foraging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activity</w:t>
      </w:r>
      <w:proofErr w:type="spellEnd"/>
      <w:r>
        <w:rPr>
          <w:szCs w:val="22"/>
        </w:rPr>
        <w:t xml:space="preserve"> and social </w:t>
      </w:r>
      <w:proofErr w:type="spellStart"/>
      <w:r>
        <w:rPr>
          <w:szCs w:val="22"/>
        </w:rPr>
        <w:t>call</w:t>
      </w:r>
      <w:proofErr w:type="spellEnd"/>
      <w:r>
        <w:rPr>
          <w:szCs w:val="22"/>
        </w:rPr>
        <w:t xml:space="preserve"> rate on urban and rural </w:t>
      </w:r>
      <w:proofErr w:type="spellStart"/>
      <w:r>
        <w:rPr>
          <w:szCs w:val="22"/>
        </w:rPr>
        <w:t>study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sites</w:t>
      </w:r>
      <w:proofErr w:type="spellEnd"/>
    </w:p>
    <w:p w14:paraId="534BCC0F" w14:textId="77777777" w:rsid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1DE0384A" w14:textId="77777777" w:rsidR="00FE04D1" w:rsidRDefault="0081595A" w:rsidP="00FE04D1">
      <w:pPr>
        <w:pStyle w:val="Beschriftung"/>
        <w:keepNext/>
      </w:pPr>
      <w:r>
        <w:t>Tabl</w:t>
      </w:r>
      <w:r w:rsidR="00FE04D1">
        <w:t xml:space="preserve">e S4: Median </w:t>
      </w:r>
      <w:proofErr w:type="spellStart"/>
      <w:r w:rsidR="00C92FE2">
        <w:t>values</w:t>
      </w:r>
      <w:proofErr w:type="spellEnd"/>
      <w:r w:rsidR="00024075">
        <w:t xml:space="preserve"> </w:t>
      </w:r>
      <w:proofErr w:type="spellStart"/>
      <w:r w:rsidR="00FE04D1">
        <w:t>for</w:t>
      </w:r>
      <w:proofErr w:type="spellEnd"/>
      <w:r w:rsidR="00FE04D1">
        <w:t xml:space="preserve"> </w:t>
      </w:r>
      <w:proofErr w:type="spellStart"/>
      <w:r w:rsidR="00FE04D1">
        <w:t>ecological</w:t>
      </w:r>
      <w:proofErr w:type="spellEnd"/>
      <w:r w:rsidR="00FE04D1">
        <w:t xml:space="preserve"> </w:t>
      </w:r>
      <w:proofErr w:type="spellStart"/>
      <w:r w:rsidR="00FE04D1">
        <w:t>parameters</w:t>
      </w:r>
      <w:proofErr w:type="spellEnd"/>
      <w:r w:rsidR="00FE04D1">
        <w:t xml:space="preserve"> </w:t>
      </w:r>
      <w:proofErr w:type="spellStart"/>
      <w:r w:rsidR="00FE04D1">
        <w:t>for</w:t>
      </w:r>
      <w:proofErr w:type="spellEnd"/>
      <w:r w:rsidR="00FE04D1">
        <w:t xml:space="preserve"> </w:t>
      </w:r>
      <w:proofErr w:type="spellStart"/>
      <w:r w:rsidR="00FE04D1">
        <w:t>each</w:t>
      </w:r>
      <w:proofErr w:type="spellEnd"/>
      <w:r w:rsidR="00FE04D1">
        <w:t xml:space="preserve"> </w:t>
      </w:r>
      <w:proofErr w:type="spellStart"/>
      <w:r w:rsidR="00C92FE2">
        <w:t>of</w:t>
      </w:r>
      <w:proofErr w:type="spellEnd"/>
      <w:r w:rsidR="00C92FE2">
        <w:t xml:space="preserve"> </w:t>
      </w:r>
      <w:proofErr w:type="spellStart"/>
      <w:r w:rsidR="00C92FE2">
        <w:t>t</w:t>
      </w:r>
      <w:r w:rsidR="00FE04D1">
        <w:t>he</w:t>
      </w:r>
      <w:proofErr w:type="spellEnd"/>
      <w:r w:rsidR="00FE04D1">
        <w:t xml:space="preserve"> urban </w:t>
      </w:r>
      <w:proofErr w:type="spellStart"/>
      <w:r w:rsidR="00FE04D1">
        <w:t>sites</w:t>
      </w:r>
      <w:proofErr w:type="spellEnd"/>
      <w:r w:rsidR="00FE04D1">
        <w:t xml:space="preserve"> (a) and rural </w:t>
      </w:r>
      <w:proofErr w:type="spellStart"/>
      <w:r w:rsidR="00FE04D1">
        <w:t>sites</w:t>
      </w:r>
      <w:proofErr w:type="spellEnd"/>
      <w:r w:rsidR="00FE04D1">
        <w:t xml:space="preserve"> (b)</w:t>
      </w:r>
    </w:p>
    <w:tbl>
      <w:tblPr>
        <w:tblStyle w:val="Tabellenraster"/>
        <w:tblpPr w:leftFromText="141" w:rightFromText="141" w:vertAnchor="text" w:tblpXSpec="center" w:tblpY="1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993"/>
        <w:gridCol w:w="1189"/>
        <w:gridCol w:w="839"/>
        <w:gridCol w:w="841"/>
        <w:gridCol w:w="906"/>
        <w:gridCol w:w="780"/>
        <w:gridCol w:w="841"/>
      </w:tblGrid>
      <w:tr w:rsidR="00927A6C" w14:paraId="7F5616D7" w14:textId="77777777" w:rsidTr="00C92FE2">
        <w:trPr>
          <w:trHeight w:val="234"/>
        </w:trPr>
        <w:tc>
          <w:tcPr>
            <w:tcW w:w="1980" w:type="dxa"/>
          </w:tcPr>
          <w:p w14:paraId="3DDC2462" w14:textId="77777777" w:rsidR="00FE04D1" w:rsidRDefault="00FE04D1" w:rsidP="00C92FE2">
            <w:pPr>
              <w:pStyle w:val="v1msonormal"/>
              <w:spacing w:before="0" w:beforeAutospacing="0" w:after="0" w:afterAutospacing="0"/>
              <w:rPr>
                <w:b/>
                <w:szCs w:val="22"/>
              </w:rPr>
            </w:pPr>
            <w:r w:rsidRPr="000A0C07">
              <w:rPr>
                <w:b/>
                <w:sz w:val="22"/>
                <w:szCs w:val="22"/>
              </w:rPr>
              <w:t xml:space="preserve">(a) urban </w:t>
            </w:r>
            <w:proofErr w:type="spellStart"/>
            <w:r w:rsidRPr="000A0C07">
              <w:rPr>
                <w:b/>
                <w:sz w:val="22"/>
                <w:szCs w:val="22"/>
              </w:rPr>
              <w:t>sites</w:t>
            </w:r>
            <w:proofErr w:type="spellEnd"/>
          </w:p>
        </w:tc>
        <w:tc>
          <w:tcPr>
            <w:tcW w:w="2977" w:type="dxa"/>
            <w:gridSpan w:val="3"/>
          </w:tcPr>
          <w:p w14:paraId="416C919A" w14:textId="77777777" w:rsidR="00FE04D1" w:rsidRPr="00FE04D1" w:rsidRDefault="00FE04D1" w:rsidP="00C92FE2">
            <w:pPr>
              <w:pStyle w:val="v1msonormal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FE04D1">
              <w:rPr>
                <w:b/>
                <w:i/>
                <w:sz w:val="20"/>
                <w:szCs w:val="22"/>
              </w:rPr>
              <w:t>P.</w:t>
            </w:r>
            <w:r w:rsidR="000A0C07">
              <w:rPr>
                <w:b/>
                <w:i/>
                <w:sz w:val="20"/>
                <w:szCs w:val="22"/>
              </w:rPr>
              <w:t xml:space="preserve"> </w:t>
            </w:r>
            <w:proofErr w:type="spellStart"/>
            <w:r w:rsidRPr="00FE04D1">
              <w:rPr>
                <w:b/>
                <w:i/>
                <w:sz w:val="20"/>
                <w:szCs w:val="22"/>
              </w:rPr>
              <w:t>pipistrellus</w:t>
            </w:r>
            <w:proofErr w:type="spellEnd"/>
          </w:p>
        </w:tc>
        <w:tc>
          <w:tcPr>
            <w:tcW w:w="2869" w:type="dxa"/>
            <w:gridSpan w:val="3"/>
          </w:tcPr>
          <w:p w14:paraId="7D1A9E27" w14:textId="77777777" w:rsidR="00FE04D1" w:rsidRPr="00FE04D1" w:rsidRDefault="00FE04D1" w:rsidP="00C92FE2">
            <w:pPr>
              <w:pStyle w:val="v1msonormal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FE04D1">
              <w:rPr>
                <w:b/>
                <w:i/>
                <w:sz w:val="20"/>
                <w:szCs w:val="22"/>
              </w:rPr>
              <w:t xml:space="preserve">E. </w:t>
            </w:r>
            <w:proofErr w:type="spellStart"/>
            <w:r w:rsidRPr="00FE04D1">
              <w:rPr>
                <w:b/>
                <w:i/>
                <w:sz w:val="20"/>
                <w:szCs w:val="22"/>
              </w:rPr>
              <w:t>serotinus</w:t>
            </w:r>
            <w:proofErr w:type="spellEnd"/>
          </w:p>
        </w:tc>
        <w:tc>
          <w:tcPr>
            <w:tcW w:w="2527" w:type="dxa"/>
            <w:gridSpan w:val="3"/>
          </w:tcPr>
          <w:p w14:paraId="01323CE0" w14:textId="77777777" w:rsidR="00FE04D1" w:rsidRPr="00FE04D1" w:rsidRDefault="00FE04D1" w:rsidP="00C92FE2">
            <w:pPr>
              <w:pStyle w:val="v1msonormal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FE04D1">
              <w:rPr>
                <w:b/>
                <w:i/>
                <w:sz w:val="20"/>
                <w:szCs w:val="22"/>
              </w:rPr>
              <w:t xml:space="preserve">N. </w:t>
            </w:r>
            <w:proofErr w:type="spellStart"/>
            <w:r w:rsidRPr="00FE04D1">
              <w:rPr>
                <w:b/>
                <w:i/>
                <w:sz w:val="20"/>
                <w:szCs w:val="22"/>
              </w:rPr>
              <w:t>noctula</w:t>
            </w:r>
            <w:proofErr w:type="spellEnd"/>
          </w:p>
        </w:tc>
      </w:tr>
      <w:tr w:rsidR="00927A6C" w14:paraId="1AC0DBDC" w14:textId="77777777" w:rsidTr="00C92FE2">
        <w:trPr>
          <w:trHeight w:val="234"/>
        </w:trPr>
        <w:tc>
          <w:tcPr>
            <w:tcW w:w="1980" w:type="dxa"/>
          </w:tcPr>
          <w:p w14:paraId="24B74286" w14:textId="77777777" w:rsidR="00FE04D1" w:rsidRDefault="00FE04D1" w:rsidP="00C92FE2">
            <w:pPr>
              <w:pStyle w:val="v1msonormal"/>
              <w:spacing w:before="0" w:beforeAutospacing="0" w:after="0" w:afterAutospacing="0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7FDCD5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u1</w:t>
            </w:r>
          </w:p>
        </w:tc>
        <w:tc>
          <w:tcPr>
            <w:tcW w:w="992" w:type="dxa"/>
            <w:vAlign w:val="center"/>
          </w:tcPr>
          <w:p w14:paraId="35479C2A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u2</w:t>
            </w:r>
          </w:p>
        </w:tc>
        <w:tc>
          <w:tcPr>
            <w:tcW w:w="993" w:type="dxa"/>
            <w:vAlign w:val="center"/>
          </w:tcPr>
          <w:p w14:paraId="173EC75C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u3</w:t>
            </w:r>
          </w:p>
        </w:tc>
        <w:tc>
          <w:tcPr>
            <w:tcW w:w="1189" w:type="dxa"/>
            <w:vAlign w:val="center"/>
          </w:tcPr>
          <w:p w14:paraId="5E72CE91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u1</w:t>
            </w:r>
          </w:p>
        </w:tc>
        <w:tc>
          <w:tcPr>
            <w:tcW w:w="839" w:type="dxa"/>
            <w:vAlign w:val="center"/>
          </w:tcPr>
          <w:p w14:paraId="756B68B7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u2</w:t>
            </w:r>
          </w:p>
        </w:tc>
        <w:tc>
          <w:tcPr>
            <w:tcW w:w="841" w:type="dxa"/>
            <w:vAlign w:val="center"/>
          </w:tcPr>
          <w:p w14:paraId="349D1EBB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u3</w:t>
            </w:r>
          </w:p>
        </w:tc>
        <w:tc>
          <w:tcPr>
            <w:tcW w:w="906" w:type="dxa"/>
            <w:vAlign w:val="center"/>
          </w:tcPr>
          <w:p w14:paraId="0AB0B54B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u1</w:t>
            </w:r>
          </w:p>
        </w:tc>
        <w:tc>
          <w:tcPr>
            <w:tcW w:w="780" w:type="dxa"/>
            <w:vAlign w:val="center"/>
          </w:tcPr>
          <w:p w14:paraId="3827AB0E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u2</w:t>
            </w:r>
          </w:p>
        </w:tc>
        <w:tc>
          <w:tcPr>
            <w:tcW w:w="841" w:type="dxa"/>
            <w:vAlign w:val="center"/>
          </w:tcPr>
          <w:p w14:paraId="64DA0363" w14:textId="77777777" w:rsidR="00FE04D1" w:rsidRPr="00FE04D1" w:rsidRDefault="00FE04D1" w:rsidP="00325D0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4D1">
              <w:rPr>
                <w:sz w:val="22"/>
                <w:szCs w:val="22"/>
              </w:rPr>
              <w:t>u3</w:t>
            </w:r>
          </w:p>
        </w:tc>
      </w:tr>
      <w:tr w:rsidR="00927A6C" w:rsidRPr="00C92FE2" w14:paraId="12229714" w14:textId="77777777" w:rsidTr="00C92FE2">
        <w:trPr>
          <w:trHeight w:val="580"/>
        </w:trPr>
        <w:tc>
          <w:tcPr>
            <w:tcW w:w="1980" w:type="dxa"/>
          </w:tcPr>
          <w:p w14:paraId="73BF5A2A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 xml:space="preserve">Overall </w:t>
            </w:r>
            <w:proofErr w:type="spellStart"/>
            <w:r w:rsidRPr="00C92FE2">
              <w:rPr>
                <w:sz w:val="20"/>
                <w:szCs w:val="20"/>
              </w:rPr>
              <w:t>activity</w:t>
            </w:r>
            <w:proofErr w:type="spellEnd"/>
            <w:r w:rsidRPr="00C92FE2">
              <w:rPr>
                <w:sz w:val="20"/>
                <w:szCs w:val="20"/>
              </w:rPr>
              <w:t xml:space="preserve">       </w:t>
            </w:r>
            <w:proofErr w:type="gramStart"/>
            <w:r w:rsidRPr="00C92FE2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C92FE2">
              <w:rPr>
                <w:sz w:val="20"/>
                <w:szCs w:val="20"/>
              </w:rPr>
              <w:t>recordings</w:t>
            </w:r>
            <w:proofErr w:type="spellEnd"/>
            <w:r w:rsidRPr="00C92FE2">
              <w:rPr>
                <w:sz w:val="20"/>
                <w:szCs w:val="20"/>
              </w:rPr>
              <w:t>/h)</w:t>
            </w:r>
          </w:p>
        </w:tc>
        <w:tc>
          <w:tcPr>
            <w:tcW w:w="992" w:type="dxa"/>
            <w:vAlign w:val="center"/>
          </w:tcPr>
          <w:p w14:paraId="0EF2F5E5" w14:textId="77777777" w:rsidR="00FE04D1" w:rsidRPr="00C92FE2" w:rsidRDefault="00024075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4.9</w:t>
            </w:r>
          </w:p>
        </w:tc>
        <w:tc>
          <w:tcPr>
            <w:tcW w:w="992" w:type="dxa"/>
            <w:vAlign w:val="center"/>
          </w:tcPr>
          <w:p w14:paraId="19D016C1" w14:textId="77777777" w:rsidR="00FE04D1" w:rsidRPr="00C92FE2" w:rsidRDefault="00927A6C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6.6</w:t>
            </w:r>
          </w:p>
        </w:tc>
        <w:tc>
          <w:tcPr>
            <w:tcW w:w="993" w:type="dxa"/>
            <w:vAlign w:val="center"/>
          </w:tcPr>
          <w:p w14:paraId="5F05A54E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189" w:type="dxa"/>
            <w:vAlign w:val="center"/>
          </w:tcPr>
          <w:p w14:paraId="76A38E34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839" w:type="dxa"/>
            <w:vAlign w:val="center"/>
          </w:tcPr>
          <w:p w14:paraId="7B935E2B" w14:textId="77777777" w:rsidR="00FE04D1" w:rsidRPr="00C92FE2" w:rsidRDefault="00927A6C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4.9</w:t>
            </w:r>
          </w:p>
        </w:tc>
        <w:tc>
          <w:tcPr>
            <w:tcW w:w="841" w:type="dxa"/>
            <w:vAlign w:val="center"/>
          </w:tcPr>
          <w:p w14:paraId="5F908C6F" w14:textId="77777777" w:rsidR="00FE04D1" w:rsidRPr="00C92FE2" w:rsidRDefault="00927A6C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3</w:t>
            </w:r>
            <w:r w:rsidR="00C92FE2">
              <w:rPr>
                <w:sz w:val="20"/>
                <w:szCs w:val="20"/>
              </w:rPr>
              <w:t>.2</w:t>
            </w:r>
          </w:p>
        </w:tc>
        <w:tc>
          <w:tcPr>
            <w:tcW w:w="906" w:type="dxa"/>
            <w:vAlign w:val="center"/>
          </w:tcPr>
          <w:p w14:paraId="47685F0E" w14:textId="77777777" w:rsidR="00FE04D1" w:rsidRPr="00C92FE2" w:rsidRDefault="00927A6C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0.4</w:t>
            </w:r>
          </w:p>
        </w:tc>
        <w:tc>
          <w:tcPr>
            <w:tcW w:w="780" w:type="dxa"/>
            <w:vAlign w:val="center"/>
          </w:tcPr>
          <w:p w14:paraId="0A138909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41" w:type="dxa"/>
            <w:vAlign w:val="center"/>
          </w:tcPr>
          <w:p w14:paraId="2A7CD5CB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927A6C" w:rsidRPr="00C92FE2" w14:paraId="48237229" w14:textId="77777777" w:rsidTr="00C92FE2">
        <w:trPr>
          <w:trHeight w:val="427"/>
        </w:trPr>
        <w:tc>
          <w:tcPr>
            <w:tcW w:w="1980" w:type="dxa"/>
          </w:tcPr>
          <w:p w14:paraId="540A94EF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92FE2">
              <w:rPr>
                <w:sz w:val="20"/>
                <w:szCs w:val="20"/>
              </w:rPr>
              <w:t>Foraging</w:t>
            </w:r>
            <w:proofErr w:type="spellEnd"/>
            <w:r w:rsidRPr="00C92FE2">
              <w:rPr>
                <w:sz w:val="20"/>
                <w:szCs w:val="20"/>
              </w:rPr>
              <w:t xml:space="preserve"> </w:t>
            </w:r>
            <w:proofErr w:type="spellStart"/>
            <w:r w:rsidRPr="00C92FE2">
              <w:rPr>
                <w:sz w:val="20"/>
                <w:szCs w:val="20"/>
              </w:rPr>
              <w:t>activity</w:t>
            </w:r>
            <w:proofErr w:type="spellEnd"/>
          </w:p>
          <w:p w14:paraId="35007748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 xml:space="preserve">(final </w:t>
            </w:r>
            <w:proofErr w:type="spellStart"/>
            <w:r w:rsidRPr="00C92FE2">
              <w:rPr>
                <w:sz w:val="20"/>
                <w:szCs w:val="20"/>
              </w:rPr>
              <w:t>buzzes</w:t>
            </w:r>
            <w:proofErr w:type="spellEnd"/>
            <w:r w:rsidRPr="00C92FE2">
              <w:rPr>
                <w:sz w:val="20"/>
                <w:szCs w:val="20"/>
              </w:rPr>
              <w:t>/</w:t>
            </w:r>
            <w:proofErr w:type="spellStart"/>
            <w:r w:rsidRPr="00C92FE2">
              <w:rPr>
                <w:sz w:val="20"/>
                <w:szCs w:val="20"/>
              </w:rPr>
              <w:t>night</w:t>
            </w:r>
            <w:proofErr w:type="spellEnd"/>
            <w:r w:rsidRPr="00C92FE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DECD28E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992" w:type="dxa"/>
            <w:vAlign w:val="center"/>
          </w:tcPr>
          <w:p w14:paraId="315683C7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72C7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14:paraId="5F0A3C3D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89" w:type="dxa"/>
            <w:vAlign w:val="center"/>
          </w:tcPr>
          <w:p w14:paraId="26B5CCEC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39" w:type="dxa"/>
            <w:vAlign w:val="center"/>
          </w:tcPr>
          <w:p w14:paraId="27834EA1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41" w:type="dxa"/>
            <w:vAlign w:val="center"/>
          </w:tcPr>
          <w:p w14:paraId="736C489B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906" w:type="dxa"/>
            <w:vAlign w:val="center"/>
          </w:tcPr>
          <w:p w14:paraId="1C2A6583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80" w:type="dxa"/>
            <w:vAlign w:val="center"/>
          </w:tcPr>
          <w:p w14:paraId="2185082A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41" w:type="dxa"/>
            <w:vAlign w:val="center"/>
          </w:tcPr>
          <w:p w14:paraId="0797083B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C92FE2" w:rsidRPr="00C92FE2" w14:paraId="49F1F0A9" w14:textId="77777777" w:rsidTr="00C92FE2">
        <w:trPr>
          <w:trHeight w:val="427"/>
        </w:trPr>
        <w:tc>
          <w:tcPr>
            <w:tcW w:w="1980" w:type="dxa"/>
          </w:tcPr>
          <w:p w14:paraId="12DF679D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92FE2">
              <w:rPr>
                <w:sz w:val="20"/>
                <w:szCs w:val="20"/>
              </w:rPr>
              <w:t>Social</w:t>
            </w:r>
            <w:proofErr w:type="spellEnd"/>
            <w:r w:rsidRPr="00C92FE2">
              <w:rPr>
                <w:sz w:val="20"/>
                <w:szCs w:val="20"/>
              </w:rPr>
              <w:t xml:space="preserve"> </w:t>
            </w:r>
            <w:proofErr w:type="spellStart"/>
            <w:r w:rsidRPr="00C92FE2">
              <w:rPr>
                <w:sz w:val="20"/>
                <w:szCs w:val="20"/>
              </w:rPr>
              <w:t>call</w:t>
            </w:r>
            <w:proofErr w:type="spellEnd"/>
            <w:r w:rsidRPr="00C92FE2">
              <w:rPr>
                <w:sz w:val="20"/>
                <w:szCs w:val="20"/>
              </w:rPr>
              <w:t xml:space="preserve"> rate (</w:t>
            </w:r>
            <w:proofErr w:type="spellStart"/>
            <w:r w:rsidRPr="00C92FE2">
              <w:rPr>
                <w:sz w:val="20"/>
                <w:szCs w:val="20"/>
              </w:rPr>
              <w:t>calls</w:t>
            </w:r>
            <w:proofErr w:type="spellEnd"/>
            <w:r w:rsidRPr="00C92FE2">
              <w:rPr>
                <w:sz w:val="20"/>
                <w:szCs w:val="20"/>
              </w:rPr>
              <w:t>/</w:t>
            </w:r>
            <w:proofErr w:type="spellStart"/>
            <w:r w:rsidRPr="00C92FE2">
              <w:rPr>
                <w:sz w:val="20"/>
                <w:szCs w:val="20"/>
              </w:rPr>
              <w:t>night</w:t>
            </w:r>
            <w:proofErr w:type="spellEnd"/>
            <w:r w:rsidRPr="00C92FE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F96A7E9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  <w:vAlign w:val="center"/>
          </w:tcPr>
          <w:p w14:paraId="71B4601F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vAlign w:val="center"/>
          </w:tcPr>
          <w:p w14:paraId="2FD8743B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89" w:type="dxa"/>
            <w:vAlign w:val="center"/>
          </w:tcPr>
          <w:p w14:paraId="1DEFD5B9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39" w:type="dxa"/>
            <w:vAlign w:val="center"/>
          </w:tcPr>
          <w:p w14:paraId="14E6EF54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41" w:type="dxa"/>
            <w:vAlign w:val="center"/>
          </w:tcPr>
          <w:p w14:paraId="7A782A2D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906" w:type="dxa"/>
            <w:vAlign w:val="center"/>
          </w:tcPr>
          <w:p w14:paraId="6EF6F72E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80" w:type="dxa"/>
            <w:vAlign w:val="center"/>
          </w:tcPr>
          <w:p w14:paraId="1375A337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41" w:type="dxa"/>
            <w:vAlign w:val="center"/>
          </w:tcPr>
          <w:p w14:paraId="23032011" w14:textId="77777777" w:rsidR="00C92FE2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</w:tbl>
    <w:p w14:paraId="61AA5DFB" w14:textId="77777777" w:rsidR="00473456" w:rsidRPr="00C92FE2" w:rsidRDefault="00473456" w:rsidP="00572099">
      <w:pPr>
        <w:pStyle w:val="v1msonormal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Tabellenraster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033"/>
        <w:gridCol w:w="1126"/>
        <w:gridCol w:w="836"/>
        <w:gridCol w:w="838"/>
        <w:gridCol w:w="901"/>
        <w:gridCol w:w="776"/>
        <w:gridCol w:w="841"/>
      </w:tblGrid>
      <w:tr w:rsidR="00FE04D1" w:rsidRPr="00C92FE2" w14:paraId="5352F29D" w14:textId="77777777" w:rsidTr="00325D09">
        <w:trPr>
          <w:trHeight w:val="245"/>
          <w:jc w:val="center"/>
        </w:trPr>
        <w:tc>
          <w:tcPr>
            <w:tcW w:w="1980" w:type="dxa"/>
          </w:tcPr>
          <w:p w14:paraId="5FE4572D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FE2">
              <w:rPr>
                <w:b/>
                <w:sz w:val="20"/>
                <w:szCs w:val="20"/>
              </w:rPr>
              <w:t xml:space="preserve">(b) rural </w:t>
            </w:r>
            <w:proofErr w:type="spellStart"/>
            <w:r w:rsidRPr="00C92FE2">
              <w:rPr>
                <w:b/>
                <w:sz w:val="20"/>
                <w:szCs w:val="20"/>
              </w:rPr>
              <w:t>sites</w:t>
            </w:r>
            <w:proofErr w:type="spellEnd"/>
          </w:p>
        </w:tc>
        <w:tc>
          <w:tcPr>
            <w:tcW w:w="3017" w:type="dxa"/>
            <w:gridSpan w:val="3"/>
          </w:tcPr>
          <w:p w14:paraId="55F12FE4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FE2">
              <w:rPr>
                <w:b/>
                <w:i/>
                <w:sz w:val="20"/>
                <w:szCs w:val="20"/>
              </w:rPr>
              <w:t>P.</w:t>
            </w:r>
            <w:r w:rsidR="000A0C0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2FE2">
              <w:rPr>
                <w:b/>
                <w:i/>
                <w:sz w:val="20"/>
                <w:szCs w:val="20"/>
              </w:rPr>
              <w:t>pipistrellus</w:t>
            </w:r>
            <w:proofErr w:type="spellEnd"/>
          </w:p>
        </w:tc>
        <w:tc>
          <w:tcPr>
            <w:tcW w:w="2800" w:type="dxa"/>
            <w:gridSpan w:val="3"/>
          </w:tcPr>
          <w:p w14:paraId="20C70FCD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FE2">
              <w:rPr>
                <w:b/>
                <w:i/>
                <w:sz w:val="20"/>
                <w:szCs w:val="20"/>
              </w:rPr>
              <w:t xml:space="preserve">E. </w:t>
            </w:r>
            <w:proofErr w:type="spellStart"/>
            <w:r w:rsidRPr="00C92FE2">
              <w:rPr>
                <w:b/>
                <w:i/>
                <w:sz w:val="20"/>
                <w:szCs w:val="20"/>
              </w:rPr>
              <w:t>serotinus</w:t>
            </w:r>
            <w:proofErr w:type="spellEnd"/>
          </w:p>
        </w:tc>
        <w:tc>
          <w:tcPr>
            <w:tcW w:w="2518" w:type="dxa"/>
            <w:gridSpan w:val="3"/>
          </w:tcPr>
          <w:p w14:paraId="0FB5FA60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FE2">
              <w:rPr>
                <w:b/>
                <w:i/>
                <w:sz w:val="20"/>
                <w:szCs w:val="20"/>
              </w:rPr>
              <w:t xml:space="preserve">N. </w:t>
            </w:r>
            <w:proofErr w:type="spellStart"/>
            <w:r w:rsidRPr="00C92FE2">
              <w:rPr>
                <w:b/>
                <w:i/>
                <w:sz w:val="20"/>
                <w:szCs w:val="20"/>
              </w:rPr>
              <w:t>noctula</w:t>
            </w:r>
            <w:proofErr w:type="spellEnd"/>
          </w:p>
        </w:tc>
      </w:tr>
      <w:tr w:rsidR="00C92FE2" w:rsidRPr="00C92FE2" w14:paraId="23A29966" w14:textId="77777777" w:rsidTr="00325D09">
        <w:trPr>
          <w:trHeight w:val="245"/>
          <w:jc w:val="center"/>
        </w:trPr>
        <w:tc>
          <w:tcPr>
            <w:tcW w:w="1980" w:type="dxa"/>
          </w:tcPr>
          <w:p w14:paraId="303264A7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4C1890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u1</w:t>
            </w:r>
          </w:p>
        </w:tc>
        <w:tc>
          <w:tcPr>
            <w:tcW w:w="992" w:type="dxa"/>
            <w:vAlign w:val="center"/>
          </w:tcPr>
          <w:p w14:paraId="3A570123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u2</w:t>
            </w:r>
          </w:p>
        </w:tc>
        <w:tc>
          <w:tcPr>
            <w:tcW w:w="1033" w:type="dxa"/>
            <w:vAlign w:val="center"/>
          </w:tcPr>
          <w:p w14:paraId="36D377BA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u3</w:t>
            </w:r>
          </w:p>
        </w:tc>
        <w:tc>
          <w:tcPr>
            <w:tcW w:w="1126" w:type="dxa"/>
            <w:vAlign w:val="center"/>
          </w:tcPr>
          <w:p w14:paraId="69A4F681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u1</w:t>
            </w:r>
          </w:p>
        </w:tc>
        <w:tc>
          <w:tcPr>
            <w:tcW w:w="836" w:type="dxa"/>
            <w:vAlign w:val="center"/>
          </w:tcPr>
          <w:p w14:paraId="7891AE31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u2</w:t>
            </w:r>
          </w:p>
        </w:tc>
        <w:tc>
          <w:tcPr>
            <w:tcW w:w="838" w:type="dxa"/>
            <w:vAlign w:val="center"/>
          </w:tcPr>
          <w:p w14:paraId="07D48D42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u3</w:t>
            </w:r>
          </w:p>
        </w:tc>
        <w:tc>
          <w:tcPr>
            <w:tcW w:w="901" w:type="dxa"/>
            <w:vAlign w:val="center"/>
          </w:tcPr>
          <w:p w14:paraId="003BCF68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u1</w:t>
            </w:r>
          </w:p>
        </w:tc>
        <w:tc>
          <w:tcPr>
            <w:tcW w:w="776" w:type="dxa"/>
            <w:vAlign w:val="center"/>
          </w:tcPr>
          <w:p w14:paraId="119085A0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u2</w:t>
            </w:r>
          </w:p>
        </w:tc>
        <w:tc>
          <w:tcPr>
            <w:tcW w:w="841" w:type="dxa"/>
            <w:vAlign w:val="center"/>
          </w:tcPr>
          <w:p w14:paraId="7063117B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325D09">
              <w:rPr>
                <w:sz w:val="22"/>
                <w:szCs w:val="20"/>
              </w:rPr>
              <w:t>u3</w:t>
            </w:r>
          </w:p>
        </w:tc>
      </w:tr>
      <w:tr w:rsidR="00C92FE2" w:rsidRPr="00C92FE2" w14:paraId="321FC25B" w14:textId="77777777" w:rsidTr="00325D09">
        <w:trPr>
          <w:trHeight w:val="490"/>
          <w:jc w:val="center"/>
        </w:trPr>
        <w:tc>
          <w:tcPr>
            <w:tcW w:w="1980" w:type="dxa"/>
          </w:tcPr>
          <w:p w14:paraId="2FE39188" w14:textId="77777777" w:rsidR="00FE04D1" w:rsidRPr="00C92FE2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 xml:space="preserve">Overall </w:t>
            </w:r>
            <w:proofErr w:type="spellStart"/>
            <w:r w:rsidRPr="00C92FE2">
              <w:rPr>
                <w:sz w:val="20"/>
                <w:szCs w:val="20"/>
              </w:rPr>
              <w:t>activity</w:t>
            </w:r>
            <w:proofErr w:type="spellEnd"/>
            <w:r w:rsidRPr="00C92FE2">
              <w:rPr>
                <w:sz w:val="20"/>
                <w:szCs w:val="20"/>
              </w:rPr>
              <w:t xml:space="preserve">       </w:t>
            </w:r>
            <w:proofErr w:type="gramStart"/>
            <w:r w:rsidRPr="00C92FE2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C92FE2">
              <w:rPr>
                <w:sz w:val="20"/>
                <w:szCs w:val="20"/>
              </w:rPr>
              <w:t>recordings</w:t>
            </w:r>
            <w:proofErr w:type="spellEnd"/>
            <w:r w:rsidRPr="00C92FE2">
              <w:rPr>
                <w:sz w:val="20"/>
                <w:szCs w:val="20"/>
              </w:rPr>
              <w:t>/h)</w:t>
            </w:r>
          </w:p>
        </w:tc>
        <w:tc>
          <w:tcPr>
            <w:tcW w:w="992" w:type="dxa"/>
            <w:vAlign w:val="center"/>
          </w:tcPr>
          <w:p w14:paraId="4852E014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2.8</w:t>
            </w:r>
          </w:p>
        </w:tc>
        <w:tc>
          <w:tcPr>
            <w:tcW w:w="992" w:type="dxa"/>
            <w:vAlign w:val="center"/>
          </w:tcPr>
          <w:p w14:paraId="2E6B38A8" w14:textId="77777777" w:rsidR="00FE04D1" w:rsidRPr="00C92FE2" w:rsidRDefault="00927A6C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1.5</w:t>
            </w:r>
          </w:p>
        </w:tc>
        <w:tc>
          <w:tcPr>
            <w:tcW w:w="1033" w:type="dxa"/>
            <w:vAlign w:val="center"/>
          </w:tcPr>
          <w:p w14:paraId="62695341" w14:textId="77777777" w:rsidR="00FE04D1" w:rsidRPr="00C92FE2" w:rsidRDefault="00927A6C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0.9</w:t>
            </w:r>
          </w:p>
        </w:tc>
        <w:tc>
          <w:tcPr>
            <w:tcW w:w="1126" w:type="dxa"/>
            <w:vAlign w:val="center"/>
          </w:tcPr>
          <w:p w14:paraId="7DABD6BA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836" w:type="dxa"/>
            <w:vAlign w:val="center"/>
          </w:tcPr>
          <w:p w14:paraId="44598FE9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38" w:type="dxa"/>
            <w:vAlign w:val="center"/>
          </w:tcPr>
          <w:p w14:paraId="3AF2BEAD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1" w:type="dxa"/>
            <w:vAlign w:val="center"/>
          </w:tcPr>
          <w:p w14:paraId="0D89D54F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6" w:type="dxa"/>
            <w:vAlign w:val="center"/>
          </w:tcPr>
          <w:p w14:paraId="7BC8DEBC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41" w:type="dxa"/>
            <w:vAlign w:val="center"/>
          </w:tcPr>
          <w:p w14:paraId="6415C47C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</w:tr>
      <w:tr w:rsidR="00C92FE2" w14:paraId="583E37D6" w14:textId="77777777" w:rsidTr="00325D09">
        <w:trPr>
          <w:trHeight w:val="542"/>
          <w:jc w:val="center"/>
        </w:trPr>
        <w:tc>
          <w:tcPr>
            <w:tcW w:w="1980" w:type="dxa"/>
          </w:tcPr>
          <w:p w14:paraId="076FF9D3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spellStart"/>
            <w:r w:rsidRPr="00325D09">
              <w:rPr>
                <w:sz w:val="20"/>
                <w:szCs w:val="22"/>
              </w:rPr>
              <w:t>Foraging</w:t>
            </w:r>
            <w:proofErr w:type="spellEnd"/>
            <w:r w:rsidRPr="00325D09">
              <w:rPr>
                <w:sz w:val="20"/>
                <w:szCs w:val="22"/>
              </w:rPr>
              <w:t xml:space="preserve"> </w:t>
            </w:r>
            <w:proofErr w:type="spellStart"/>
            <w:r w:rsidRPr="00325D09">
              <w:rPr>
                <w:sz w:val="20"/>
                <w:szCs w:val="22"/>
              </w:rPr>
              <w:t>activity</w:t>
            </w:r>
            <w:proofErr w:type="spellEnd"/>
          </w:p>
          <w:p w14:paraId="6DCFC22E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325D09">
              <w:rPr>
                <w:sz w:val="20"/>
                <w:szCs w:val="22"/>
              </w:rPr>
              <w:t xml:space="preserve">(final </w:t>
            </w:r>
            <w:proofErr w:type="spellStart"/>
            <w:r w:rsidRPr="00325D09">
              <w:rPr>
                <w:sz w:val="20"/>
                <w:szCs w:val="22"/>
              </w:rPr>
              <w:t>buzzes</w:t>
            </w:r>
            <w:proofErr w:type="spellEnd"/>
            <w:r w:rsidRPr="00325D09">
              <w:rPr>
                <w:sz w:val="20"/>
                <w:szCs w:val="22"/>
              </w:rPr>
              <w:t>/</w:t>
            </w:r>
            <w:proofErr w:type="spellStart"/>
            <w:r w:rsidRPr="00325D09">
              <w:rPr>
                <w:sz w:val="20"/>
                <w:szCs w:val="22"/>
              </w:rPr>
              <w:t>night</w:t>
            </w:r>
            <w:proofErr w:type="spellEnd"/>
            <w:r w:rsidRPr="00325D09">
              <w:rPr>
                <w:sz w:val="20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6595732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992" w:type="dxa"/>
            <w:vAlign w:val="center"/>
          </w:tcPr>
          <w:p w14:paraId="3C72F600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´2.1</w:t>
            </w:r>
          </w:p>
        </w:tc>
        <w:tc>
          <w:tcPr>
            <w:tcW w:w="1033" w:type="dxa"/>
            <w:vAlign w:val="center"/>
          </w:tcPr>
          <w:p w14:paraId="215439DD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26" w:type="dxa"/>
            <w:vAlign w:val="center"/>
          </w:tcPr>
          <w:p w14:paraId="373CA149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836" w:type="dxa"/>
            <w:vAlign w:val="center"/>
          </w:tcPr>
          <w:p w14:paraId="2C044ABB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838" w:type="dxa"/>
            <w:vAlign w:val="center"/>
          </w:tcPr>
          <w:p w14:paraId="3BB3C046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901" w:type="dxa"/>
            <w:vAlign w:val="center"/>
          </w:tcPr>
          <w:p w14:paraId="79E41D2F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6" w:type="dxa"/>
            <w:vAlign w:val="center"/>
          </w:tcPr>
          <w:p w14:paraId="3F409986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41" w:type="dxa"/>
            <w:vAlign w:val="center"/>
          </w:tcPr>
          <w:p w14:paraId="2C4E707D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C92FE2" w14:paraId="401FA88C" w14:textId="77777777" w:rsidTr="00325D09">
        <w:trPr>
          <w:trHeight w:val="542"/>
          <w:jc w:val="center"/>
        </w:trPr>
        <w:tc>
          <w:tcPr>
            <w:tcW w:w="1980" w:type="dxa"/>
          </w:tcPr>
          <w:p w14:paraId="65F0F112" w14:textId="77777777" w:rsidR="00FE04D1" w:rsidRPr="00325D09" w:rsidRDefault="00FE04D1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spellStart"/>
            <w:r w:rsidRPr="00325D09">
              <w:rPr>
                <w:sz w:val="20"/>
                <w:szCs w:val="22"/>
              </w:rPr>
              <w:t>Social</w:t>
            </w:r>
            <w:proofErr w:type="spellEnd"/>
            <w:r w:rsidRPr="00325D09">
              <w:rPr>
                <w:sz w:val="20"/>
                <w:szCs w:val="22"/>
              </w:rPr>
              <w:t xml:space="preserve"> </w:t>
            </w:r>
            <w:proofErr w:type="spellStart"/>
            <w:r w:rsidRPr="00325D09">
              <w:rPr>
                <w:sz w:val="20"/>
                <w:szCs w:val="22"/>
              </w:rPr>
              <w:t>call</w:t>
            </w:r>
            <w:proofErr w:type="spellEnd"/>
            <w:r w:rsidRPr="00325D09">
              <w:rPr>
                <w:sz w:val="20"/>
                <w:szCs w:val="22"/>
              </w:rPr>
              <w:t xml:space="preserve"> rate (</w:t>
            </w:r>
            <w:proofErr w:type="spellStart"/>
            <w:r w:rsidRPr="00325D09">
              <w:rPr>
                <w:sz w:val="20"/>
                <w:szCs w:val="22"/>
              </w:rPr>
              <w:t>calls</w:t>
            </w:r>
            <w:proofErr w:type="spellEnd"/>
            <w:r w:rsidRPr="00325D09">
              <w:rPr>
                <w:sz w:val="20"/>
                <w:szCs w:val="22"/>
              </w:rPr>
              <w:t>/</w:t>
            </w:r>
            <w:proofErr w:type="spellStart"/>
            <w:r w:rsidRPr="00325D09">
              <w:rPr>
                <w:sz w:val="20"/>
                <w:szCs w:val="22"/>
              </w:rPr>
              <w:t>night</w:t>
            </w:r>
            <w:proofErr w:type="spellEnd"/>
            <w:r w:rsidRPr="00325D09">
              <w:rPr>
                <w:sz w:val="20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75D21B1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992" w:type="dxa"/>
            <w:vAlign w:val="center"/>
          </w:tcPr>
          <w:p w14:paraId="7AE2818D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033" w:type="dxa"/>
            <w:vAlign w:val="center"/>
          </w:tcPr>
          <w:p w14:paraId="5E9100E5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126" w:type="dxa"/>
            <w:vAlign w:val="center"/>
          </w:tcPr>
          <w:p w14:paraId="7BDC4900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36" w:type="dxa"/>
            <w:vAlign w:val="center"/>
          </w:tcPr>
          <w:p w14:paraId="4CE96FD9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14:paraId="3274B292" w14:textId="77777777" w:rsidR="00FE04D1" w:rsidRPr="00C92FE2" w:rsidRDefault="00325D09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901" w:type="dxa"/>
            <w:vAlign w:val="center"/>
          </w:tcPr>
          <w:p w14:paraId="41F3639B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776" w:type="dxa"/>
            <w:vAlign w:val="center"/>
          </w:tcPr>
          <w:p w14:paraId="3140FF9C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41" w:type="dxa"/>
            <w:vAlign w:val="center"/>
          </w:tcPr>
          <w:p w14:paraId="259AD665" w14:textId="77777777" w:rsidR="00FE04D1" w:rsidRPr="00C92FE2" w:rsidRDefault="00C92FE2" w:rsidP="00572099">
            <w:pPr>
              <w:pStyle w:val="v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FE2">
              <w:rPr>
                <w:sz w:val="20"/>
                <w:szCs w:val="20"/>
              </w:rPr>
              <w:t>0.03</w:t>
            </w:r>
          </w:p>
        </w:tc>
      </w:tr>
    </w:tbl>
    <w:p w14:paraId="1991E41E" w14:textId="77777777" w:rsid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6712EF97" w14:textId="77777777" w:rsidR="00473456" w:rsidRDefault="00473456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  <w:r>
        <w:rPr>
          <w:b/>
          <w:szCs w:val="22"/>
        </w:rPr>
        <w:t>References</w:t>
      </w:r>
    </w:p>
    <w:p w14:paraId="5C7E672B" w14:textId="77777777" w:rsid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b/>
          <w:szCs w:val="22"/>
        </w:rPr>
      </w:pPr>
    </w:p>
    <w:p w14:paraId="7848CB5D" w14:textId="6E0F452D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325D09">
        <w:rPr>
          <w:sz w:val="22"/>
          <w:szCs w:val="22"/>
        </w:rPr>
        <w:t>Ahlén</w:t>
      </w:r>
      <w:proofErr w:type="spellEnd"/>
      <w:r w:rsidRPr="00325D09">
        <w:rPr>
          <w:sz w:val="22"/>
          <w:szCs w:val="22"/>
        </w:rPr>
        <w:t xml:space="preserve">, I., </w:t>
      </w:r>
      <w:r w:rsidR="00937206">
        <w:rPr>
          <w:sz w:val="22"/>
          <w:szCs w:val="22"/>
        </w:rPr>
        <w:t>and</w:t>
      </w:r>
      <w:r w:rsidRPr="00325D09">
        <w:rPr>
          <w:sz w:val="22"/>
          <w:szCs w:val="22"/>
        </w:rPr>
        <w:t xml:space="preserve"> </w:t>
      </w:r>
      <w:proofErr w:type="spellStart"/>
      <w:r w:rsidRPr="00325D09">
        <w:rPr>
          <w:sz w:val="22"/>
          <w:szCs w:val="22"/>
        </w:rPr>
        <w:t>Baagøe</w:t>
      </w:r>
      <w:proofErr w:type="spellEnd"/>
      <w:r w:rsidRPr="00325D09">
        <w:rPr>
          <w:sz w:val="22"/>
          <w:szCs w:val="22"/>
        </w:rPr>
        <w:t xml:space="preserve">, H. J. (1999). Use </w:t>
      </w:r>
      <w:proofErr w:type="spellStart"/>
      <w:r w:rsidRPr="00325D09">
        <w:rPr>
          <w:sz w:val="22"/>
          <w:szCs w:val="22"/>
        </w:rPr>
        <w:t>of</w:t>
      </w:r>
      <w:proofErr w:type="spellEnd"/>
      <w:r w:rsidRPr="00325D09">
        <w:rPr>
          <w:sz w:val="22"/>
          <w:szCs w:val="22"/>
        </w:rPr>
        <w:t xml:space="preserve"> </w:t>
      </w:r>
      <w:proofErr w:type="spellStart"/>
      <w:r w:rsidRPr="00325D09">
        <w:rPr>
          <w:sz w:val="22"/>
          <w:szCs w:val="22"/>
        </w:rPr>
        <w:t>ultrasound</w:t>
      </w:r>
      <w:proofErr w:type="spellEnd"/>
      <w:r w:rsidRPr="00325D09">
        <w:rPr>
          <w:sz w:val="22"/>
          <w:szCs w:val="22"/>
        </w:rPr>
        <w:t xml:space="preserve"> </w:t>
      </w:r>
      <w:proofErr w:type="spellStart"/>
      <w:r w:rsidRPr="00325D09">
        <w:rPr>
          <w:sz w:val="22"/>
          <w:szCs w:val="22"/>
        </w:rPr>
        <w:t>detectors</w:t>
      </w:r>
      <w:proofErr w:type="spellEnd"/>
      <w:r w:rsidRPr="00325D09">
        <w:rPr>
          <w:sz w:val="22"/>
          <w:szCs w:val="22"/>
        </w:rPr>
        <w:t xml:space="preserve"> </w:t>
      </w:r>
      <w:proofErr w:type="spellStart"/>
      <w:r w:rsidRPr="00325D09">
        <w:rPr>
          <w:sz w:val="22"/>
          <w:szCs w:val="22"/>
        </w:rPr>
        <w:t>for</w:t>
      </w:r>
      <w:proofErr w:type="spellEnd"/>
      <w:r w:rsidRPr="00325D09">
        <w:rPr>
          <w:sz w:val="22"/>
          <w:szCs w:val="22"/>
        </w:rPr>
        <w:t xml:space="preserve"> bat </w:t>
      </w:r>
      <w:proofErr w:type="spellStart"/>
      <w:r w:rsidRPr="00325D09">
        <w:rPr>
          <w:sz w:val="22"/>
          <w:szCs w:val="22"/>
        </w:rPr>
        <w:t>studies</w:t>
      </w:r>
      <w:proofErr w:type="spellEnd"/>
      <w:r w:rsidRPr="00325D09">
        <w:rPr>
          <w:sz w:val="22"/>
          <w:szCs w:val="22"/>
        </w:rPr>
        <w:t xml:space="preserve"> in Europe: </w:t>
      </w:r>
      <w:proofErr w:type="spellStart"/>
      <w:r w:rsidRPr="00325D09">
        <w:rPr>
          <w:sz w:val="22"/>
          <w:szCs w:val="22"/>
        </w:rPr>
        <w:t>experiences</w:t>
      </w:r>
      <w:proofErr w:type="spellEnd"/>
      <w:r w:rsidRPr="00325D09">
        <w:rPr>
          <w:sz w:val="22"/>
          <w:szCs w:val="22"/>
        </w:rPr>
        <w:t xml:space="preserve"> </w:t>
      </w:r>
      <w:proofErr w:type="spellStart"/>
      <w:r w:rsidRPr="00325D09">
        <w:rPr>
          <w:sz w:val="22"/>
          <w:szCs w:val="22"/>
        </w:rPr>
        <w:t>from</w:t>
      </w:r>
      <w:proofErr w:type="spellEnd"/>
      <w:r w:rsidRPr="00325D09">
        <w:rPr>
          <w:sz w:val="22"/>
          <w:szCs w:val="22"/>
        </w:rPr>
        <w:t xml:space="preserve"> </w:t>
      </w:r>
      <w:proofErr w:type="spellStart"/>
      <w:r w:rsidRPr="00325D09">
        <w:rPr>
          <w:sz w:val="22"/>
          <w:szCs w:val="22"/>
        </w:rPr>
        <w:t>field</w:t>
      </w:r>
      <w:proofErr w:type="spellEnd"/>
      <w:r w:rsidRPr="00325D09">
        <w:rPr>
          <w:sz w:val="22"/>
          <w:szCs w:val="22"/>
        </w:rPr>
        <w:t xml:space="preserve"> </w:t>
      </w:r>
      <w:proofErr w:type="spellStart"/>
      <w:r w:rsidRPr="00325D09">
        <w:rPr>
          <w:sz w:val="22"/>
          <w:szCs w:val="22"/>
        </w:rPr>
        <w:t>identification</w:t>
      </w:r>
      <w:proofErr w:type="spellEnd"/>
      <w:r w:rsidRPr="00325D09">
        <w:rPr>
          <w:sz w:val="22"/>
          <w:szCs w:val="22"/>
        </w:rPr>
        <w:t xml:space="preserve">, </w:t>
      </w:r>
      <w:proofErr w:type="spellStart"/>
      <w:r w:rsidRPr="00325D09">
        <w:rPr>
          <w:sz w:val="22"/>
          <w:szCs w:val="22"/>
        </w:rPr>
        <w:t>surveys</w:t>
      </w:r>
      <w:proofErr w:type="spellEnd"/>
      <w:r w:rsidRPr="00325D09">
        <w:rPr>
          <w:sz w:val="22"/>
          <w:szCs w:val="22"/>
        </w:rPr>
        <w:t xml:space="preserve">, and </w:t>
      </w:r>
      <w:proofErr w:type="spellStart"/>
      <w:r w:rsidRPr="00325D09">
        <w:rPr>
          <w:sz w:val="22"/>
          <w:szCs w:val="22"/>
        </w:rPr>
        <w:t>monitoring</w:t>
      </w:r>
      <w:proofErr w:type="spellEnd"/>
      <w:r w:rsidRPr="00325D09">
        <w:rPr>
          <w:sz w:val="22"/>
          <w:szCs w:val="22"/>
        </w:rPr>
        <w:t xml:space="preserve">. </w:t>
      </w:r>
      <w:r w:rsidRPr="00937206">
        <w:rPr>
          <w:i/>
          <w:sz w:val="22"/>
          <w:szCs w:val="22"/>
        </w:rPr>
        <w:t xml:space="preserve">Acta </w:t>
      </w:r>
      <w:proofErr w:type="spellStart"/>
      <w:r w:rsidRPr="00937206">
        <w:rPr>
          <w:i/>
          <w:sz w:val="22"/>
          <w:szCs w:val="22"/>
        </w:rPr>
        <w:t>Chiropt</w:t>
      </w:r>
      <w:proofErr w:type="spellEnd"/>
      <w:r w:rsidR="00937206" w:rsidRPr="00937206">
        <w:rPr>
          <w:i/>
          <w:sz w:val="22"/>
          <w:szCs w:val="22"/>
        </w:rPr>
        <w:t>.</w:t>
      </w:r>
      <w:r w:rsidRPr="00937206">
        <w:rPr>
          <w:i/>
          <w:sz w:val="22"/>
          <w:szCs w:val="22"/>
        </w:rPr>
        <w:t xml:space="preserve"> 1(2)</w:t>
      </w:r>
      <w:r w:rsidRPr="00325D09">
        <w:rPr>
          <w:sz w:val="22"/>
          <w:szCs w:val="22"/>
        </w:rPr>
        <w:t>, 137-150.</w:t>
      </w:r>
    </w:p>
    <w:p w14:paraId="1BAE9A76" w14:textId="77777777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</w:p>
    <w:p w14:paraId="14685518" w14:textId="1C1F2AAE" w:rsidR="00325D09" w:rsidRPr="00937206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Barataud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, M. (2015). </w:t>
      </w:r>
      <w:bookmarkStart w:id="2" w:name="_GoBack"/>
      <w:proofErr w:type="spellStart"/>
      <w:r w:rsidRPr="00937206">
        <w:rPr>
          <w:i/>
          <w:color w:val="222222"/>
          <w:sz w:val="22"/>
          <w:szCs w:val="22"/>
          <w:shd w:val="clear" w:color="auto" w:fill="FFFFFF"/>
        </w:rPr>
        <w:t>Acoustic</w:t>
      </w:r>
      <w:proofErr w:type="spellEnd"/>
      <w:r w:rsidRPr="00937206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37206">
        <w:rPr>
          <w:i/>
          <w:color w:val="222222"/>
          <w:sz w:val="22"/>
          <w:szCs w:val="22"/>
          <w:shd w:val="clear" w:color="auto" w:fill="FFFFFF"/>
        </w:rPr>
        <w:t>ecology</w:t>
      </w:r>
      <w:proofErr w:type="spellEnd"/>
      <w:r w:rsidRPr="00937206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37206">
        <w:rPr>
          <w:i/>
          <w:color w:val="222222"/>
          <w:sz w:val="22"/>
          <w:szCs w:val="22"/>
          <w:shd w:val="clear" w:color="auto" w:fill="FFFFFF"/>
        </w:rPr>
        <w:t>of</w:t>
      </w:r>
      <w:proofErr w:type="spellEnd"/>
      <w:r w:rsidRPr="00937206">
        <w:rPr>
          <w:i/>
          <w:color w:val="222222"/>
          <w:sz w:val="22"/>
          <w:szCs w:val="22"/>
          <w:shd w:val="clear" w:color="auto" w:fill="FFFFFF"/>
        </w:rPr>
        <w:t xml:space="preserve"> European bats.</w:t>
      </w:r>
      <w:r w:rsidRPr="00325D09">
        <w:rPr>
          <w:color w:val="222222"/>
          <w:sz w:val="22"/>
          <w:szCs w:val="22"/>
          <w:shd w:val="clear" w:color="auto" w:fill="FFFFFF"/>
        </w:rPr>
        <w:t> </w:t>
      </w:r>
      <w:bookmarkEnd w:id="2"/>
      <w:proofErr w:type="spellStart"/>
      <w:r w:rsidRPr="00937206">
        <w:rPr>
          <w:i/>
          <w:iCs/>
          <w:color w:val="222222"/>
          <w:sz w:val="22"/>
          <w:szCs w:val="22"/>
          <w:shd w:val="clear" w:color="auto" w:fill="FFFFFF"/>
        </w:rPr>
        <w:t>Species</w:t>
      </w:r>
      <w:proofErr w:type="spellEnd"/>
      <w:r w:rsidRPr="0093720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37206">
        <w:rPr>
          <w:i/>
          <w:iCs/>
          <w:color w:val="222222"/>
          <w:sz w:val="22"/>
          <w:szCs w:val="22"/>
          <w:shd w:val="clear" w:color="auto" w:fill="FFFFFF"/>
        </w:rPr>
        <w:t>identification</w:t>
      </w:r>
      <w:proofErr w:type="spellEnd"/>
      <w:r w:rsidRPr="00937206">
        <w:rPr>
          <w:i/>
          <w:iCs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00937206">
        <w:rPr>
          <w:i/>
          <w:iCs/>
          <w:color w:val="222222"/>
          <w:sz w:val="22"/>
          <w:szCs w:val="22"/>
          <w:shd w:val="clear" w:color="auto" w:fill="FFFFFF"/>
        </w:rPr>
        <w:t>studies</w:t>
      </w:r>
      <w:proofErr w:type="spellEnd"/>
      <w:r w:rsidRPr="0093720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37206">
        <w:rPr>
          <w:i/>
          <w:iCs/>
          <w:color w:val="222222"/>
          <w:sz w:val="22"/>
          <w:szCs w:val="22"/>
          <w:shd w:val="clear" w:color="auto" w:fill="FFFFFF"/>
        </w:rPr>
        <w:t>of</w:t>
      </w:r>
      <w:proofErr w:type="spellEnd"/>
      <w:r w:rsidRPr="0093720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37206">
        <w:rPr>
          <w:i/>
          <w:iCs/>
          <w:color w:val="222222"/>
          <w:sz w:val="22"/>
          <w:szCs w:val="22"/>
          <w:shd w:val="clear" w:color="auto" w:fill="FFFFFF"/>
        </w:rPr>
        <w:t>their</w:t>
      </w:r>
      <w:proofErr w:type="spellEnd"/>
      <w:r w:rsidRPr="0093720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37206">
        <w:rPr>
          <w:i/>
          <w:iCs/>
          <w:color w:val="222222"/>
          <w:sz w:val="22"/>
          <w:szCs w:val="22"/>
          <w:shd w:val="clear" w:color="auto" w:fill="FFFFFF"/>
        </w:rPr>
        <w:t>habitats</w:t>
      </w:r>
      <w:proofErr w:type="spellEnd"/>
      <w:r w:rsidRPr="00937206">
        <w:rPr>
          <w:i/>
          <w:iCs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00937206">
        <w:rPr>
          <w:i/>
          <w:iCs/>
          <w:color w:val="222222"/>
          <w:sz w:val="22"/>
          <w:szCs w:val="22"/>
          <w:shd w:val="clear" w:color="auto" w:fill="FFFFFF"/>
        </w:rPr>
        <w:t>foraging</w:t>
      </w:r>
      <w:proofErr w:type="spellEnd"/>
      <w:r w:rsidRPr="0093720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37206">
        <w:rPr>
          <w:i/>
          <w:iCs/>
          <w:color w:val="222222"/>
          <w:sz w:val="22"/>
          <w:szCs w:val="22"/>
          <w:shd w:val="clear" w:color="auto" w:fill="FFFFFF"/>
        </w:rPr>
        <w:t>behaviour</w:t>
      </w:r>
      <w:proofErr w:type="spellEnd"/>
      <w:r w:rsidRPr="00937206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Pr="00937206">
        <w:rPr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37206">
        <w:rPr>
          <w:iCs/>
          <w:color w:val="222222"/>
          <w:sz w:val="22"/>
          <w:szCs w:val="22"/>
          <w:shd w:val="clear" w:color="auto" w:fill="FFFFFF"/>
        </w:rPr>
        <w:t>Mèze</w:t>
      </w:r>
      <w:proofErr w:type="spellEnd"/>
      <w:r w:rsidR="00937206">
        <w:rPr>
          <w:color w:val="222222"/>
          <w:sz w:val="22"/>
          <w:szCs w:val="22"/>
          <w:shd w:val="clear" w:color="auto" w:fill="FFFFFF"/>
        </w:rPr>
        <w:t xml:space="preserve">: </w:t>
      </w:r>
      <w:r w:rsidR="00937206" w:rsidRPr="00937206">
        <w:rPr>
          <w:iCs/>
          <w:color w:val="222222"/>
          <w:sz w:val="22"/>
          <w:szCs w:val="22"/>
          <w:shd w:val="clear" w:color="auto" w:fill="FFFFFF"/>
        </w:rPr>
        <w:t>Biotope Editions</w:t>
      </w:r>
      <w:r w:rsidR="00937206">
        <w:rPr>
          <w:iCs/>
          <w:color w:val="222222"/>
          <w:sz w:val="22"/>
          <w:szCs w:val="22"/>
          <w:shd w:val="clear" w:color="auto" w:fill="FFFFFF"/>
        </w:rPr>
        <w:t>.</w:t>
      </w:r>
    </w:p>
    <w:p w14:paraId="0195445A" w14:textId="77777777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</w:p>
    <w:p w14:paraId="566BE0E0" w14:textId="5E6DE4AA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25D09">
        <w:rPr>
          <w:color w:val="222222"/>
          <w:sz w:val="22"/>
          <w:szCs w:val="22"/>
          <w:shd w:val="clear" w:color="auto" w:fill="FFFFFF"/>
        </w:rPr>
        <w:t>López-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Baucells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, A., Torrent, L., Rocha, R.,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Bobrowiec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, P. E.,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Palmeirim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, J. M., </w:t>
      </w:r>
      <w:r w:rsidR="00937206">
        <w:rPr>
          <w:color w:val="222222"/>
          <w:sz w:val="22"/>
          <w:szCs w:val="22"/>
          <w:shd w:val="clear" w:color="auto" w:fill="FFFFFF"/>
        </w:rPr>
        <w:t>and</w:t>
      </w:r>
      <w:r w:rsidRPr="00325D09">
        <w:rPr>
          <w:color w:val="222222"/>
          <w:sz w:val="22"/>
          <w:szCs w:val="22"/>
          <w:shd w:val="clear" w:color="auto" w:fill="FFFFFF"/>
        </w:rPr>
        <w:t xml:space="preserve"> Meyer, C. F. (2019).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Stronger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together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combining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automated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classifiers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with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manual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post-validation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optimizes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workload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vs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reliability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trade-off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of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species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identification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in bat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acoustic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surveys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>. </w:t>
      </w:r>
      <w:proofErr w:type="spellStart"/>
      <w:r w:rsidRPr="00325D09">
        <w:rPr>
          <w:i/>
          <w:iCs/>
          <w:color w:val="222222"/>
          <w:sz w:val="22"/>
          <w:szCs w:val="22"/>
          <w:shd w:val="clear" w:color="auto" w:fill="FFFFFF"/>
        </w:rPr>
        <w:t>Ecol</w:t>
      </w:r>
      <w:proofErr w:type="spellEnd"/>
      <w:r w:rsidR="00937206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Pr="00325D09">
        <w:rPr>
          <w:i/>
          <w:iCs/>
          <w:color w:val="222222"/>
          <w:sz w:val="22"/>
          <w:szCs w:val="22"/>
          <w:shd w:val="clear" w:color="auto" w:fill="FFFFFF"/>
        </w:rPr>
        <w:t xml:space="preserve"> Inform</w:t>
      </w:r>
      <w:r w:rsidR="00937206">
        <w:rPr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Pr="00325D09">
        <w:rPr>
          <w:i/>
          <w:iCs/>
          <w:color w:val="222222"/>
          <w:sz w:val="22"/>
          <w:szCs w:val="22"/>
          <w:shd w:val="clear" w:color="auto" w:fill="FFFFFF"/>
        </w:rPr>
        <w:t>49</w:t>
      </w:r>
      <w:r w:rsidRPr="00325D09">
        <w:rPr>
          <w:color w:val="222222"/>
          <w:sz w:val="22"/>
          <w:szCs w:val="22"/>
          <w:shd w:val="clear" w:color="auto" w:fill="FFFFFF"/>
        </w:rPr>
        <w:t>, 45-53.</w:t>
      </w:r>
    </w:p>
    <w:p w14:paraId="039EC35A" w14:textId="77777777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CB907B1" w14:textId="77777777" w:rsidR="009B10A3" w:rsidRPr="009B10A3" w:rsidRDefault="009B10A3" w:rsidP="009B10A3">
      <w:pPr>
        <w:pStyle w:val="v1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proofErr w:type="spellStart"/>
      <w:r>
        <w:rPr>
          <w:color w:val="222222"/>
          <w:sz w:val="22"/>
          <w:szCs w:val="22"/>
          <w:shd w:val="clear" w:color="auto" w:fill="FFFFFF"/>
        </w:rPr>
        <w:t>Marckmann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U. and Pfeiffer, B. (2020). </w:t>
      </w:r>
      <w:r w:rsidRPr="009B10A3">
        <w:rPr>
          <w:color w:val="222222"/>
          <w:sz w:val="22"/>
          <w:szCs w:val="22"/>
          <w:shd w:val="clear" w:color="auto" w:fill="FFFFFF"/>
        </w:rPr>
        <w:t>Bestimmung von Fledermausrufaufnahmen und Kriterien für die Wertung von akustischen Artnachweisen Teil 1</w:t>
      </w:r>
      <w:r>
        <w:rPr>
          <w:color w:val="222222"/>
          <w:sz w:val="22"/>
          <w:szCs w:val="22"/>
          <w:shd w:val="clear" w:color="auto" w:fill="FFFFFF"/>
        </w:rPr>
        <w:t>.</w:t>
      </w:r>
      <w:r w:rsidRPr="009B10A3">
        <w:t xml:space="preserve"> </w:t>
      </w:r>
      <w:r w:rsidRPr="009B10A3">
        <w:rPr>
          <w:color w:val="222222"/>
          <w:sz w:val="22"/>
          <w:szCs w:val="22"/>
          <w:shd w:val="clear" w:color="auto" w:fill="FFFFFF"/>
        </w:rPr>
        <w:t>Bayerisches Landesamt für Umwelt (</w:t>
      </w:r>
      <w:proofErr w:type="spellStart"/>
      <w:r w:rsidRPr="009B10A3">
        <w:rPr>
          <w:color w:val="222222"/>
          <w:sz w:val="22"/>
          <w:szCs w:val="22"/>
          <w:shd w:val="clear" w:color="auto" w:fill="FFFFFF"/>
        </w:rPr>
        <w:t>LfU</w:t>
      </w:r>
      <w:proofErr w:type="spellEnd"/>
      <w:r w:rsidRPr="009B10A3">
        <w:rPr>
          <w:color w:val="222222"/>
          <w:sz w:val="22"/>
          <w:szCs w:val="22"/>
          <w:shd w:val="clear" w:color="auto" w:fill="FFFFFF"/>
        </w:rPr>
        <w:t>)</w:t>
      </w:r>
      <w:r>
        <w:rPr>
          <w:color w:val="222222"/>
          <w:sz w:val="22"/>
          <w:szCs w:val="22"/>
          <w:shd w:val="clear" w:color="auto" w:fill="FFFFFF"/>
        </w:rPr>
        <w:t>, Augsburg, Germany.</w:t>
      </w:r>
    </w:p>
    <w:p w14:paraId="616913C0" w14:textId="77777777" w:rsidR="009B10A3" w:rsidRDefault="009B10A3" w:rsidP="00473456">
      <w:pPr>
        <w:pStyle w:val="v1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</w:p>
    <w:p w14:paraId="17278FBC" w14:textId="143BBFAF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325D09">
        <w:rPr>
          <w:color w:val="222222"/>
          <w:sz w:val="22"/>
          <w:szCs w:val="22"/>
          <w:shd w:val="clear" w:color="auto" w:fill="FFFFFF"/>
        </w:rPr>
        <w:t xml:space="preserve">Russo, D., </w:t>
      </w:r>
      <w:r w:rsidR="00937206">
        <w:rPr>
          <w:color w:val="222222"/>
          <w:sz w:val="22"/>
          <w:szCs w:val="22"/>
          <w:shd w:val="clear" w:color="auto" w:fill="FFFFFF"/>
        </w:rPr>
        <w:t>and</w:t>
      </w:r>
      <w:r w:rsidRPr="00325D09">
        <w:rPr>
          <w:color w:val="222222"/>
          <w:sz w:val="22"/>
          <w:szCs w:val="22"/>
          <w:shd w:val="clear" w:color="auto" w:fill="FFFFFF"/>
        </w:rPr>
        <w:t xml:space="preserve"> Voigt, C. C. (2016). The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use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of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automated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identification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of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bat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echolocation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calls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acoustic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monitoring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: A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cautionary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note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for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sound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analysis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>. </w:t>
      </w:r>
      <w:proofErr w:type="spellStart"/>
      <w:r w:rsidR="00937206" w:rsidRPr="00325D09">
        <w:rPr>
          <w:i/>
          <w:iCs/>
          <w:color w:val="222222"/>
          <w:sz w:val="22"/>
          <w:szCs w:val="22"/>
          <w:shd w:val="clear" w:color="auto" w:fill="FFFFFF"/>
        </w:rPr>
        <w:t>Ecol</w:t>
      </w:r>
      <w:proofErr w:type="spellEnd"/>
      <w:r w:rsidR="00937206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="00937206" w:rsidRPr="00325D09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37206">
        <w:rPr>
          <w:i/>
          <w:iCs/>
          <w:color w:val="222222"/>
          <w:sz w:val="22"/>
          <w:szCs w:val="22"/>
          <w:shd w:val="clear" w:color="auto" w:fill="FFFFFF"/>
        </w:rPr>
        <w:t>I</w:t>
      </w:r>
      <w:r w:rsidR="00937206" w:rsidRPr="00325D09">
        <w:rPr>
          <w:i/>
          <w:iCs/>
          <w:color w:val="222222"/>
          <w:sz w:val="22"/>
          <w:szCs w:val="22"/>
          <w:shd w:val="clear" w:color="auto" w:fill="FFFFFF"/>
        </w:rPr>
        <w:t>ndic</w:t>
      </w:r>
      <w:proofErr w:type="spellEnd"/>
      <w:r w:rsidR="00937206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="00937206" w:rsidRPr="00325D09">
        <w:rPr>
          <w:color w:val="222222"/>
          <w:sz w:val="22"/>
          <w:szCs w:val="22"/>
          <w:shd w:val="clear" w:color="auto" w:fill="FFFFFF"/>
        </w:rPr>
        <w:t> </w:t>
      </w:r>
      <w:r w:rsidRPr="00325D09">
        <w:rPr>
          <w:i/>
          <w:iCs/>
          <w:color w:val="222222"/>
          <w:sz w:val="22"/>
          <w:szCs w:val="22"/>
          <w:shd w:val="clear" w:color="auto" w:fill="FFFFFF"/>
        </w:rPr>
        <w:t>66</w:t>
      </w:r>
      <w:r w:rsidRPr="00325D09">
        <w:rPr>
          <w:color w:val="222222"/>
          <w:sz w:val="22"/>
          <w:szCs w:val="22"/>
          <w:shd w:val="clear" w:color="auto" w:fill="FFFFFF"/>
        </w:rPr>
        <w:t>, 598-602.</w:t>
      </w:r>
    </w:p>
    <w:p w14:paraId="63C1D0BF" w14:textId="77777777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</w:p>
    <w:p w14:paraId="1D722B19" w14:textId="68E0A962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Rydell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, J., Nyman, S.,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Eklöf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, J., Jones, G., </w:t>
      </w:r>
      <w:r w:rsidR="00937206">
        <w:rPr>
          <w:color w:val="222222"/>
          <w:sz w:val="22"/>
          <w:szCs w:val="22"/>
          <w:shd w:val="clear" w:color="auto" w:fill="FFFFFF"/>
        </w:rPr>
        <w:t>and</w:t>
      </w:r>
      <w:r w:rsidRPr="00325D09">
        <w:rPr>
          <w:color w:val="222222"/>
          <w:sz w:val="22"/>
          <w:szCs w:val="22"/>
          <w:shd w:val="clear" w:color="auto" w:fill="FFFFFF"/>
        </w:rPr>
        <w:t xml:space="preserve"> Russo, D. (2017).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Testing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performances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of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automated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identification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of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bat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echolocation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calls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: A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request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for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25D09">
        <w:rPr>
          <w:color w:val="222222"/>
          <w:sz w:val="22"/>
          <w:szCs w:val="22"/>
          <w:shd w:val="clear" w:color="auto" w:fill="FFFFFF"/>
        </w:rPr>
        <w:t>prudence</w:t>
      </w:r>
      <w:proofErr w:type="spellEnd"/>
      <w:r w:rsidRPr="00325D09">
        <w:rPr>
          <w:color w:val="222222"/>
          <w:sz w:val="22"/>
          <w:szCs w:val="22"/>
          <w:shd w:val="clear" w:color="auto" w:fill="FFFFFF"/>
        </w:rPr>
        <w:t>. </w:t>
      </w:r>
      <w:proofErr w:type="spellStart"/>
      <w:r w:rsidRPr="00325D09">
        <w:rPr>
          <w:i/>
          <w:iCs/>
          <w:color w:val="222222"/>
          <w:sz w:val="22"/>
          <w:szCs w:val="22"/>
          <w:shd w:val="clear" w:color="auto" w:fill="FFFFFF"/>
        </w:rPr>
        <w:t>Ecol</w:t>
      </w:r>
      <w:proofErr w:type="spellEnd"/>
      <w:r w:rsidR="00937206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Pr="00325D09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37206">
        <w:rPr>
          <w:i/>
          <w:iCs/>
          <w:color w:val="222222"/>
          <w:sz w:val="22"/>
          <w:szCs w:val="22"/>
          <w:shd w:val="clear" w:color="auto" w:fill="FFFFFF"/>
        </w:rPr>
        <w:t>I</w:t>
      </w:r>
      <w:r w:rsidRPr="00325D09">
        <w:rPr>
          <w:i/>
          <w:iCs/>
          <w:color w:val="222222"/>
          <w:sz w:val="22"/>
          <w:szCs w:val="22"/>
          <w:shd w:val="clear" w:color="auto" w:fill="FFFFFF"/>
        </w:rPr>
        <w:t>ndic</w:t>
      </w:r>
      <w:proofErr w:type="spellEnd"/>
      <w:r w:rsidR="00937206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Pr="00325D09">
        <w:rPr>
          <w:color w:val="222222"/>
          <w:sz w:val="22"/>
          <w:szCs w:val="22"/>
          <w:shd w:val="clear" w:color="auto" w:fill="FFFFFF"/>
        </w:rPr>
        <w:t> </w:t>
      </w:r>
      <w:r w:rsidRPr="00325D09">
        <w:rPr>
          <w:i/>
          <w:iCs/>
          <w:color w:val="222222"/>
          <w:sz w:val="22"/>
          <w:szCs w:val="22"/>
          <w:shd w:val="clear" w:color="auto" w:fill="FFFFFF"/>
        </w:rPr>
        <w:t>78</w:t>
      </w:r>
      <w:r w:rsidRPr="00325D09">
        <w:rPr>
          <w:color w:val="222222"/>
          <w:sz w:val="22"/>
          <w:szCs w:val="22"/>
          <w:shd w:val="clear" w:color="auto" w:fill="FFFFFF"/>
        </w:rPr>
        <w:t>, 416-420.</w:t>
      </w:r>
    </w:p>
    <w:p w14:paraId="3FEC0D4A" w14:textId="77777777" w:rsidR="00325D09" w:rsidRPr="00325D09" w:rsidRDefault="00325D09" w:rsidP="00473456">
      <w:pPr>
        <w:pStyle w:val="v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DC693FE" w14:textId="29793E9E" w:rsidR="00855E5C" w:rsidRPr="00325D09" w:rsidRDefault="00325D09">
      <w:pPr>
        <w:rPr>
          <w:rFonts w:ascii="Times New Roman" w:hAnsi="Times New Roman" w:cs="Times New Roman"/>
        </w:rPr>
      </w:pPr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Vaughan, N., Jones, G., </w:t>
      </w:r>
      <w:r w:rsidR="00937206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Harris, S. (1997).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Identification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of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British bat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species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by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multivariate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analysis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of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echolocation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call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parameters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. </w:t>
      </w:r>
      <w:proofErr w:type="spellStart"/>
      <w:r w:rsidRPr="00325D0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Bioacoustics</w:t>
      </w:r>
      <w:proofErr w:type="spellEnd"/>
      <w:r w:rsidRPr="00325D09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325D0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 w:rsidRPr="00325D09">
        <w:rPr>
          <w:rFonts w:ascii="Times New Roman" w:hAnsi="Times New Roman" w:cs="Times New Roman"/>
          <w:color w:val="222222"/>
          <w:shd w:val="clear" w:color="auto" w:fill="FFFFFF"/>
        </w:rPr>
        <w:t>(3), 189-207.</w:t>
      </w:r>
    </w:p>
    <w:sectPr w:rsidR="00855E5C" w:rsidRPr="00325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0D"/>
    <w:rsid w:val="00007B2C"/>
    <w:rsid w:val="00024075"/>
    <w:rsid w:val="00050149"/>
    <w:rsid w:val="000A0C07"/>
    <w:rsid w:val="001438CF"/>
    <w:rsid w:val="00147A68"/>
    <w:rsid w:val="00165A4C"/>
    <w:rsid w:val="001846AD"/>
    <w:rsid w:val="002B0C0D"/>
    <w:rsid w:val="00325D09"/>
    <w:rsid w:val="003C7C84"/>
    <w:rsid w:val="00416045"/>
    <w:rsid w:val="0043011C"/>
    <w:rsid w:val="00473456"/>
    <w:rsid w:val="00475D43"/>
    <w:rsid w:val="00490015"/>
    <w:rsid w:val="004B2844"/>
    <w:rsid w:val="004B74E5"/>
    <w:rsid w:val="004E3B46"/>
    <w:rsid w:val="004E7056"/>
    <w:rsid w:val="00572099"/>
    <w:rsid w:val="005B6160"/>
    <w:rsid w:val="006244E5"/>
    <w:rsid w:val="00624A05"/>
    <w:rsid w:val="0064730D"/>
    <w:rsid w:val="00672C72"/>
    <w:rsid w:val="006C02F5"/>
    <w:rsid w:val="0076073E"/>
    <w:rsid w:val="0078410A"/>
    <w:rsid w:val="00793AC6"/>
    <w:rsid w:val="007C371D"/>
    <w:rsid w:val="00812423"/>
    <w:rsid w:val="0081595A"/>
    <w:rsid w:val="008365EE"/>
    <w:rsid w:val="00855E5C"/>
    <w:rsid w:val="00856CD4"/>
    <w:rsid w:val="00866E4C"/>
    <w:rsid w:val="008B3463"/>
    <w:rsid w:val="008D12DB"/>
    <w:rsid w:val="00927A6C"/>
    <w:rsid w:val="00937206"/>
    <w:rsid w:val="009B10A3"/>
    <w:rsid w:val="009B3BDC"/>
    <w:rsid w:val="00A279CE"/>
    <w:rsid w:val="00A33DC6"/>
    <w:rsid w:val="00A63FE6"/>
    <w:rsid w:val="00A80846"/>
    <w:rsid w:val="00A826A0"/>
    <w:rsid w:val="00A854F5"/>
    <w:rsid w:val="00AA13A7"/>
    <w:rsid w:val="00AA6AF3"/>
    <w:rsid w:val="00B228FF"/>
    <w:rsid w:val="00B52EBE"/>
    <w:rsid w:val="00BB42FC"/>
    <w:rsid w:val="00C92FE2"/>
    <w:rsid w:val="00CB53C1"/>
    <w:rsid w:val="00CE2B51"/>
    <w:rsid w:val="00D12039"/>
    <w:rsid w:val="00D30AAE"/>
    <w:rsid w:val="00D325BA"/>
    <w:rsid w:val="00D3783C"/>
    <w:rsid w:val="00DB71F5"/>
    <w:rsid w:val="00DF6F76"/>
    <w:rsid w:val="00E367D3"/>
    <w:rsid w:val="00E37FB0"/>
    <w:rsid w:val="00E42989"/>
    <w:rsid w:val="00EB5460"/>
    <w:rsid w:val="00FA1B02"/>
    <w:rsid w:val="00FC25E1"/>
    <w:rsid w:val="00FE04D1"/>
    <w:rsid w:val="00FE5272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54E1"/>
  <w15:chartTrackingRefBased/>
  <w15:docId w15:val="{20FC1928-19AB-458A-B9B2-BD91D498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2"/>
    <w:qFormat/>
    <w:rsid w:val="00473456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473456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473456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473456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473456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msonormal">
    <w:name w:val="v1msonormal"/>
    <w:basedOn w:val="Standard"/>
    <w:rsid w:val="006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5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3783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783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473456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473456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7345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473456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473456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473456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47345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244E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Täuber</dc:creator>
  <cp:keywords/>
  <dc:description/>
  <cp:lastModifiedBy>Florian Täuber</cp:lastModifiedBy>
  <cp:revision>4</cp:revision>
  <cp:lastPrinted>2022-06-29T09:36:00Z</cp:lastPrinted>
  <dcterms:created xsi:type="dcterms:W3CDTF">2022-07-11T12:42:00Z</dcterms:created>
  <dcterms:modified xsi:type="dcterms:W3CDTF">2022-07-11T12:50:00Z</dcterms:modified>
</cp:coreProperties>
</file>