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2E3D" w14:textId="25DA5C5F" w:rsidR="00BB130F" w:rsidRPr="00304054" w:rsidRDefault="00BB130F" w:rsidP="00BB1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242634">
        <w:rPr>
          <w:rFonts w:ascii="Times New Roman" w:hAnsi="Times New Roman" w:cs="Times New Roman"/>
          <w:b/>
          <w:bCs/>
        </w:rPr>
        <w:t>3</w:t>
      </w:r>
      <w:r w:rsidRPr="008707F1">
        <w:rPr>
          <w:rFonts w:ascii="Times New Roman" w:hAnsi="Times New Roman" w:cs="Times New Roman"/>
          <w:b/>
          <w:bCs/>
        </w:rPr>
        <w:t xml:space="preserve">. </w:t>
      </w:r>
      <w:r w:rsidRPr="00821A17">
        <w:rPr>
          <w:rFonts w:ascii="Times New Roman" w:hAnsi="Times New Roman" w:cs="Times New Roman"/>
        </w:rPr>
        <w:t>Future prognoses</w:t>
      </w:r>
      <w:r w:rsidR="00063D77">
        <w:rPr>
          <w:rFonts w:ascii="Times New Roman" w:hAnsi="Times New Roman" w:cs="Times New Roman"/>
        </w:rPr>
        <w:t>*</w:t>
      </w:r>
      <w:r w:rsidRPr="00821A17">
        <w:rPr>
          <w:rFonts w:ascii="Times New Roman" w:hAnsi="Times New Roman" w:cs="Times New Roman"/>
        </w:rPr>
        <w:t xml:space="preserve"> for Southern Ocean zooplankton in response to changes in key physical, chemical</w:t>
      </w:r>
      <w:r>
        <w:rPr>
          <w:rFonts w:ascii="Times New Roman" w:hAnsi="Times New Roman" w:cs="Times New Roman"/>
        </w:rPr>
        <w:t>,</w:t>
      </w:r>
      <w:r w:rsidRPr="00821A17">
        <w:rPr>
          <w:rFonts w:ascii="Times New Roman" w:hAnsi="Times New Roman" w:cs="Times New Roman"/>
        </w:rPr>
        <w:t xml:space="preserve"> and ecological drivers</w:t>
      </w:r>
      <w:r>
        <w:rPr>
          <w:rFonts w:ascii="Times New Roman" w:hAnsi="Times New Roman" w:cs="Times New Roman"/>
        </w:rPr>
        <w:t xml:space="preserve"> (based on i</w:t>
      </w:r>
      <w:r w:rsidRPr="00F211DD">
        <w:rPr>
          <w:rFonts w:ascii="Times New Roman" w:hAnsi="Times New Roman" w:cs="Times New Roman"/>
        </w:rPr>
        <w:t xml:space="preserve">nformation provided in </w:t>
      </w:r>
      <w:r w:rsidR="00242634">
        <w:rPr>
          <w:rFonts w:ascii="Times New Roman" w:hAnsi="Times New Roman" w:cs="Times New Roman"/>
        </w:rPr>
        <w:t>Sections</w:t>
      </w:r>
      <w:r w:rsidR="006B2FF0">
        <w:rPr>
          <w:rFonts w:ascii="Times New Roman" w:hAnsi="Times New Roman" w:cs="Times New Roman"/>
        </w:rPr>
        <w:t xml:space="preserve"> </w:t>
      </w:r>
      <w:r w:rsidR="006B2FF0" w:rsidRPr="006B2FF0">
        <w:rPr>
          <w:rFonts w:ascii="Times New Roman" w:hAnsi="Times New Roman" w:cs="Times New Roman"/>
        </w:rPr>
        <w:t xml:space="preserve">Euphausiids (Family </w:t>
      </w:r>
      <w:proofErr w:type="spellStart"/>
      <w:r w:rsidR="006B2FF0" w:rsidRPr="006B2FF0">
        <w:rPr>
          <w:rFonts w:ascii="Times New Roman" w:hAnsi="Times New Roman" w:cs="Times New Roman"/>
        </w:rPr>
        <w:t>Euphausiidae</w:t>
      </w:r>
      <w:proofErr w:type="spellEnd"/>
      <w:r w:rsidR="006B2FF0" w:rsidRPr="006B2FF0">
        <w:rPr>
          <w:rFonts w:ascii="Times New Roman" w:hAnsi="Times New Roman" w:cs="Times New Roman"/>
        </w:rPr>
        <w:t xml:space="preserve">), Copepods (Subclass </w:t>
      </w:r>
      <w:proofErr w:type="spellStart"/>
      <w:r w:rsidR="006B2FF0" w:rsidRPr="006B2FF0">
        <w:rPr>
          <w:rFonts w:ascii="Times New Roman" w:hAnsi="Times New Roman" w:cs="Times New Roman"/>
        </w:rPr>
        <w:t>Copepoda</w:t>
      </w:r>
      <w:proofErr w:type="spellEnd"/>
      <w:r w:rsidR="006B2FF0" w:rsidRPr="006B2FF0">
        <w:rPr>
          <w:rFonts w:ascii="Times New Roman" w:hAnsi="Times New Roman" w:cs="Times New Roman"/>
        </w:rPr>
        <w:t xml:space="preserve">), </w:t>
      </w:r>
      <w:proofErr w:type="spellStart"/>
      <w:r w:rsidR="006B2FF0" w:rsidRPr="006B2FF0">
        <w:rPr>
          <w:rFonts w:ascii="Times New Roman" w:hAnsi="Times New Roman" w:cs="Times New Roman"/>
        </w:rPr>
        <w:t>Salps</w:t>
      </w:r>
      <w:proofErr w:type="spellEnd"/>
      <w:r w:rsidR="006B2FF0" w:rsidRPr="006B2FF0">
        <w:rPr>
          <w:rFonts w:ascii="Times New Roman" w:hAnsi="Times New Roman" w:cs="Times New Roman"/>
        </w:rPr>
        <w:t xml:space="preserve"> (Order </w:t>
      </w:r>
      <w:proofErr w:type="spellStart"/>
      <w:r w:rsidR="006B2FF0" w:rsidRPr="006B2FF0">
        <w:rPr>
          <w:rFonts w:ascii="Times New Roman" w:hAnsi="Times New Roman" w:cs="Times New Roman"/>
        </w:rPr>
        <w:t>Salpida</w:t>
      </w:r>
      <w:proofErr w:type="spellEnd"/>
      <w:r w:rsidR="006B2FF0" w:rsidRPr="006B2FF0">
        <w:rPr>
          <w:rFonts w:ascii="Times New Roman" w:hAnsi="Times New Roman" w:cs="Times New Roman"/>
        </w:rPr>
        <w:t xml:space="preserve">), Pteropods (Order </w:t>
      </w:r>
      <w:proofErr w:type="spellStart"/>
      <w:r w:rsidR="006B2FF0" w:rsidRPr="006B2FF0">
        <w:rPr>
          <w:rFonts w:ascii="Times New Roman" w:hAnsi="Times New Roman" w:cs="Times New Roman"/>
        </w:rPr>
        <w:t>Pteropoda</w:t>
      </w:r>
      <w:proofErr w:type="spellEnd"/>
      <w:r w:rsidR="006B2FF0" w:rsidRPr="006B2FF0">
        <w:rPr>
          <w:rFonts w:ascii="Times New Roman" w:hAnsi="Times New Roman" w:cs="Times New Roman"/>
        </w:rPr>
        <w:t>)</w:t>
      </w:r>
      <w:r w:rsidR="00907460">
        <w:rPr>
          <w:rFonts w:ascii="Times New Roman" w:hAnsi="Times New Roman" w:cs="Times New Roman"/>
        </w:rPr>
        <w:t>,</w:t>
      </w:r>
      <w:r w:rsidR="006B2FF0">
        <w:rPr>
          <w:rFonts w:ascii="Times New Roman" w:hAnsi="Times New Roman" w:cs="Times New Roman"/>
        </w:rPr>
        <w:t xml:space="preserve"> and </w:t>
      </w:r>
      <w:r w:rsidR="00125F3C">
        <w:rPr>
          <w:rFonts w:ascii="Times New Roman" w:hAnsi="Times New Roman" w:cs="Times New Roman"/>
        </w:rPr>
        <w:t xml:space="preserve">Past Changes in Zooplankton: </w:t>
      </w:r>
      <w:r w:rsidR="005B5F71">
        <w:rPr>
          <w:rFonts w:ascii="Times New Roman" w:hAnsi="Times New Roman" w:cs="Times New Roman"/>
        </w:rPr>
        <w:t xml:space="preserve">A modelled example using </w:t>
      </w:r>
      <w:r w:rsidR="008A0D58">
        <w:rPr>
          <w:rFonts w:ascii="Times New Roman" w:hAnsi="Times New Roman" w:cs="Times New Roman"/>
        </w:rPr>
        <w:t>Continuous</w:t>
      </w:r>
      <w:r w:rsidR="00125F3C">
        <w:rPr>
          <w:rFonts w:ascii="Times New Roman" w:hAnsi="Times New Roman" w:cs="Times New Roman"/>
        </w:rPr>
        <w:t xml:space="preserve"> Plankton Recorder Data (</w:t>
      </w:r>
      <w:r w:rsidR="00907460">
        <w:rPr>
          <w:rFonts w:ascii="Times New Roman" w:hAnsi="Times New Roman" w:cs="Times New Roman"/>
        </w:rPr>
        <w:t>including references cited therein</w:t>
      </w:r>
      <w:r>
        <w:rPr>
          <w:rFonts w:ascii="Times New Roman" w:hAnsi="Times New Roman" w:cs="Times New Roman"/>
        </w:rPr>
        <w:t>)</w:t>
      </w:r>
      <w:r w:rsidR="008A0D58">
        <w:rPr>
          <w:rFonts w:ascii="Times New Roman" w:hAnsi="Times New Roman" w:cs="Times New Roman"/>
        </w:rPr>
        <w:t>)</w:t>
      </w:r>
      <w:r w:rsidRPr="00821A17">
        <w:rPr>
          <w:rFonts w:ascii="Times New Roman" w:hAnsi="Times New Roman" w:cs="Times New Roman"/>
        </w:rPr>
        <w:t>.</w:t>
      </w:r>
      <w:r w:rsidRPr="008707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Prognoses may vary across</w:t>
      </w:r>
      <w:r w:rsidRPr="009F5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areas of the Southern Ocean, seasons, or life history stages.</w:t>
      </w:r>
      <w:r w:rsidRPr="009B74B1">
        <w:rPr>
          <w:rFonts w:ascii="Times New Roman" w:hAnsi="Times New Roman" w:cs="Times New Roman"/>
        </w:rPr>
        <w:t xml:space="preserve"> See Figure </w:t>
      </w:r>
      <w:r>
        <w:rPr>
          <w:rFonts w:ascii="Times New Roman" w:hAnsi="Times New Roman" w:cs="Times New Roman"/>
        </w:rPr>
        <w:t>1</w:t>
      </w:r>
      <w:r w:rsidRPr="009B74B1">
        <w:rPr>
          <w:rFonts w:ascii="Times New Roman" w:hAnsi="Times New Roman" w:cs="Times New Roman"/>
        </w:rPr>
        <w:t xml:space="preserve"> for locations and key to MEASO areas</w:t>
      </w:r>
      <w:r>
        <w:rPr>
          <w:rFonts w:ascii="Times New Roman" w:hAnsi="Times New Roman" w:cs="Times New Roman"/>
        </w:rPr>
        <w:t>.</w:t>
      </w:r>
    </w:p>
    <w:p w14:paraId="08F29522" w14:textId="77777777" w:rsidR="00BB130F" w:rsidRPr="00304054" w:rsidRDefault="00BB130F" w:rsidP="00BB13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87" w:type="dxa"/>
        <w:tblLook w:val="04A0" w:firstRow="1" w:lastRow="0" w:firstColumn="1" w:lastColumn="0" w:noHBand="0" w:noVBand="1"/>
      </w:tblPr>
      <w:tblGrid>
        <w:gridCol w:w="1555"/>
        <w:gridCol w:w="12432"/>
      </w:tblGrid>
      <w:tr w:rsidR="00BB130F" w:rsidRPr="001A4D6C" w14:paraId="2CB9AC10" w14:textId="77777777" w:rsidTr="00E14A57">
        <w:trPr>
          <w:trHeight w:val="426"/>
        </w:trPr>
        <w:tc>
          <w:tcPr>
            <w:tcW w:w="1555" w:type="dxa"/>
          </w:tcPr>
          <w:p w14:paraId="5D4FEAF4" w14:textId="77777777" w:rsidR="00BB130F" w:rsidRPr="001A4D6C" w:rsidRDefault="00BB130F" w:rsidP="00E14A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A4D6C">
              <w:rPr>
                <w:rFonts w:cstheme="minorHAnsi"/>
                <w:b/>
                <w:sz w:val="20"/>
                <w:szCs w:val="20"/>
              </w:rPr>
              <w:t>Taxa</w:t>
            </w:r>
          </w:p>
        </w:tc>
        <w:tc>
          <w:tcPr>
            <w:tcW w:w="12432" w:type="dxa"/>
          </w:tcPr>
          <w:p w14:paraId="5DF575EB" w14:textId="77777777" w:rsidR="00BB130F" w:rsidRPr="001A4D6C" w:rsidRDefault="00BB130F" w:rsidP="00E14A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A4D6C">
              <w:rPr>
                <w:rFonts w:cstheme="minorHAnsi"/>
                <w:b/>
                <w:sz w:val="20"/>
                <w:szCs w:val="20"/>
              </w:rPr>
              <w:t xml:space="preserve">Future prognoses </w:t>
            </w:r>
          </w:p>
        </w:tc>
      </w:tr>
      <w:tr w:rsidR="00BB130F" w:rsidRPr="001A4D6C" w14:paraId="733CB91F" w14:textId="77777777" w:rsidTr="00E14A57">
        <w:trPr>
          <w:trHeight w:val="212"/>
        </w:trPr>
        <w:tc>
          <w:tcPr>
            <w:tcW w:w="1555" w:type="dxa"/>
          </w:tcPr>
          <w:p w14:paraId="6A0AA6AB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A4D6C">
              <w:rPr>
                <w:rFonts w:cstheme="minorHAnsi"/>
                <w:bCs/>
                <w:sz w:val="20"/>
                <w:szCs w:val="20"/>
              </w:rPr>
              <w:t>Antarctic krill</w:t>
            </w:r>
          </w:p>
          <w:p w14:paraId="35A8EB8D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82128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BC9790" wp14:editId="7C0F39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95250</wp:posOffset>
                  </wp:positionV>
                  <wp:extent cx="727710" cy="374015"/>
                  <wp:effectExtent l="0" t="0" r="0" b="0"/>
                  <wp:wrapNone/>
                  <wp:docPr id="4" name="Picture 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15C9C" w14:textId="77777777" w:rsidR="00BB130F" w:rsidRPr="001A4D6C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32" w:type="dxa"/>
          </w:tcPr>
          <w:p w14:paraId="2E2AA517" w14:textId="77777777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Sea ice</w:t>
            </w:r>
          </w:p>
          <w:p w14:paraId="350C23B8" w14:textId="77777777" w:rsidR="00BB130F" w:rsidRDefault="00BB130F" w:rsidP="00BB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instability in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 sea 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may benefit krill by increasing availability of larval over wintering habitat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food</w:t>
            </w:r>
          </w:p>
          <w:p w14:paraId="2DC324CF" w14:textId="77777777" w:rsidR="00BB130F" w:rsidRPr="00B03484" w:rsidRDefault="00BB130F" w:rsidP="00BB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Sea ice decline may reduce the availability of reproductive habitat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overwintering resources</w:t>
            </w:r>
          </w:p>
          <w:p w14:paraId="3267E04F" w14:textId="77777777" w:rsidR="00BB130F" w:rsidRPr="00B03484" w:rsidRDefault="00BB130F" w:rsidP="00BB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Sea ice decline may impact phytoplankton community structure (reducing diatoms), potentially reducing krill feeding efficiency</w:t>
            </w:r>
          </w:p>
          <w:p w14:paraId="5614F8A3" w14:textId="77777777" w:rsidR="00BB130F" w:rsidRPr="00B03484" w:rsidRDefault="00BB130F" w:rsidP="00BB13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Decline in sea ice extent may lead to poleward contraction of populations</w:t>
            </w:r>
          </w:p>
          <w:p w14:paraId="7D93590E" w14:textId="77777777" w:rsidR="00BB130F" w:rsidRDefault="00BB130F" w:rsidP="00E14A57">
            <w:pPr>
              <w:rPr>
                <w:rFonts w:cstheme="minorHAnsi"/>
                <w:sz w:val="20"/>
                <w:szCs w:val="20"/>
              </w:rPr>
            </w:pPr>
          </w:p>
          <w:p w14:paraId="18CC781B" w14:textId="77777777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Ocean warming</w:t>
            </w:r>
          </w:p>
          <w:p w14:paraId="77286DC3" w14:textId="77777777" w:rsidR="00BB130F" w:rsidRPr="00B03484" w:rsidRDefault="00BB130F" w:rsidP="00BB130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May reduce the availability of reproductive habitat</w:t>
            </w:r>
          </w:p>
          <w:p w14:paraId="6507B664" w14:textId="77777777" w:rsidR="00BB130F" w:rsidRPr="00B03484" w:rsidRDefault="00BB130F" w:rsidP="00BB130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May impact habitat quality, resulting in habitat contraction as temperatures at the northern fringes of their range exceed physiological limits</w:t>
            </w:r>
          </w:p>
          <w:p w14:paraId="73ED1189" w14:textId="77777777" w:rsidR="00BB130F" w:rsidRPr="00B03484" w:rsidRDefault="00BB130F" w:rsidP="00BB130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Spatial variability in warming and localised increases in primary production could enhance habitat quality in some restricted regions, but these are unlikely to offset degradation elsewhere</w:t>
            </w:r>
          </w:p>
          <w:p w14:paraId="68C6B498" w14:textId="77777777" w:rsidR="00BB130F" w:rsidRDefault="00BB130F" w:rsidP="00E14A57">
            <w:pPr>
              <w:rPr>
                <w:rFonts w:cstheme="minorHAnsi"/>
                <w:sz w:val="20"/>
                <w:szCs w:val="20"/>
              </w:rPr>
            </w:pPr>
          </w:p>
          <w:p w14:paraId="2A0B26ED" w14:textId="77777777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Ocean acidification</w:t>
            </w:r>
          </w:p>
          <w:p w14:paraId="08E127AB" w14:textId="77777777" w:rsidR="00BB130F" w:rsidRPr="00B03484" w:rsidRDefault="00BB130F" w:rsidP="00BB13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Increased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34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 may negatively impact embryonic development and hatching</w:t>
            </w:r>
          </w:p>
          <w:p w14:paraId="40BB8F3B" w14:textId="77777777" w:rsidR="00BB130F" w:rsidRDefault="00BB130F" w:rsidP="00E14A57">
            <w:pPr>
              <w:rPr>
                <w:rFonts w:cstheme="minorHAnsi"/>
                <w:sz w:val="20"/>
                <w:szCs w:val="20"/>
              </w:rPr>
            </w:pPr>
          </w:p>
          <w:p w14:paraId="7672A88A" w14:textId="77777777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Primary productivity</w:t>
            </w:r>
          </w:p>
          <w:p w14:paraId="27B8BBBB" w14:textId="77777777" w:rsidR="00BB130F" w:rsidRPr="00B03484" w:rsidRDefault="00BB130F" w:rsidP="00BB13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Changes in primary productivity may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alter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 the availability of reproductive habitat</w:t>
            </w:r>
          </w:p>
          <w:p w14:paraId="7506C9AD" w14:textId="77777777" w:rsidR="00BB130F" w:rsidRPr="00B03484" w:rsidRDefault="00BB130F" w:rsidP="00BB13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>Changes in the seasonal primary productivity cycles may negatively impact krill population size across its current distributional range</w:t>
            </w:r>
          </w:p>
          <w:p w14:paraId="2073DC66" w14:textId="77777777" w:rsidR="00BB130F" w:rsidRDefault="00BB130F" w:rsidP="00E14A57">
            <w:pPr>
              <w:rPr>
                <w:rFonts w:cstheme="minorHAnsi"/>
                <w:sz w:val="20"/>
                <w:szCs w:val="20"/>
              </w:rPr>
            </w:pPr>
          </w:p>
          <w:p w14:paraId="17DAF3EC" w14:textId="77777777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Predators</w:t>
            </w:r>
          </w:p>
          <w:p w14:paraId="45CC676C" w14:textId="77777777" w:rsidR="00BB130F" w:rsidRPr="00B03484" w:rsidRDefault="00BB130F" w:rsidP="00BB13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Positive feedback loop generated by recovery of whale populations may support increased </w:t>
            </w:r>
            <w:r w:rsidRPr="00B034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E. superba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 abundance</w:t>
            </w:r>
          </w:p>
          <w:p w14:paraId="4DA86709" w14:textId="77777777" w:rsidR="00BB130F" w:rsidRDefault="00BB130F" w:rsidP="00E14A57">
            <w:pPr>
              <w:rPr>
                <w:rFonts w:cstheme="minorHAnsi"/>
                <w:sz w:val="20"/>
                <w:szCs w:val="20"/>
              </w:rPr>
            </w:pPr>
          </w:p>
          <w:p w14:paraId="5085A514" w14:textId="6B40482F" w:rsidR="00BB130F" w:rsidRPr="00B03484" w:rsidRDefault="00BB130F" w:rsidP="00E14A57">
            <w:pPr>
              <w:rPr>
                <w:rFonts w:cstheme="minorHAnsi"/>
                <w:sz w:val="20"/>
                <w:szCs w:val="20"/>
              </w:rPr>
            </w:pPr>
            <w:r w:rsidRPr="00B03484">
              <w:rPr>
                <w:rFonts w:cstheme="minorHAnsi"/>
                <w:sz w:val="20"/>
                <w:szCs w:val="20"/>
              </w:rPr>
              <w:t>See Murphy et al. (2018</w:t>
            </w:r>
            <w:r w:rsidR="004067B2" w:rsidRPr="004067B2">
              <w:rPr>
                <w:rFonts w:cstheme="minorHAnsi"/>
                <w:sz w:val="20"/>
                <w:szCs w:val="20"/>
                <w:vertAlign w:val="superscript"/>
              </w:rPr>
              <w:t>+</w:t>
            </w:r>
            <w:r w:rsidRPr="00B03484">
              <w:rPr>
                <w:rFonts w:cstheme="minorHAnsi"/>
                <w:sz w:val="20"/>
                <w:szCs w:val="20"/>
              </w:rPr>
              <w:t>) for future prognoses in CCAMLR statistical Area 48, southwest Atlantic (A</w:t>
            </w:r>
            <w:r>
              <w:rPr>
                <w:rFonts w:cstheme="minorHAnsi"/>
                <w:sz w:val="20"/>
                <w:szCs w:val="20"/>
              </w:rPr>
              <w:t xml:space="preserve">tlantic Sector, </w:t>
            </w:r>
            <w:r w:rsidRPr="00B03484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ast </w:t>
            </w:r>
            <w:r w:rsidRPr="00B0348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acific Sector</w:t>
            </w:r>
            <w:r w:rsidRPr="00B03484">
              <w:rPr>
                <w:rFonts w:cstheme="minorHAnsi"/>
                <w:sz w:val="20"/>
                <w:szCs w:val="20"/>
              </w:rPr>
              <w:t>)</w:t>
            </w:r>
          </w:p>
          <w:p w14:paraId="321ABDD1" w14:textId="77777777" w:rsidR="00BB130F" w:rsidRPr="00A570DC" w:rsidRDefault="00BB130F" w:rsidP="00E14A5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F0D4B1" w14:textId="77777777" w:rsidR="00BB130F" w:rsidRPr="00B44346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B44346">
              <w:rPr>
                <w:rFonts w:cstheme="minorHAnsi"/>
                <w:bCs/>
                <w:sz w:val="20"/>
                <w:szCs w:val="20"/>
              </w:rPr>
              <w:t>Resilience</w:t>
            </w:r>
          </w:p>
          <w:p w14:paraId="201C5502" w14:textId="77777777" w:rsidR="00BB130F" w:rsidRDefault="00BB130F" w:rsidP="00BB13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4346">
              <w:rPr>
                <w:rFonts w:asciiTheme="minorHAnsi" w:hAnsiTheme="minorHAnsi" w:cstheme="minorHAnsi"/>
                <w:bCs/>
                <w:sz w:val="20"/>
                <w:szCs w:val="20"/>
              </w:rPr>
              <w:t>Observed phenotypic plasticity and high variability in life history strategies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behaviour may confer resilience</w:t>
            </w:r>
            <w:r w:rsidRPr="00B443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and survival of the species</w:t>
            </w:r>
          </w:p>
          <w:p w14:paraId="79F5E4DF" w14:textId="77777777" w:rsidR="00BB130F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5A3339" w14:textId="53B9045A" w:rsidR="00BB130F" w:rsidRPr="002D75D5" w:rsidRDefault="00BB130F" w:rsidP="00BB130F">
            <w:pPr>
              <w:pStyle w:val="ListParagraph"/>
              <w:numPr>
                <w:ilvl w:val="0"/>
                <w:numId w:val="2"/>
              </w:numPr>
              <w:ind w:left="357" w:hanging="32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 xml:space="preserve">Future prognoses for E. superba are limited by uncertainties about vulnerabilities, </w:t>
            </w:r>
            <w:r w:rsidR="00366F4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resilience,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ecological interactions, particularly its relationship with sea ice and the mechanistic processes involved. </w:t>
            </w:r>
            <w:r w:rsidR="005431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Additive</w:t>
            </w:r>
            <w:r w:rsidR="00FA03D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="00366F4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synergistic,</w:t>
            </w:r>
            <w:r w:rsidR="00D617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or antagonistic effects</w:t>
            </w:r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of multiple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environmental</w:t>
            </w:r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drivers </w:t>
            </w:r>
            <w:r w:rsidR="004F5B8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on </w:t>
            </w:r>
            <w:r w:rsidR="00DA45C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these aspects</w:t>
            </w:r>
            <w:r w:rsidR="004560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214E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poorly quantified</w:t>
            </w:r>
          </w:p>
          <w:p w14:paraId="446C076B" w14:textId="77777777" w:rsidR="00BB130F" w:rsidRPr="00773A16" w:rsidRDefault="00BB130F" w:rsidP="00BB130F">
            <w:pPr>
              <w:pStyle w:val="ListParagraph"/>
              <w:numPr>
                <w:ilvl w:val="0"/>
                <w:numId w:val="2"/>
              </w:numPr>
              <w:ind w:left="357" w:hanging="32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Climate change is </w:t>
            </w:r>
            <w:r w:rsidRPr="00E3409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likely</w:t>
            </w:r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to increase physiological stress on early life stages and adults. These may be compounded by loss and fragmentation of spawning and over wintering habitat.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M</w:t>
            </w:r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ay eventually become restricted to a limited number of locations suitable for successful spawning, </w:t>
            </w:r>
            <w:proofErr w:type="gramStart"/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survival</w:t>
            </w:r>
            <w:proofErr w:type="gramEnd"/>
            <w:r w:rsidRPr="009035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recruitment</w:t>
            </w:r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 Contraction of distributions and biomass will have consequences for the Antarctic krill fishery. They are also likely to impact </w:t>
            </w:r>
            <w:r w:rsidRPr="00FA4E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krill</w:t>
            </w:r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predator populations, with consequences for finfish fisheries and wildlife tourism. Severity of impacts on </w:t>
            </w:r>
            <w:r w:rsidRPr="00FA4E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E. superba</w:t>
            </w:r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predators may increase with severity of climate change.</w:t>
            </w:r>
            <w:r w:rsidRPr="00773A1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F657B6B" w14:textId="77777777" w:rsidR="00BB130F" w:rsidRPr="00D47AD6" w:rsidRDefault="00BB130F" w:rsidP="00BB130F">
            <w:pPr>
              <w:pStyle w:val="ListParagraph"/>
              <w:numPr>
                <w:ilvl w:val="0"/>
                <w:numId w:val="2"/>
              </w:numPr>
              <w:ind w:left="357" w:hanging="32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Changes will also have consequences for spatial and temporal variations in biogeochemical cycling, particularly partic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ulate organic matter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export </w:t>
            </w:r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</w:t>
            </w:r>
            <w:proofErr w:type="gramEnd"/>
            <w:r w:rsidRPr="00FA4EB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remineralisation</w:t>
            </w:r>
          </w:p>
        </w:tc>
      </w:tr>
      <w:tr w:rsidR="00BB130F" w:rsidRPr="001A4D6C" w14:paraId="6F09832F" w14:textId="77777777" w:rsidTr="00E14A57">
        <w:trPr>
          <w:trHeight w:val="212"/>
        </w:trPr>
        <w:tc>
          <w:tcPr>
            <w:tcW w:w="1555" w:type="dxa"/>
          </w:tcPr>
          <w:p w14:paraId="7B96C0D6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A4D6C">
              <w:rPr>
                <w:rFonts w:cstheme="minorHAnsi"/>
                <w:bCs/>
                <w:sz w:val="20"/>
                <w:szCs w:val="20"/>
              </w:rPr>
              <w:lastRenderedPageBreak/>
              <w:t>Other euphausiids</w:t>
            </w:r>
          </w:p>
          <w:p w14:paraId="6170C534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82128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11EA62" wp14:editId="1D59ACD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56371</wp:posOffset>
                  </wp:positionV>
                  <wp:extent cx="779780" cy="409575"/>
                  <wp:effectExtent l="0" t="0" r="0" b="0"/>
                  <wp:wrapNone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4A58A6" w14:textId="77777777" w:rsidR="00BB130F" w:rsidRPr="001A4D6C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32" w:type="dxa"/>
          </w:tcPr>
          <w:p w14:paraId="45379C57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A74CCD">
              <w:rPr>
                <w:rFonts w:cstheme="minorHAnsi"/>
                <w:bCs/>
                <w:sz w:val="20"/>
                <w:szCs w:val="20"/>
              </w:rPr>
              <w:t>Sea ice</w:t>
            </w:r>
          </w:p>
          <w:p w14:paraId="01758CC0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Decline in sea ice concentration may result in the severe loss of spawning habitat and reproductive success of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15A55EBF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307353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A74CCD">
              <w:rPr>
                <w:rFonts w:cstheme="minorHAnsi"/>
                <w:bCs/>
                <w:sz w:val="20"/>
                <w:szCs w:val="20"/>
              </w:rPr>
              <w:t>Ocean warming</w:t>
            </w:r>
          </w:p>
          <w:p w14:paraId="51C4DD07" w14:textId="14EC3DB0" w:rsidR="00BB130F" w:rsidRPr="00486EBC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vulnerable due to n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arrow thermal habitat (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≤2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o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C) and lower diversity of heat shock protein systems </w:t>
            </w:r>
          </w:p>
          <w:p w14:paraId="08603BA3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Growth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rate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, and hence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potential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biomass per recruit, of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may increase </w:t>
            </w:r>
          </w:p>
          <w:p w14:paraId="6EDC8F2A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Surface warming (and deepening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mixed layer depth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may increase environmental stability between Antarctic Polar Front and northern annual limit of sea ice, and hence increase habitat availability for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</w:p>
          <w:p w14:paraId="1E6D2BE1" w14:textId="77777777" w:rsidR="00BB130F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Range extension into higher latitudes projected for </w:t>
            </w:r>
            <w:r w:rsidRPr="00D840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E. superba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Pr="00D840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under warmer conditions may also increase the potential for interactions with </w:t>
            </w:r>
            <w:r w:rsidRPr="00D840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E. crystallorophias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the impacts of which are unknown</w:t>
            </w:r>
          </w:p>
          <w:p w14:paraId="5D3926AF" w14:textId="77777777" w:rsidR="00BB130F" w:rsidRPr="000E750F" w:rsidRDefault="00BB130F" w:rsidP="00E14A57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8E0081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A74CCD">
              <w:rPr>
                <w:rFonts w:cstheme="minorHAnsi"/>
                <w:bCs/>
                <w:sz w:val="20"/>
                <w:szCs w:val="20"/>
              </w:rPr>
              <w:t>MLD</w:t>
            </w:r>
          </w:p>
          <w:p w14:paraId="06B65B83" w14:textId="0C5A873E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Shallowing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mixed layer depth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the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Pacific </w:t>
            </w:r>
            <w:r w:rsidR="00450DDD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ectors (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ast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acific Sector,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acific Sector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may increase environmental stability and habitat for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</w:p>
          <w:p w14:paraId="1CE173CE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2456B1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A74CCD">
              <w:rPr>
                <w:rFonts w:cstheme="minorHAnsi"/>
                <w:bCs/>
                <w:sz w:val="20"/>
                <w:szCs w:val="20"/>
              </w:rPr>
              <w:t>Primary production</w:t>
            </w:r>
          </w:p>
          <w:p w14:paraId="5D1E8842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Changes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phytoplankton community structure favouring diatoms (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particularly in the Ross Sea continental shelf area, 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est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acific Sector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)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may enhance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feeding efficiency, but may not be offset by impacts of sea ice loss on spawning habitat and reproductive success</w:t>
            </w:r>
          </w:p>
          <w:p w14:paraId="775E4283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Changes in phytoplankton community structure favouring </w:t>
            </w:r>
            <w:proofErr w:type="spellStart"/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Phaeocystis</w:t>
            </w:r>
            <w:proofErr w:type="spellEnd"/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antarctica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may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feeding efficiency</w:t>
            </w:r>
          </w:p>
          <w:p w14:paraId="762A8310" w14:textId="77777777" w:rsidR="00BB130F" w:rsidRPr="009004D1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Elevated primary productivity north of the Antarctic Polar Front may increase habitat availability for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</w:p>
          <w:p w14:paraId="57F2F72B" w14:textId="77777777" w:rsidR="00BB130F" w:rsidRPr="009004D1" w:rsidRDefault="00BB130F" w:rsidP="00E14A57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011E4A" w14:textId="77777777" w:rsidR="00BB130F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Predators</w:t>
            </w:r>
          </w:p>
          <w:p w14:paraId="08F3C56B" w14:textId="77777777" w:rsidR="00BB130F" w:rsidRPr="00B03484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Positive feedback loop generated by recovery of whale populations may support increased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and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  <w:r w:rsidRPr="00B03484">
              <w:rPr>
                <w:rFonts w:asciiTheme="minorHAnsi" w:hAnsiTheme="minorHAnsi" w:cstheme="minorHAnsi"/>
                <w:sz w:val="20"/>
                <w:szCs w:val="20"/>
              </w:rPr>
              <w:t xml:space="preserve"> abundance</w:t>
            </w:r>
          </w:p>
          <w:p w14:paraId="0AE946C2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4C2C63" w14:textId="77777777" w:rsidR="00BB130F" w:rsidRPr="00A74CCD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A74CCD">
              <w:rPr>
                <w:rFonts w:cstheme="minorHAnsi"/>
                <w:bCs/>
                <w:sz w:val="20"/>
                <w:szCs w:val="20"/>
              </w:rPr>
              <w:t>Resilience</w:t>
            </w:r>
          </w:p>
          <w:p w14:paraId="2F4F9660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E. crystallorophias’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low capacity to move to other areas, 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limited thermal range and genetic adaptations to past periods of increased glaciation imply this species is unlikely to be resilient to future climate change. Areas of the high Antarctic (A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ntarctic Zone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</w:rPr>
              <w:t>), in the Ross Sea (12), or southern most parts of Weddell Sea (7) may provide refugia for some populations</w:t>
            </w:r>
          </w:p>
          <w:p w14:paraId="1B48B47F" w14:textId="77777777" w:rsidR="00BB130F" w:rsidRPr="00A74CCD" w:rsidRDefault="00BB130F" w:rsidP="00BB13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ange of life history strategies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(w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ide thermal tolerance, omnivorous diet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etc.)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independence from spring bloom and sea ice for reproductive success may confer resilience of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</w:t>
            </w:r>
            <w:r w:rsidRPr="00A74CC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to future change, however, impact of future predator populations unclear</w:t>
            </w:r>
          </w:p>
          <w:p w14:paraId="4F413AE3" w14:textId="77777777" w:rsidR="00BB130F" w:rsidRPr="00A74CCD" w:rsidRDefault="00BB130F" w:rsidP="00E14A57">
            <w:pPr>
              <w:pStyle w:val="ListParagrap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BFD49CC" w14:textId="1CC151C4" w:rsidR="008B375C" w:rsidRPr="008B375C" w:rsidRDefault="00BB130F" w:rsidP="008B375C">
            <w:pPr>
              <w:pStyle w:val="ListParagraph"/>
              <w:numPr>
                <w:ilvl w:val="0"/>
                <w:numId w:val="12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F0D3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Future prognoses limited by uncertainties about ecological interactions and responses to key driver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</w:t>
            </w:r>
            <w:r w:rsidRPr="00FF0D3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  <w:r w:rsidRPr="004549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001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Additive, </w:t>
            </w:r>
            <w:r w:rsidR="00D969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synergistic,</w:t>
            </w:r>
            <w:r w:rsidR="00E001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or antagonistic</w:t>
            </w:r>
            <w:r w:rsidR="008B375C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D969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effects</w:t>
            </w:r>
            <w:r w:rsidR="008B375C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of multiple environmental drivers on th</w:t>
            </w:r>
            <w:r w:rsidR="00B875A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ese</w:t>
            </w:r>
            <w:r w:rsidR="008B375C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species (including resilience) unknown</w:t>
            </w:r>
          </w:p>
          <w:p w14:paraId="178ED859" w14:textId="1DD93269" w:rsidR="00BB130F" w:rsidRPr="00BE515C" w:rsidRDefault="00BB130F" w:rsidP="00BB130F">
            <w:pPr>
              <w:pStyle w:val="ListParagraph"/>
              <w:numPr>
                <w:ilvl w:val="0"/>
                <w:numId w:val="12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CB32C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Future climate change is likely to cause a decline in E. crystallorophias abundance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contraction of its distribution to higher latitudes</w:t>
            </w:r>
            <w:r w:rsidRPr="004549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  <w:r w:rsidRPr="00BE51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T. macrura distribution and abundance may increase.  T. macrura likely to be more resilient to</w:t>
            </w:r>
            <w:r w:rsidRPr="00BE51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future change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</w:t>
            </w:r>
            <w:r w:rsidRPr="00BE51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than </w:t>
            </w:r>
            <w:r w:rsidRPr="00A74CC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 crystallorophias</w:t>
            </w:r>
            <w:r w:rsidR="00EB2F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0C1A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However, p</w:t>
            </w:r>
            <w:r w:rsidR="00EB2F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otential combined</w:t>
            </w:r>
            <w:r w:rsidR="00EB2F14"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impact of multiple </w:t>
            </w:r>
            <w:r w:rsidR="00EB2F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environmental </w:t>
            </w:r>
            <w:r w:rsidR="00EB2F14"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drivers </w:t>
            </w:r>
            <w:r w:rsidR="000C1A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unknown</w:t>
            </w:r>
          </w:p>
          <w:p w14:paraId="5E0E8B79" w14:textId="77777777" w:rsidR="00BB130F" w:rsidRPr="00AB224B" w:rsidRDefault="00BB130F" w:rsidP="00BB130F">
            <w:pPr>
              <w:pStyle w:val="ListParagraph"/>
              <w:numPr>
                <w:ilvl w:val="0"/>
                <w:numId w:val="12"/>
              </w:numPr>
              <w:ind w:left="455" w:hanging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Changes</w:t>
            </w:r>
            <w:r w:rsidRPr="00AB224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</w:t>
            </w:r>
            <w:r w:rsidRPr="005C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distribution and abundance are likely to increase ecological interactions between E. crystallorophias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T. macrura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and E. superba </w:t>
            </w:r>
            <w:proofErr w:type="gramStart"/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also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impact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predator populations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These will have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consequences for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food web dynamics and </w:t>
            </w:r>
            <w:r w:rsidRPr="005C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spatial and temporal variations in biogeochemical cycling</w:t>
            </w:r>
          </w:p>
        </w:tc>
      </w:tr>
      <w:tr w:rsidR="00BB130F" w:rsidRPr="001A4D6C" w14:paraId="46EDF8A0" w14:textId="77777777" w:rsidTr="00E14A57">
        <w:trPr>
          <w:trHeight w:val="197"/>
        </w:trPr>
        <w:tc>
          <w:tcPr>
            <w:tcW w:w="1555" w:type="dxa"/>
          </w:tcPr>
          <w:p w14:paraId="5AFAA74C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A4D6C">
              <w:rPr>
                <w:rFonts w:cstheme="minorHAnsi"/>
                <w:bCs/>
                <w:sz w:val="20"/>
                <w:szCs w:val="20"/>
              </w:rPr>
              <w:lastRenderedPageBreak/>
              <w:t>Copepods</w:t>
            </w:r>
          </w:p>
          <w:p w14:paraId="5CF0E6F3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0D8D80A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82128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449461F" wp14:editId="5A13D0B4">
                  <wp:simplePos x="0" y="0"/>
                  <wp:positionH relativeFrom="column">
                    <wp:posOffset>88637</wp:posOffset>
                  </wp:positionH>
                  <wp:positionV relativeFrom="paragraph">
                    <wp:posOffset>13168</wp:posOffset>
                  </wp:positionV>
                  <wp:extent cx="462885" cy="303481"/>
                  <wp:effectExtent l="0" t="0" r="0" b="1905"/>
                  <wp:wrapNone/>
                  <wp:docPr id="12" name="Picture 12" descr="A picture containing sitt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itting, ligh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85" cy="30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E4B05B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54E59CB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9D78634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C446157" w14:textId="77777777" w:rsidR="00BB130F" w:rsidRPr="001A4D6C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32" w:type="dxa"/>
          </w:tcPr>
          <w:p w14:paraId="46572889" w14:textId="77777777" w:rsidR="00BB130F" w:rsidRPr="00607A29" w:rsidRDefault="00BB130F" w:rsidP="00E14A57">
            <w:pPr>
              <w:rPr>
                <w:rFonts w:cstheme="minorHAnsi"/>
                <w:bCs/>
                <w:sz w:val="20"/>
                <w:szCs w:val="20"/>
              </w:rPr>
            </w:pPr>
            <w:r w:rsidRPr="00607A29">
              <w:rPr>
                <w:rFonts w:cstheme="minorHAnsi"/>
                <w:bCs/>
                <w:sz w:val="20"/>
                <w:szCs w:val="20"/>
              </w:rPr>
              <w:t>Sea ice</w:t>
            </w:r>
          </w:p>
          <w:p w14:paraId="18BAF91F" w14:textId="77777777" w:rsidR="00BB130F" w:rsidRPr="003408C1" w:rsidRDefault="00BB130F" w:rsidP="00BB13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Decrease in sea ice will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reduce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amount of available habitat for </w:t>
            </w:r>
            <w:proofErr w:type="spellStart"/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sympagic</w:t>
            </w:r>
            <w:proofErr w:type="spellEnd"/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genera such as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Drescheriella</w:t>
            </w:r>
            <w:proofErr w:type="spellEnd"/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Paralabidocera</w:t>
            </w:r>
            <w:proofErr w:type="spellEnd"/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and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Stephos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reduced food availability of winter-active species such as </w:t>
            </w:r>
            <w:proofErr w:type="spellStart"/>
            <w:r w:rsidRPr="003408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Calanoides</w:t>
            </w:r>
            <w:proofErr w:type="spellEnd"/>
            <w:r w:rsidRPr="003408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8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propinquus</w:t>
            </w:r>
            <w:proofErr w:type="spellEnd"/>
          </w:p>
          <w:p w14:paraId="57F3DC92" w14:textId="77777777" w:rsidR="00BB130F" w:rsidRPr="003408C1" w:rsidRDefault="00BB130F" w:rsidP="00E14A57">
            <w:pPr>
              <w:pStyle w:val="ListParagraph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161C3BA" w14:textId="77777777" w:rsidR="00BB130F" w:rsidRPr="00607A29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7A29">
              <w:rPr>
                <w:rFonts w:cstheme="minorHAnsi"/>
                <w:bCs/>
                <w:sz w:val="20"/>
                <w:szCs w:val="20"/>
              </w:rPr>
              <w:t>Ocean acidification</w:t>
            </w:r>
          </w:p>
          <w:p w14:paraId="5E9E859E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Increased acidification may affect the grazing (phytoplankton) selectivity of some copepod species </w:t>
            </w:r>
          </w:p>
          <w:p w14:paraId="0278F072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Copepods may be resilient to increased ocean acidification (at least up to levels projected by the end of the century)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but this may be offset by local stressors </w:t>
            </w:r>
          </w:p>
          <w:p w14:paraId="74ACE40F" w14:textId="77777777" w:rsidR="00BB130F" w:rsidRPr="00607A29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7B5F875" w14:textId="77777777" w:rsidR="00BB130F" w:rsidRPr="00607A29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7A29">
              <w:rPr>
                <w:rFonts w:cstheme="minorHAnsi"/>
                <w:bCs/>
                <w:sz w:val="20"/>
                <w:szCs w:val="20"/>
              </w:rPr>
              <w:t>Primary production</w:t>
            </w:r>
          </w:p>
          <w:p w14:paraId="0B09655E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Changes in phytoplankton biomass/concentration may impact egg production rates, carbon mass and abundance of copepod populations</w:t>
            </w:r>
          </w:p>
          <w:p w14:paraId="028277DB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Food availability at the local scale may be more important in driving copepod abundances than changes in other physical drivers such as ocean temperatures</w:t>
            </w:r>
          </w:p>
          <w:p w14:paraId="623CC295" w14:textId="77777777" w:rsidR="00BB130F" w:rsidRPr="00607A29" w:rsidRDefault="00BB130F" w:rsidP="00E14A57">
            <w:pPr>
              <w:pStyle w:val="ListParagraph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001A68C" w14:textId="77777777" w:rsidR="00BB130F" w:rsidRPr="00607A29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7A29">
              <w:rPr>
                <w:rFonts w:cstheme="minorHAnsi"/>
                <w:bCs/>
                <w:sz w:val="20"/>
                <w:szCs w:val="20"/>
              </w:rPr>
              <w:t>Resilience</w:t>
            </w:r>
          </w:p>
          <w:p w14:paraId="6A5F2039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Calanoid copepods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may show resilience to warming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by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maintaining a fixed geographical distribution (</w:t>
            </w:r>
            <w:proofErr w:type="gramStart"/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on the basis of</w:t>
            </w:r>
            <w:proofErr w:type="gramEnd"/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food availability and/or genetic or phenotypic adaptation)</w:t>
            </w:r>
          </w:p>
          <w:p w14:paraId="5E6422F7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Copepods form a diverse group with varying habitat preferences so changing conditions may favour some species over others </w:t>
            </w:r>
          </w:p>
          <w:p w14:paraId="429E4C06" w14:textId="77777777" w:rsidR="00BB130F" w:rsidRPr="00607A29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Copepods may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show some degree of 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>resilien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future increases in ocean acidification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(as above)</w:t>
            </w:r>
          </w:p>
          <w:p w14:paraId="4DD76A68" w14:textId="77777777" w:rsidR="00BB130F" w:rsidRPr="00607A29" w:rsidRDefault="00BB130F" w:rsidP="00E14A57">
            <w:pPr>
              <w:pStyle w:val="ListParagraph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C19E4A8" w14:textId="06757DC1" w:rsidR="00BB130F" w:rsidRPr="00607A29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Future prognoses are severely limited by basic knowledge of their phenotypic plasticity, life history traits and strategies, long-term changes in their distributions and abundance, and the mechanistic processes involved.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F7354" w:rsidRPr="00CF735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Additive, s</w:t>
            </w:r>
            <w:r w:rsidR="00753028" w:rsidRPr="00CF735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ynergistic</w:t>
            </w:r>
            <w:r w:rsidR="0075302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</w:t>
            </w:r>
            <w:r w:rsidR="00CF735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or</w:t>
            </w:r>
            <w:r w:rsidR="0075302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antagonistic </w:t>
            </w:r>
            <w:r w:rsidR="00CF735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effect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 of multiple environmental drivers</w:t>
            </w:r>
            <w:r w:rsidR="00AA48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including changing competition and predation</w:t>
            </w:r>
            <w:r w:rsidR="00AA48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on these </w:t>
            </w:r>
            <w:r w:rsidR="00E045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aspects</w:t>
            </w:r>
            <w:r w:rsidR="00AA48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</w:t>
            </w:r>
            <w:r w:rsidR="00E045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including</w:t>
            </w:r>
            <w:r w:rsidR="00AA48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resilience)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are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unknown</w:t>
            </w:r>
          </w:p>
          <w:p w14:paraId="6865E8CE" w14:textId="51F85ABD" w:rsidR="00BB130F" w:rsidRPr="00607A29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Copepods may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show some degree of resilience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to increase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ocean acidification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D4AB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(however, impact of </w:t>
            </w:r>
            <w:r w:rsidR="0072320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multiple environmental drivers unknown)</w:t>
            </w:r>
          </w:p>
          <w:p w14:paraId="28A116A1" w14:textId="77777777" w:rsidR="00BB130F" w:rsidRPr="00607A29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Any changes in</w:t>
            </w:r>
            <w:r w:rsidRPr="0060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distribution and abundance are likely to impact their predator populations, particularly those that rely on copepod or krill-dominated food webs. These will also have consequences for spatial and temporal variations in biogeochemical cycling, particularly partic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ulate organic matter export </w:t>
            </w:r>
            <w:r w:rsidRPr="00607A2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and remineralisation</w:t>
            </w:r>
          </w:p>
        </w:tc>
      </w:tr>
      <w:tr w:rsidR="00BB130F" w:rsidRPr="001A4D6C" w14:paraId="484A27DC" w14:textId="77777777" w:rsidTr="00E14A57">
        <w:trPr>
          <w:trHeight w:val="212"/>
        </w:trPr>
        <w:tc>
          <w:tcPr>
            <w:tcW w:w="1555" w:type="dxa"/>
          </w:tcPr>
          <w:p w14:paraId="3267FFAC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82128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53A6122" wp14:editId="6BAD23B9">
                  <wp:simplePos x="0" y="0"/>
                  <wp:positionH relativeFrom="column">
                    <wp:posOffset>262063</wp:posOffset>
                  </wp:positionH>
                  <wp:positionV relativeFrom="paragraph">
                    <wp:posOffset>144408</wp:posOffset>
                  </wp:positionV>
                  <wp:extent cx="457726" cy="228600"/>
                  <wp:effectExtent l="0" t="0" r="0" b="0"/>
                  <wp:wrapNone/>
                  <wp:docPr id="13" name="Picture 1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2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A4D6C">
              <w:rPr>
                <w:rFonts w:cstheme="minorHAnsi"/>
                <w:bCs/>
                <w:sz w:val="20"/>
                <w:szCs w:val="20"/>
              </w:rPr>
              <w:t>Salps</w:t>
            </w:r>
            <w:proofErr w:type="spellEnd"/>
          </w:p>
          <w:p w14:paraId="5AC83263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D41F60D" w14:textId="77777777" w:rsidR="00BB130F" w:rsidRPr="001A4D6C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32" w:type="dxa"/>
          </w:tcPr>
          <w:p w14:paraId="768934C0" w14:textId="77777777" w:rsidR="00BB130F" w:rsidRPr="0095244B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5244B">
              <w:rPr>
                <w:rFonts w:cstheme="minorHAnsi"/>
                <w:bCs/>
                <w:sz w:val="20"/>
                <w:szCs w:val="20"/>
              </w:rPr>
              <w:t>Ocean warming</w:t>
            </w:r>
          </w:p>
          <w:p w14:paraId="08B99666" w14:textId="77777777" w:rsidR="00BB130F" w:rsidRPr="00335F16" w:rsidRDefault="00BB130F" w:rsidP="00BB130F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 w:rsidRPr="009524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Increased warming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will expand the range of </w:t>
            </w:r>
            <w:r w:rsidRPr="00335F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S. thompsoni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(see also ocean circulation)</w:t>
            </w:r>
          </w:p>
          <w:p w14:paraId="52CB8937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55BEBBA" w14:textId="77777777" w:rsidR="00BB130F" w:rsidRPr="0095244B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5244B">
              <w:rPr>
                <w:rFonts w:cstheme="minorHAnsi"/>
                <w:bCs/>
                <w:sz w:val="20"/>
                <w:szCs w:val="20"/>
              </w:rPr>
              <w:t xml:space="preserve">Ocean </w:t>
            </w:r>
            <w:r>
              <w:rPr>
                <w:rFonts w:cstheme="minorHAnsi"/>
                <w:bCs/>
                <w:sz w:val="20"/>
                <w:szCs w:val="20"/>
              </w:rPr>
              <w:t>circulation</w:t>
            </w:r>
          </w:p>
          <w:p w14:paraId="126F3C3A" w14:textId="77777777" w:rsidR="00BB130F" w:rsidRPr="00503482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Advection of warmer waters into high Antarctic regions may support higher occurrence of </w:t>
            </w:r>
            <w:r w:rsidRPr="005034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S. thomp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so</w:t>
            </w:r>
            <w:r w:rsidRPr="005034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ni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 certain regions</w:t>
            </w:r>
          </w:p>
          <w:p w14:paraId="506647FF" w14:textId="77777777" w:rsidR="00BB130F" w:rsidRPr="0095244B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EE4F40C" w14:textId="77777777" w:rsidR="00BB130F" w:rsidRPr="0095244B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5244B">
              <w:rPr>
                <w:rFonts w:cstheme="minorHAnsi"/>
                <w:bCs/>
                <w:sz w:val="20"/>
                <w:szCs w:val="20"/>
              </w:rPr>
              <w:t>Primary production</w:t>
            </w:r>
          </w:p>
          <w:p w14:paraId="30737E93" w14:textId="68C235D4" w:rsidR="00BB130F" w:rsidRPr="0095244B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44B">
              <w:rPr>
                <w:rFonts w:asciiTheme="minorHAnsi" w:hAnsiTheme="minorHAnsi" w:cstheme="minorHAnsi"/>
                <w:bCs/>
                <w:sz w:val="20"/>
                <w:szCs w:val="20"/>
              </w:rPr>
              <w:t>Increases in phytoplankton biomass/concentration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9524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support replacement of </w:t>
            </w:r>
            <w:r w:rsidRPr="007E0CA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E. superba</w:t>
            </w:r>
            <w:r w:rsidRPr="009524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populations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salps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regions around the Antarctic Peninsula (A</w:t>
            </w:r>
            <w:r w:rsidR="00FE5610">
              <w:rPr>
                <w:rFonts w:asciiTheme="minorHAnsi" w:hAnsiTheme="minorHAnsi" w:cstheme="minorHAnsi"/>
                <w:bCs/>
                <w:sz w:val="20"/>
                <w:szCs w:val="20"/>
              </w:rPr>
              <w:t>tlantic Sector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E</w:t>
            </w:r>
            <w:r w:rsidR="00FE5610">
              <w:rPr>
                <w:rFonts w:asciiTheme="minorHAnsi" w:hAnsiTheme="minorHAnsi" w:cstheme="minorHAnsi"/>
                <w:bCs/>
                <w:sz w:val="20"/>
                <w:szCs w:val="20"/>
              </w:rPr>
              <w:t>ast Pacific Sector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9CB9DF3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377573B" w14:textId="77777777" w:rsidR="00BB130F" w:rsidRPr="0095244B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5244B">
              <w:rPr>
                <w:rFonts w:cstheme="minorHAnsi"/>
                <w:bCs/>
                <w:sz w:val="20"/>
                <w:szCs w:val="20"/>
              </w:rPr>
              <w:t>Resilience</w:t>
            </w:r>
          </w:p>
          <w:p w14:paraId="445A581D" w14:textId="77777777" w:rsidR="00BB130F" w:rsidRPr="009132E2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32E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May be resilient to abrupt shifts in the environment via fast-evolving genes and fast population turnover rates (during asexual reproduction), which may enhance chances of finding an environmental match</w:t>
            </w:r>
          </w:p>
          <w:p w14:paraId="58F316BE" w14:textId="77777777" w:rsidR="00BB130F" w:rsidRPr="00F83EFB" w:rsidRDefault="00BB130F" w:rsidP="00E14A57">
            <w:pPr>
              <w:pStyle w:val="ListParagraph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0BC586F" w14:textId="13DAE306" w:rsidR="00BB130F" w:rsidRPr="00495D2C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55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Future prognoses are limited by basic knowledge of their physiology, life history strategies, long-term changes in distribution and abundance, and the mechanistic processes involved, particularly interactions with E. superba</w:t>
            </w:r>
            <w:r w:rsidR="005640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  <w:r w:rsidR="005640E5"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22F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Additive, </w:t>
            </w:r>
            <w:r w:rsidR="00D969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synergistic,</w:t>
            </w:r>
            <w:r w:rsidR="00F22F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or antagonistic effects</w:t>
            </w:r>
            <w:r w:rsidR="005640E5"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of multiple</w:t>
            </w:r>
            <w:r w:rsidR="005640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environmental</w:t>
            </w:r>
            <w:r w:rsidR="005640E5"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drivers </w:t>
            </w:r>
            <w:r w:rsidR="005640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on these </w:t>
            </w:r>
            <w:r w:rsidR="00F22F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aspects</w:t>
            </w:r>
            <w:r w:rsidR="005640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(including resilience) </w:t>
            </w:r>
            <w:r w:rsidR="005640E5"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unknown</w:t>
            </w:r>
          </w:p>
          <w:p w14:paraId="549952E5" w14:textId="0FE27E2D" w:rsidR="00BB130F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55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</w:t>
            </w: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bundance and distributions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are likely to</w:t>
            </w: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expand</w:t>
            </w:r>
          </w:p>
          <w:p w14:paraId="190DFA5B" w14:textId="77777777" w:rsidR="00BB130F" w:rsidRPr="00981810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55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Increased range expansion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and</w:t>
            </w: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biomass, and hence increased krill-</w:t>
            </w:r>
            <w:proofErr w:type="spellStart"/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salp</w:t>
            </w:r>
            <w:proofErr w:type="spellEnd"/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interactions, will have major effects on the planktonic food web and the contributions of </w:t>
            </w:r>
            <w:proofErr w:type="spellStart"/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salps</w:t>
            </w:r>
            <w:proofErr w:type="spellEnd"/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to carbon flux. </w:t>
            </w: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Changes in</w:t>
            </w:r>
            <w:r w:rsidRPr="009818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181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distribution and abundance are also likely to impact predator populations, particularly those that rely on krill-dominated food webs, and fisheries</w:t>
            </w:r>
            <w:r w:rsidRPr="00650B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Changes will also have consequences for spatial and temporal variations in biogeochemical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cycling</w:t>
            </w:r>
          </w:p>
        </w:tc>
      </w:tr>
      <w:tr w:rsidR="00BB130F" w:rsidRPr="001A4D6C" w14:paraId="16D94067" w14:textId="77777777" w:rsidTr="00E14A57">
        <w:trPr>
          <w:trHeight w:val="212"/>
        </w:trPr>
        <w:tc>
          <w:tcPr>
            <w:tcW w:w="1555" w:type="dxa"/>
          </w:tcPr>
          <w:p w14:paraId="5FE8029B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A4D6C">
              <w:rPr>
                <w:rFonts w:cstheme="minorHAnsi"/>
                <w:bCs/>
                <w:sz w:val="20"/>
                <w:szCs w:val="20"/>
              </w:rPr>
              <w:t>Pteropods</w:t>
            </w:r>
          </w:p>
          <w:p w14:paraId="62B8CC6C" w14:textId="77777777" w:rsidR="00BB130F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C407042" wp14:editId="7F1F7E25">
                  <wp:simplePos x="0" y="0"/>
                  <wp:positionH relativeFrom="page">
                    <wp:posOffset>172758</wp:posOffset>
                  </wp:positionH>
                  <wp:positionV relativeFrom="paragraph">
                    <wp:posOffset>118365</wp:posOffset>
                  </wp:positionV>
                  <wp:extent cx="424597" cy="358140"/>
                  <wp:effectExtent l="0" t="0" r="0" b="0"/>
                  <wp:wrapNone/>
                  <wp:docPr id="24" name="Picture 24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arrow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27" cy="36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73C73" w14:textId="77777777" w:rsidR="00BB130F" w:rsidRPr="001A4D6C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32" w:type="dxa"/>
          </w:tcPr>
          <w:p w14:paraId="6D26F339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96CAA">
              <w:rPr>
                <w:rFonts w:cstheme="minorHAnsi"/>
                <w:bCs/>
                <w:sz w:val="20"/>
                <w:szCs w:val="20"/>
              </w:rPr>
              <w:t>Sea ice</w:t>
            </w:r>
          </w:p>
          <w:p w14:paraId="0A4DBDAF" w14:textId="77777777" w:rsidR="00BB130F" w:rsidRPr="00A96CAA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>Decline in sea ice may favour increased pteropod abundance</w:t>
            </w:r>
          </w:p>
          <w:p w14:paraId="63728C4F" w14:textId="77777777" w:rsidR="00BB130F" w:rsidRPr="00A96CAA" w:rsidRDefault="00BB130F" w:rsidP="00E14A57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7D9335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96CAA">
              <w:rPr>
                <w:rFonts w:cstheme="minorHAnsi"/>
                <w:bCs/>
                <w:sz w:val="20"/>
                <w:szCs w:val="20"/>
              </w:rPr>
              <w:t>Ocean warming</w:t>
            </w:r>
          </w:p>
          <w:p w14:paraId="3885304C" w14:textId="77777777" w:rsidR="00BB130F" w:rsidRPr="00A96CAA" w:rsidRDefault="00BB130F" w:rsidP="00BB13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sz w:val="20"/>
                <w:szCs w:val="20"/>
              </w:rPr>
              <w:t>May favour abundance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sub-Antarctic pteropods</w:t>
            </w:r>
          </w:p>
          <w:p w14:paraId="689A977E" w14:textId="77777777" w:rsidR="00BB130F" w:rsidRPr="00A96CAA" w:rsidRDefault="00BB130F" w:rsidP="00BB13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May</w:t>
            </w: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result in a poleward shift in pteropods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resulting in range expansion for sub-Antarctic taxa and contraction for Antarctic species</w:t>
            </w:r>
          </w:p>
          <w:p w14:paraId="0DB2AC58" w14:textId="77777777" w:rsidR="00BB130F" w:rsidRPr="00D43994" w:rsidRDefault="00BB130F" w:rsidP="00E14A5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8A7135" w14:textId="77777777" w:rsidR="00BB130F" w:rsidRPr="00D43994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43994">
              <w:rPr>
                <w:rFonts w:cstheme="minorHAnsi"/>
                <w:bCs/>
                <w:sz w:val="20"/>
                <w:szCs w:val="20"/>
              </w:rPr>
              <w:t>Primary production</w:t>
            </w:r>
          </w:p>
          <w:p w14:paraId="4C25AB6F" w14:textId="77777777" w:rsidR="00BB130F" w:rsidRPr="00A96CAA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Expected to be an important driver of pteropod species composition and abundance</w:t>
            </w:r>
          </w:p>
          <w:p w14:paraId="5C2EAF78" w14:textId="77777777" w:rsidR="00BB130F" w:rsidRPr="00A96CAA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>Increased productivity may favour increased pteropod abundance</w:t>
            </w:r>
          </w:p>
          <w:p w14:paraId="060E68E3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1DA7B38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96CAA">
              <w:rPr>
                <w:rFonts w:cstheme="minorHAnsi"/>
                <w:bCs/>
                <w:sz w:val="20"/>
                <w:szCs w:val="20"/>
              </w:rPr>
              <w:t xml:space="preserve">Ocean acidification </w:t>
            </w:r>
          </w:p>
          <w:p w14:paraId="65B5FA5E" w14:textId="77777777" w:rsidR="00BB130F" w:rsidRPr="00A96CAA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>Thecosomes</w:t>
            </w:r>
            <w:proofErr w:type="spellEnd"/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may be increasingly negatively impacted by aragonite undersaturation, which will affect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higher latitude</w:t>
            </w: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waters first</w:t>
            </w:r>
          </w:p>
          <w:p w14:paraId="1152DF10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3442668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96CAA">
              <w:rPr>
                <w:rFonts w:cstheme="minorHAnsi"/>
                <w:bCs/>
                <w:sz w:val="20"/>
                <w:szCs w:val="20"/>
              </w:rPr>
              <w:t>Resilience</w:t>
            </w:r>
          </w:p>
          <w:p w14:paraId="58822318" w14:textId="77777777" w:rsidR="00BB130F" w:rsidRPr="00A96CAA" w:rsidRDefault="00BB130F" w:rsidP="00BB130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The seasonal </w:t>
            </w:r>
            <w:proofErr w:type="spellStart"/>
            <w:r w:rsidRPr="00A96CA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Ωar</w:t>
            </w:r>
            <w:proofErr w:type="spellEnd"/>
            <w:r w:rsidRPr="00A96CA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undersaturated conditions that Southern Ocean pteropods already experience, together with an ability to maintain shell integrity may be indicative of a level of resilience. This may come at a metabolic cost that is unlikely to be maintained over the longer-term</w:t>
            </w:r>
          </w:p>
          <w:p w14:paraId="13893C38" w14:textId="77777777" w:rsidR="00BB130F" w:rsidRPr="00A96CAA" w:rsidRDefault="00BB130F" w:rsidP="00E14A57">
            <w:pPr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12D7E46C" w14:textId="1062343F" w:rsidR="00BB130F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Future prognoses are limited by basic knowledge of thei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physiology, life history strategies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long-term changes in distribution and abundance,</w:t>
            </w:r>
            <w:r w:rsidR="0088202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resilienc</w:t>
            </w:r>
            <w:r w:rsidR="005F27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the mechanistic processes involved (particularly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regarding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ocean acidification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its interaction with other </w:t>
            </w:r>
            <w:r w:rsidR="00997E3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drivers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  <w:r w:rsidR="008B516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="00E300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Additive, </w:t>
            </w:r>
            <w:r w:rsidR="001460E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synergistic,</w:t>
            </w:r>
            <w:r w:rsidR="00E300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or antagonistic effects</w:t>
            </w:r>
            <w:r w:rsidR="008B5166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of multiple environmental drivers on th</w:t>
            </w:r>
            <w:r w:rsidR="008B516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ese</w:t>
            </w:r>
            <w:r w:rsidR="008B5166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300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aspects</w:t>
            </w:r>
            <w:r w:rsidR="008B5166" w:rsidRPr="008B37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BB5F0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poorly quantified</w:t>
            </w:r>
          </w:p>
          <w:p w14:paraId="7F62BFEC" w14:textId="77777777" w:rsidR="00BB130F" w:rsidRPr="00A96CAA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ub-Antarctic species may expand their distributions and abundance in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higher latitude 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waters</w:t>
            </w:r>
            <w:r w:rsidRPr="00A96C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4D4C7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Thecosomes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may be resilient to increasing aragonite undersaturation in the short-term.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Potential combined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impact of multiple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environmental 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drivers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not extensively explored</w:t>
            </w:r>
          </w:p>
          <w:p w14:paraId="0A69C5E3" w14:textId="77777777" w:rsidR="00BB130F" w:rsidRPr="00A96CAA" w:rsidRDefault="00BB130F" w:rsidP="00BB130F">
            <w:pPr>
              <w:pStyle w:val="ListParagraph"/>
              <w:numPr>
                <w:ilvl w:val="0"/>
                <w:numId w:val="9"/>
              </w:numPr>
              <w:ind w:left="455" w:hanging="426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Changes in</w:t>
            </w:r>
            <w:r w:rsidRPr="00A9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6C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distribution and abundance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will have implications for food web dynamics and biogeochemical cycling</w:t>
            </w:r>
          </w:p>
        </w:tc>
      </w:tr>
    </w:tbl>
    <w:p w14:paraId="2BBC7D54" w14:textId="7A5329DE" w:rsidR="00063D77" w:rsidRPr="005A6D9F" w:rsidRDefault="00063D77" w:rsidP="00063D77">
      <w:pPr>
        <w:rPr>
          <w:rFonts w:cstheme="minorHAnsi"/>
          <w:sz w:val="16"/>
          <w:szCs w:val="16"/>
        </w:rPr>
      </w:pPr>
      <w:r w:rsidRPr="005A6D9F"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  <w:lastRenderedPageBreak/>
        <w:t>*</w:t>
      </w:r>
      <w:r w:rsidRPr="005A6D9F">
        <w:rPr>
          <w:rFonts w:cstheme="minorHAnsi"/>
          <w:sz w:val="16"/>
          <w:szCs w:val="16"/>
        </w:rPr>
        <w:t xml:space="preserve"> This assessment represents our expert consensus as explained in </w:t>
      </w:r>
      <w:r w:rsidR="00C44D94">
        <w:rPr>
          <w:rFonts w:cstheme="minorHAnsi"/>
          <w:sz w:val="16"/>
          <w:szCs w:val="16"/>
        </w:rPr>
        <w:t xml:space="preserve">the </w:t>
      </w:r>
      <w:r w:rsidRPr="005A6D9F">
        <w:rPr>
          <w:rFonts w:cstheme="minorHAnsi"/>
          <w:sz w:val="16"/>
          <w:szCs w:val="16"/>
        </w:rPr>
        <w:t xml:space="preserve">Section </w:t>
      </w:r>
      <w:r w:rsidR="00C44D94">
        <w:rPr>
          <w:rFonts w:cstheme="minorHAnsi"/>
          <w:sz w:val="16"/>
          <w:szCs w:val="16"/>
        </w:rPr>
        <w:t>Summaries and Assessments</w:t>
      </w:r>
    </w:p>
    <w:p w14:paraId="278865F8" w14:textId="2DD0E7A7" w:rsidR="00BB130F" w:rsidRDefault="00BB130F" w:rsidP="00BB130F">
      <w:pPr>
        <w:rPr>
          <w:rFonts w:cstheme="minorHAnsi"/>
          <w:sz w:val="16"/>
          <w:szCs w:val="16"/>
        </w:rPr>
      </w:pPr>
      <w:r w:rsidRPr="005A6D9F">
        <w:rPr>
          <w:rFonts w:cstheme="minorHAnsi"/>
          <w:sz w:val="16"/>
          <w:szCs w:val="16"/>
        </w:rPr>
        <w:t>CCAMLR = Commission for the Conservation of Antarctic Marine Living Resources</w:t>
      </w:r>
    </w:p>
    <w:p w14:paraId="4253C0A4" w14:textId="24DD4365" w:rsidR="004067B2" w:rsidRPr="005A6D9F" w:rsidRDefault="004067B2" w:rsidP="00BB130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+ see main paper for reference details</w:t>
      </w:r>
    </w:p>
    <w:p w14:paraId="477A63BE" w14:textId="77777777" w:rsidR="00533135" w:rsidRDefault="00C44D94"/>
    <w:sectPr w:rsidR="00533135" w:rsidSect="00143E01"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65"/>
    <w:multiLevelType w:val="hybridMultilevel"/>
    <w:tmpl w:val="A584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042"/>
    <w:multiLevelType w:val="hybridMultilevel"/>
    <w:tmpl w:val="2026C578"/>
    <w:lvl w:ilvl="0" w:tplc="72AE1E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F05"/>
    <w:multiLevelType w:val="hybridMultilevel"/>
    <w:tmpl w:val="6AEE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D4B"/>
    <w:multiLevelType w:val="hybridMultilevel"/>
    <w:tmpl w:val="D8220DC8"/>
    <w:lvl w:ilvl="0" w:tplc="72AE1E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70B"/>
    <w:multiLevelType w:val="hybridMultilevel"/>
    <w:tmpl w:val="E8E8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4643E"/>
    <w:multiLevelType w:val="hybridMultilevel"/>
    <w:tmpl w:val="D0F8418E"/>
    <w:lvl w:ilvl="0" w:tplc="72AE1E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70B"/>
    <w:multiLevelType w:val="hybridMultilevel"/>
    <w:tmpl w:val="788A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D96"/>
    <w:multiLevelType w:val="hybridMultilevel"/>
    <w:tmpl w:val="E494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13CE8"/>
    <w:multiLevelType w:val="hybridMultilevel"/>
    <w:tmpl w:val="D9B4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1604F"/>
    <w:multiLevelType w:val="hybridMultilevel"/>
    <w:tmpl w:val="1236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2EC9"/>
    <w:multiLevelType w:val="hybridMultilevel"/>
    <w:tmpl w:val="99AE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10C29"/>
    <w:multiLevelType w:val="hybridMultilevel"/>
    <w:tmpl w:val="75E2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028219">
    <w:abstractNumId w:val="4"/>
  </w:num>
  <w:num w:numId="2" w16cid:durableId="830566745">
    <w:abstractNumId w:val="3"/>
  </w:num>
  <w:num w:numId="3" w16cid:durableId="2084642821">
    <w:abstractNumId w:val="9"/>
  </w:num>
  <w:num w:numId="4" w16cid:durableId="1828396760">
    <w:abstractNumId w:val="2"/>
  </w:num>
  <w:num w:numId="5" w16cid:durableId="135146801">
    <w:abstractNumId w:val="8"/>
  </w:num>
  <w:num w:numId="6" w16cid:durableId="972370450">
    <w:abstractNumId w:val="0"/>
  </w:num>
  <w:num w:numId="7" w16cid:durableId="1717044942">
    <w:abstractNumId w:val="7"/>
  </w:num>
  <w:num w:numId="8" w16cid:durableId="1243222365">
    <w:abstractNumId w:val="10"/>
  </w:num>
  <w:num w:numId="9" w16cid:durableId="1492408877">
    <w:abstractNumId w:val="1"/>
  </w:num>
  <w:num w:numId="10" w16cid:durableId="945426380">
    <w:abstractNumId w:val="11"/>
  </w:num>
  <w:num w:numId="11" w16cid:durableId="1480078627">
    <w:abstractNumId w:val="6"/>
  </w:num>
  <w:num w:numId="12" w16cid:durableId="1642464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0F"/>
    <w:rsid w:val="00004267"/>
    <w:rsid w:val="000232AF"/>
    <w:rsid w:val="0002620F"/>
    <w:rsid w:val="0003087B"/>
    <w:rsid w:val="0004739A"/>
    <w:rsid w:val="00053663"/>
    <w:rsid w:val="00063D77"/>
    <w:rsid w:val="00067E32"/>
    <w:rsid w:val="0007176F"/>
    <w:rsid w:val="0007378D"/>
    <w:rsid w:val="00091C8D"/>
    <w:rsid w:val="000B7B90"/>
    <w:rsid w:val="000C1AAC"/>
    <w:rsid w:val="000D644B"/>
    <w:rsid w:val="000F0943"/>
    <w:rsid w:val="000F2FE7"/>
    <w:rsid w:val="00103981"/>
    <w:rsid w:val="001052FA"/>
    <w:rsid w:val="00117376"/>
    <w:rsid w:val="00125F3C"/>
    <w:rsid w:val="0013334B"/>
    <w:rsid w:val="001460E9"/>
    <w:rsid w:val="00155301"/>
    <w:rsid w:val="00191C73"/>
    <w:rsid w:val="001B1836"/>
    <w:rsid w:val="001B63A0"/>
    <w:rsid w:val="001D04AA"/>
    <w:rsid w:val="001D6A12"/>
    <w:rsid w:val="001E2986"/>
    <w:rsid w:val="001F01F4"/>
    <w:rsid w:val="001F7435"/>
    <w:rsid w:val="00202583"/>
    <w:rsid w:val="002042A0"/>
    <w:rsid w:val="00205BED"/>
    <w:rsid w:val="0022127D"/>
    <w:rsid w:val="00225218"/>
    <w:rsid w:val="00225AF3"/>
    <w:rsid w:val="00242634"/>
    <w:rsid w:val="0025086B"/>
    <w:rsid w:val="0026496C"/>
    <w:rsid w:val="002712DA"/>
    <w:rsid w:val="002715D5"/>
    <w:rsid w:val="00283FA5"/>
    <w:rsid w:val="0028746F"/>
    <w:rsid w:val="002C29A9"/>
    <w:rsid w:val="002C7985"/>
    <w:rsid w:val="00301823"/>
    <w:rsid w:val="00302CFF"/>
    <w:rsid w:val="00325519"/>
    <w:rsid w:val="003451BA"/>
    <w:rsid w:val="003467A4"/>
    <w:rsid w:val="00346E00"/>
    <w:rsid w:val="00366F41"/>
    <w:rsid w:val="0038626A"/>
    <w:rsid w:val="003A09CA"/>
    <w:rsid w:val="003B10B1"/>
    <w:rsid w:val="003B30CC"/>
    <w:rsid w:val="003D4ABE"/>
    <w:rsid w:val="003D63ED"/>
    <w:rsid w:val="003E2699"/>
    <w:rsid w:val="003E2A7E"/>
    <w:rsid w:val="003F20CF"/>
    <w:rsid w:val="004067B2"/>
    <w:rsid w:val="0041375D"/>
    <w:rsid w:val="00422130"/>
    <w:rsid w:val="0042244F"/>
    <w:rsid w:val="004254B2"/>
    <w:rsid w:val="00433B5C"/>
    <w:rsid w:val="00435534"/>
    <w:rsid w:val="00436D30"/>
    <w:rsid w:val="00443BC2"/>
    <w:rsid w:val="00445726"/>
    <w:rsid w:val="00447434"/>
    <w:rsid w:val="00450DDD"/>
    <w:rsid w:val="004560AD"/>
    <w:rsid w:val="00461DE9"/>
    <w:rsid w:val="004652D7"/>
    <w:rsid w:val="00466BF8"/>
    <w:rsid w:val="00487FC3"/>
    <w:rsid w:val="004A7D96"/>
    <w:rsid w:val="004E39E6"/>
    <w:rsid w:val="004F50B4"/>
    <w:rsid w:val="004F5B8A"/>
    <w:rsid w:val="00505041"/>
    <w:rsid w:val="005214E1"/>
    <w:rsid w:val="005278B7"/>
    <w:rsid w:val="00527DB2"/>
    <w:rsid w:val="005431C1"/>
    <w:rsid w:val="0054459C"/>
    <w:rsid w:val="005640E5"/>
    <w:rsid w:val="00567A8B"/>
    <w:rsid w:val="005811A2"/>
    <w:rsid w:val="005900E5"/>
    <w:rsid w:val="00591635"/>
    <w:rsid w:val="005A6D9F"/>
    <w:rsid w:val="005B4CE5"/>
    <w:rsid w:val="005B5F71"/>
    <w:rsid w:val="005C3533"/>
    <w:rsid w:val="005D4745"/>
    <w:rsid w:val="005D51BB"/>
    <w:rsid w:val="005F27D7"/>
    <w:rsid w:val="005F365E"/>
    <w:rsid w:val="005F615D"/>
    <w:rsid w:val="00604E53"/>
    <w:rsid w:val="006265EC"/>
    <w:rsid w:val="00630B4C"/>
    <w:rsid w:val="00633AEF"/>
    <w:rsid w:val="00686BEF"/>
    <w:rsid w:val="006911CC"/>
    <w:rsid w:val="006A03EE"/>
    <w:rsid w:val="006B1EB5"/>
    <w:rsid w:val="006B2FF0"/>
    <w:rsid w:val="006C1457"/>
    <w:rsid w:val="006F1A27"/>
    <w:rsid w:val="00716B31"/>
    <w:rsid w:val="00723207"/>
    <w:rsid w:val="00735321"/>
    <w:rsid w:val="00753028"/>
    <w:rsid w:val="007543EC"/>
    <w:rsid w:val="00770FDD"/>
    <w:rsid w:val="007852D1"/>
    <w:rsid w:val="007C18F7"/>
    <w:rsid w:val="007D7B52"/>
    <w:rsid w:val="007E4904"/>
    <w:rsid w:val="00801F24"/>
    <w:rsid w:val="008063CF"/>
    <w:rsid w:val="0081568A"/>
    <w:rsid w:val="00817793"/>
    <w:rsid w:val="008179E9"/>
    <w:rsid w:val="00851E3F"/>
    <w:rsid w:val="0088006D"/>
    <w:rsid w:val="0088202C"/>
    <w:rsid w:val="00882ACE"/>
    <w:rsid w:val="00897927"/>
    <w:rsid w:val="008A0D58"/>
    <w:rsid w:val="008A5B12"/>
    <w:rsid w:val="008B375C"/>
    <w:rsid w:val="008B5166"/>
    <w:rsid w:val="008D0CF2"/>
    <w:rsid w:val="008D2C18"/>
    <w:rsid w:val="008E2D6C"/>
    <w:rsid w:val="008F7FEE"/>
    <w:rsid w:val="009056E7"/>
    <w:rsid w:val="00907460"/>
    <w:rsid w:val="00907887"/>
    <w:rsid w:val="00920C24"/>
    <w:rsid w:val="00934164"/>
    <w:rsid w:val="00942BDE"/>
    <w:rsid w:val="00950AF3"/>
    <w:rsid w:val="00964A73"/>
    <w:rsid w:val="00966068"/>
    <w:rsid w:val="00971453"/>
    <w:rsid w:val="00990259"/>
    <w:rsid w:val="00992D62"/>
    <w:rsid w:val="00996687"/>
    <w:rsid w:val="00997E37"/>
    <w:rsid w:val="009B4456"/>
    <w:rsid w:val="009C2D38"/>
    <w:rsid w:val="009D42C2"/>
    <w:rsid w:val="00A0044C"/>
    <w:rsid w:val="00A16605"/>
    <w:rsid w:val="00A178FD"/>
    <w:rsid w:val="00A20301"/>
    <w:rsid w:val="00A27174"/>
    <w:rsid w:val="00A3387B"/>
    <w:rsid w:val="00A541ED"/>
    <w:rsid w:val="00A54575"/>
    <w:rsid w:val="00A61696"/>
    <w:rsid w:val="00A61840"/>
    <w:rsid w:val="00A67AE8"/>
    <w:rsid w:val="00A743B9"/>
    <w:rsid w:val="00A80E31"/>
    <w:rsid w:val="00AA48DA"/>
    <w:rsid w:val="00AA613C"/>
    <w:rsid w:val="00AA7537"/>
    <w:rsid w:val="00AC0D1B"/>
    <w:rsid w:val="00AC430F"/>
    <w:rsid w:val="00AC78FA"/>
    <w:rsid w:val="00AD1ECF"/>
    <w:rsid w:val="00AF1D60"/>
    <w:rsid w:val="00AF3B81"/>
    <w:rsid w:val="00B03E77"/>
    <w:rsid w:val="00B11445"/>
    <w:rsid w:val="00B131F3"/>
    <w:rsid w:val="00B22BB7"/>
    <w:rsid w:val="00B812DB"/>
    <w:rsid w:val="00B83F2D"/>
    <w:rsid w:val="00B875A3"/>
    <w:rsid w:val="00B9527E"/>
    <w:rsid w:val="00BA779C"/>
    <w:rsid w:val="00BB130F"/>
    <w:rsid w:val="00BB1378"/>
    <w:rsid w:val="00BB5F0E"/>
    <w:rsid w:val="00BD444B"/>
    <w:rsid w:val="00BE06D1"/>
    <w:rsid w:val="00C00A71"/>
    <w:rsid w:val="00C15F0B"/>
    <w:rsid w:val="00C224DE"/>
    <w:rsid w:val="00C25EE2"/>
    <w:rsid w:val="00C4063D"/>
    <w:rsid w:val="00C43551"/>
    <w:rsid w:val="00C44D94"/>
    <w:rsid w:val="00C54513"/>
    <w:rsid w:val="00C756EF"/>
    <w:rsid w:val="00C81349"/>
    <w:rsid w:val="00C81A4F"/>
    <w:rsid w:val="00C928E7"/>
    <w:rsid w:val="00CA1209"/>
    <w:rsid w:val="00CC5FB3"/>
    <w:rsid w:val="00CF7354"/>
    <w:rsid w:val="00D35A71"/>
    <w:rsid w:val="00D5054C"/>
    <w:rsid w:val="00D51153"/>
    <w:rsid w:val="00D6178B"/>
    <w:rsid w:val="00D83472"/>
    <w:rsid w:val="00D845CE"/>
    <w:rsid w:val="00D96969"/>
    <w:rsid w:val="00DA45CA"/>
    <w:rsid w:val="00DD5BA3"/>
    <w:rsid w:val="00DE2194"/>
    <w:rsid w:val="00E001E5"/>
    <w:rsid w:val="00E037D6"/>
    <w:rsid w:val="00E045E5"/>
    <w:rsid w:val="00E17B0C"/>
    <w:rsid w:val="00E24FA6"/>
    <w:rsid w:val="00E30011"/>
    <w:rsid w:val="00E32A50"/>
    <w:rsid w:val="00E333FB"/>
    <w:rsid w:val="00E4526D"/>
    <w:rsid w:val="00E52F91"/>
    <w:rsid w:val="00E57F26"/>
    <w:rsid w:val="00E72AB5"/>
    <w:rsid w:val="00E969EB"/>
    <w:rsid w:val="00EA6F5C"/>
    <w:rsid w:val="00EB2F14"/>
    <w:rsid w:val="00EB6F46"/>
    <w:rsid w:val="00EC1635"/>
    <w:rsid w:val="00EE3E12"/>
    <w:rsid w:val="00EE564E"/>
    <w:rsid w:val="00F22F42"/>
    <w:rsid w:val="00F62E9D"/>
    <w:rsid w:val="00F74C79"/>
    <w:rsid w:val="00F7602A"/>
    <w:rsid w:val="00F8274A"/>
    <w:rsid w:val="00F90237"/>
    <w:rsid w:val="00F927A4"/>
    <w:rsid w:val="00F94A08"/>
    <w:rsid w:val="00FA03DC"/>
    <w:rsid w:val="00FB104E"/>
    <w:rsid w:val="00FC03F4"/>
    <w:rsid w:val="00FC66B6"/>
    <w:rsid w:val="00FC731C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3B325"/>
  <w15:chartTrackingRefBased/>
  <w15:docId w15:val="{01EA7DE9-48AF-8C47-AE47-934AB326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0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Johnston - BAS</dc:creator>
  <cp:keywords/>
  <dc:description/>
  <cp:lastModifiedBy>Nadine Johnston - BAS</cp:lastModifiedBy>
  <cp:revision>15</cp:revision>
  <dcterms:created xsi:type="dcterms:W3CDTF">2022-04-10T17:40:00Z</dcterms:created>
  <dcterms:modified xsi:type="dcterms:W3CDTF">2022-04-20T13:31:00Z</dcterms:modified>
</cp:coreProperties>
</file>