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AC01" w14:textId="73B95B02" w:rsidR="003B4B77" w:rsidRPr="00DD4331" w:rsidRDefault="009B7245" w:rsidP="00DD4331">
      <w:pPr>
        <w:spacing w:line="480" w:lineRule="auto"/>
        <w:rPr>
          <w:rFonts w:ascii="Times New Roman" w:hAnsi="Times New Roman" w:cs="Times New Roman"/>
        </w:rPr>
      </w:pPr>
      <w:r w:rsidRPr="00DD4331">
        <w:rPr>
          <w:rFonts w:ascii="Times New Roman" w:hAnsi="Times New Roman" w:cs="Times New Roman"/>
          <w:b/>
          <w:bCs/>
        </w:rPr>
        <w:t>Appendix B</w:t>
      </w:r>
      <w:r w:rsidR="00DD4331" w:rsidRPr="00DD4331">
        <w:rPr>
          <w:rFonts w:ascii="Times New Roman" w:hAnsi="Times New Roman" w:cs="Times New Roman"/>
          <w:b/>
          <w:bCs/>
        </w:rPr>
        <w:t>.</w:t>
      </w:r>
      <w:r w:rsidR="00DD4331" w:rsidRPr="00DD4331">
        <w:rPr>
          <w:rFonts w:ascii="Times New Roman" w:hAnsi="Times New Roman" w:cs="Times New Roman"/>
        </w:rPr>
        <w:t xml:space="preserve"> </w:t>
      </w:r>
      <w:r w:rsidR="003B4B77" w:rsidRPr="00DD4331">
        <w:rPr>
          <w:rFonts w:ascii="Times New Roman" w:hAnsi="Times New Roman" w:cs="Times New Roman"/>
        </w:rPr>
        <w:t>Methods used for estimation of vegetation conditions across a range of management scenarios to support application of the Interagency Deer Habitat Suitability Model.</w:t>
      </w:r>
    </w:p>
    <w:p w14:paraId="097F5ACA" w14:textId="77777777" w:rsidR="003B4B77" w:rsidRPr="00DD4331" w:rsidRDefault="003B4B77" w:rsidP="00DD4331">
      <w:pPr>
        <w:spacing w:line="480" w:lineRule="auto"/>
        <w:jc w:val="both"/>
        <w:rPr>
          <w:rFonts w:ascii="Times New Roman" w:hAnsi="Times New Roman" w:cs="Times New Roman"/>
        </w:rPr>
      </w:pPr>
    </w:p>
    <w:p w14:paraId="75CAA23D" w14:textId="77777777" w:rsidR="003B4B77" w:rsidRPr="00DD4331" w:rsidRDefault="003B4B77" w:rsidP="00DD4331">
      <w:pPr>
        <w:spacing w:before="120" w:line="480" w:lineRule="auto"/>
        <w:rPr>
          <w:rFonts w:ascii="Times New Roman" w:hAnsi="Times New Roman" w:cs="Times New Roman"/>
        </w:rPr>
      </w:pPr>
      <w:r w:rsidRPr="00DD4331">
        <w:rPr>
          <w:rFonts w:ascii="Times New Roman" w:hAnsi="Times New Roman" w:cs="Times New Roman"/>
        </w:rPr>
        <w:t xml:space="preserve">To estimate the changes in vegetation in the study area due to 6 different possible timber harvest management decisions, we used the following assumptions to construct GIS-based maps of vegetation change at 10-year intervals (i.e., in 2015, 2025, 2035, and 204). These vegetation changes were subsequently used to calculate changes in deer carrying capacity. For each vegetation scenario, we discuss assumptions by land designation such as likely amount of harvest of different forest </w:t>
      </w:r>
      <w:proofErr w:type="gramStart"/>
      <w:r w:rsidRPr="00DD4331">
        <w:rPr>
          <w:rFonts w:ascii="Times New Roman" w:hAnsi="Times New Roman" w:cs="Times New Roman"/>
        </w:rPr>
        <w:t>classes, and</w:t>
      </w:r>
      <w:proofErr w:type="gramEnd"/>
      <w:r w:rsidRPr="00DD4331">
        <w:rPr>
          <w:rFonts w:ascii="Times New Roman" w:hAnsi="Times New Roman" w:cs="Times New Roman"/>
        </w:rPr>
        <w:t xml:space="preserve"> include the Metal Health Land Trust Exchange Proposal (MHLT), the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Land Entitlement Finalization, Tongass National Forest lands, State of Alaska Forest lands, and Other ANCSA Corporation lands.</w:t>
      </w:r>
    </w:p>
    <w:p w14:paraId="79BEFA77" w14:textId="77777777" w:rsidR="003B4B77" w:rsidRPr="00DD4331" w:rsidRDefault="003B4B77" w:rsidP="00DD4331">
      <w:pPr>
        <w:spacing w:line="480" w:lineRule="auto"/>
        <w:rPr>
          <w:rFonts w:ascii="Times New Roman" w:hAnsi="Times New Roman" w:cs="Times New Roman"/>
          <w:b/>
        </w:rPr>
      </w:pPr>
    </w:p>
    <w:p w14:paraId="2E9B8E42" w14:textId="77777777" w:rsidR="003B4B77" w:rsidRPr="00DD4331" w:rsidRDefault="003B4B77" w:rsidP="00DD4331">
      <w:pPr>
        <w:spacing w:line="480" w:lineRule="auto"/>
        <w:rPr>
          <w:rFonts w:ascii="Times New Roman" w:hAnsi="Times New Roman" w:cs="Times New Roman"/>
          <w:i/>
        </w:rPr>
      </w:pPr>
      <w:r w:rsidRPr="00DD4331">
        <w:rPr>
          <w:rFonts w:ascii="Times New Roman" w:hAnsi="Times New Roman" w:cs="Times New Roman"/>
          <w:i/>
        </w:rPr>
        <w:t>1) No future harvest</w:t>
      </w:r>
    </w:p>
    <w:p w14:paraId="20AD4A87" w14:textId="77777777" w:rsidR="003B4B77" w:rsidRPr="00DD4331" w:rsidRDefault="003B4B77" w:rsidP="00DD4331">
      <w:pPr>
        <w:spacing w:before="120" w:line="480" w:lineRule="auto"/>
        <w:rPr>
          <w:rFonts w:ascii="Times New Roman" w:hAnsi="Times New Roman" w:cs="Times New Roman"/>
        </w:rPr>
      </w:pPr>
      <w:r w:rsidRPr="00DD4331">
        <w:rPr>
          <w:rFonts w:ascii="Times New Roman" w:hAnsi="Times New Roman" w:cs="Times New Roman"/>
        </w:rPr>
        <w:t xml:space="preserve">This potential vegetation future assumes no further harvest of timber in the Prince of Wales study area after 2014, including no harvest of lands that are part of Mental Health Land Trust Exchange Proposal, the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Land Entitlement Finalization, Tongass National Forest lands, State of Alaska Forest lands, and Other ANCSA Corporation lands.</w:t>
      </w:r>
    </w:p>
    <w:p w14:paraId="3310DAA3" w14:textId="77777777" w:rsidR="003B4B77" w:rsidRPr="00DD4331" w:rsidRDefault="003B4B77" w:rsidP="00DD4331">
      <w:pPr>
        <w:spacing w:line="480" w:lineRule="auto"/>
        <w:rPr>
          <w:rFonts w:ascii="Times New Roman" w:hAnsi="Times New Roman" w:cs="Times New Roman"/>
          <w:b/>
        </w:rPr>
      </w:pPr>
    </w:p>
    <w:p w14:paraId="28A05E88" w14:textId="77777777" w:rsidR="003B4B77" w:rsidRPr="00DD4331" w:rsidRDefault="003B4B77" w:rsidP="00DD4331">
      <w:pPr>
        <w:spacing w:line="480" w:lineRule="auto"/>
        <w:rPr>
          <w:rFonts w:ascii="Times New Roman" w:hAnsi="Times New Roman" w:cs="Times New Roman"/>
          <w:i/>
        </w:rPr>
      </w:pPr>
      <w:r w:rsidRPr="00DD4331">
        <w:rPr>
          <w:rFonts w:ascii="Times New Roman" w:hAnsi="Times New Roman" w:cs="Times New Roman"/>
          <w:i/>
        </w:rPr>
        <w:t>2) Transition to young growth</w:t>
      </w:r>
    </w:p>
    <w:p w14:paraId="2B574D8A" w14:textId="77777777" w:rsidR="003B4B77" w:rsidRPr="00DD4331" w:rsidRDefault="003B4B77" w:rsidP="00DD4331">
      <w:pPr>
        <w:spacing w:line="480" w:lineRule="auto"/>
        <w:rPr>
          <w:rFonts w:ascii="Times New Roman" w:hAnsi="Times New Roman" w:cs="Times New Roman"/>
        </w:rPr>
      </w:pPr>
      <w:r w:rsidRPr="00DD4331">
        <w:rPr>
          <w:rFonts w:ascii="Times New Roman" w:hAnsi="Times New Roman" w:cs="Times New Roman"/>
        </w:rPr>
        <w:lastRenderedPageBreak/>
        <w:t xml:space="preserve">This potential vegetation future is based on the transition from harvest of old–growth to young–growth forest, as planned by the U.S. Forest Service, and includes some harvest of old growth to supply the timber industry over a </w:t>
      </w:r>
      <w:proofErr w:type="gramStart"/>
      <w:r w:rsidRPr="00DD4331">
        <w:rPr>
          <w:rFonts w:ascii="Times New Roman" w:hAnsi="Times New Roman" w:cs="Times New Roman"/>
        </w:rPr>
        <w:t>10-15 year</w:t>
      </w:r>
      <w:proofErr w:type="gramEnd"/>
      <w:r w:rsidRPr="00DD4331">
        <w:rPr>
          <w:rFonts w:ascii="Times New Roman" w:hAnsi="Times New Roman" w:cs="Times New Roman"/>
        </w:rPr>
        <w:t xml:space="preserve"> period while more young-growth grows to harvestable age. </w:t>
      </w:r>
    </w:p>
    <w:p w14:paraId="4F468192" w14:textId="77777777" w:rsidR="003B4B77" w:rsidRPr="00DD4331" w:rsidRDefault="003B4B77" w:rsidP="00DD4331">
      <w:pPr>
        <w:spacing w:line="480" w:lineRule="auto"/>
        <w:rPr>
          <w:rFonts w:ascii="Times New Roman" w:hAnsi="Times New Roman" w:cs="Times New Roman"/>
        </w:rPr>
      </w:pPr>
    </w:p>
    <w:p w14:paraId="5EE5A118"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Tongass National Forest</w:t>
      </w:r>
    </w:p>
    <w:p w14:paraId="2A61F481" w14:textId="77777777" w:rsidR="003B4B77" w:rsidRPr="00DD4331" w:rsidRDefault="003B4B77" w:rsidP="00DD4331">
      <w:pPr>
        <w:numPr>
          <w:ilvl w:val="0"/>
          <w:numId w:val="1"/>
        </w:numPr>
        <w:spacing w:line="480" w:lineRule="auto"/>
        <w:contextualSpacing/>
        <w:rPr>
          <w:rFonts w:ascii="Times New Roman" w:hAnsi="Times New Roman" w:cs="Times New Roman"/>
        </w:rPr>
      </w:pPr>
      <w:r w:rsidRPr="00DD4331">
        <w:rPr>
          <w:rFonts w:ascii="Times New Roman" w:hAnsi="Times New Roman" w:cs="Times New Roman"/>
        </w:rPr>
        <w:t xml:space="preserve">The land base excludes roadless areas according to 2001 Roadless </w:t>
      </w:r>
      <w:proofErr w:type="gramStart"/>
      <w:r w:rsidRPr="00DD4331">
        <w:rPr>
          <w:rFonts w:ascii="Times New Roman" w:hAnsi="Times New Roman" w:cs="Times New Roman"/>
        </w:rPr>
        <w:t>Rule, and</w:t>
      </w:r>
      <w:proofErr w:type="gramEnd"/>
      <w:r w:rsidRPr="00DD4331">
        <w:rPr>
          <w:rFonts w:ascii="Times New Roman" w:hAnsi="Times New Roman" w:cs="Times New Roman"/>
        </w:rPr>
        <w:t xml:space="preserve"> is located entirely within the 2008 Tongass Land Management Plan (USFS 2008) Phase 1 Suitable Land Base.</w:t>
      </w:r>
    </w:p>
    <w:p w14:paraId="0AEDCA17" w14:textId="77777777" w:rsidR="003B4B77" w:rsidRPr="00DD4331" w:rsidRDefault="003B4B77" w:rsidP="00DD4331">
      <w:pPr>
        <w:numPr>
          <w:ilvl w:val="0"/>
          <w:numId w:val="1"/>
        </w:numPr>
        <w:spacing w:line="480" w:lineRule="auto"/>
        <w:contextualSpacing/>
        <w:rPr>
          <w:rFonts w:ascii="Times New Roman" w:hAnsi="Times New Roman" w:cs="Times New Roman"/>
        </w:rPr>
      </w:pPr>
      <w:r w:rsidRPr="00DD4331">
        <w:rPr>
          <w:rFonts w:ascii="Times New Roman" w:hAnsi="Times New Roman" w:cs="Times New Roman"/>
        </w:rPr>
        <w:t xml:space="preserve">Assumes the Big Thorne Timber Sale </w:t>
      </w:r>
      <w:proofErr w:type="gramStart"/>
      <w:r w:rsidRPr="00DD4331">
        <w:rPr>
          <w:rFonts w:ascii="Times New Roman" w:hAnsi="Times New Roman" w:cs="Times New Roman"/>
        </w:rPr>
        <w:t>proceeds, and</w:t>
      </w:r>
      <w:proofErr w:type="gramEnd"/>
      <w:r w:rsidRPr="00DD4331">
        <w:rPr>
          <w:rFonts w:ascii="Times New Roman" w:hAnsi="Times New Roman" w:cs="Times New Roman"/>
        </w:rPr>
        <w:t xml:space="preserve"> provides an estimated 149 million board feet (</w:t>
      </w:r>
      <w:proofErr w:type="spellStart"/>
      <w:r w:rsidRPr="00DD4331">
        <w:rPr>
          <w:rFonts w:ascii="Times New Roman" w:hAnsi="Times New Roman" w:cs="Times New Roman"/>
        </w:rPr>
        <w:t>mmbf</w:t>
      </w:r>
      <w:proofErr w:type="spellEnd"/>
      <w:r w:rsidRPr="00DD4331">
        <w:rPr>
          <w:rFonts w:ascii="Times New Roman" w:hAnsi="Times New Roman" w:cs="Times New Roman"/>
        </w:rPr>
        <w:t>) of old-growth (OG) timber.</w:t>
      </w:r>
    </w:p>
    <w:p w14:paraId="5F6E83EF" w14:textId="77777777" w:rsidR="003B4B77" w:rsidRPr="00DD4331" w:rsidRDefault="003B4B77" w:rsidP="00DD4331">
      <w:pPr>
        <w:numPr>
          <w:ilvl w:val="0"/>
          <w:numId w:val="1"/>
        </w:numPr>
        <w:spacing w:line="480" w:lineRule="auto"/>
        <w:contextualSpacing/>
        <w:rPr>
          <w:rFonts w:ascii="Times New Roman" w:hAnsi="Times New Roman" w:cs="Times New Roman"/>
        </w:rPr>
      </w:pPr>
      <w:r w:rsidRPr="00DD4331">
        <w:rPr>
          <w:rFonts w:ascii="Times New Roman" w:hAnsi="Times New Roman" w:cs="Times New Roman"/>
        </w:rPr>
        <w:t xml:space="preserve">The location and schedule of additional OG and young-growth (YG) projects are those currently described in the 5-year schedule of activities.  These include small OG sales as part of </w:t>
      </w:r>
      <w:proofErr w:type="spellStart"/>
      <w:r w:rsidRPr="00DD4331">
        <w:rPr>
          <w:rFonts w:ascii="Times New Roman" w:hAnsi="Times New Roman" w:cs="Times New Roman"/>
        </w:rPr>
        <w:t>Kosciusco</w:t>
      </w:r>
      <w:proofErr w:type="spellEnd"/>
      <w:r w:rsidRPr="00DD4331">
        <w:rPr>
          <w:rFonts w:ascii="Times New Roman" w:hAnsi="Times New Roman" w:cs="Times New Roman"/>
        </w:rPr>
        <w:t xml:space="preserve"> Island Stewardship (12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YG, 1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OG) in 2015; </w:t>
      </w:r>
      <w:proofErr w:type="spellStart"/>
      <w:r w:rsidRPr="00DD4331">
        <w:rPr>
          <w:rFonts w:ascii="Times New Roman" w:hAnsi="Times New Roman" w:cs="Times New Roman"/>
        </w:rPr>
        <w:t>Naukati</w:t>
      </w:r>
      <w:proofErr w:type="spellEnd"/>
      <w:r w:rsidRPr="00DD4331">
        <w:rPr>
          <w:rFonts w:ascii="Times New Roman" w:hAnsi="Times New Roman" w:cs="Times New Roman"/>
        </w:rPr>
        <w:t>-</w:t>
      </w:r>
      <w:proofErr w:type="spellStart"/>
      <w:r w:rsidRPr="00DD4331">
        <w:rPr>
          <w:rFonts w:ascii="Times New Roman" w:hAnsi="Times New Roman" w:cs="Times New Roman"/>
        </w:rPr>
        <w:t>Staney</w:t>
      </w:r>
      <w:proofErr w:type="spellEnd"/>
      <w:r w:rsidRPr="00DD4331">
        <w:rPr>
          <w:rFonts w:ascii="Times New Roman" w:hAnsi="Times New Roman" w:cs="Times New Roman"/>
        </w:rPr>
        <w:t xml:space="preserve">-Sea Otter Sound (10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YG, 10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OG) in 2017; Polk Inlet/12-Mile Stewardship (20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YG, 10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OG) in 2018, Neck Lake/Alder Creek (13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OG) in 2019, and Polk/12-Mile Stewardship II (5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YG, 5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OG) in 2018.</w:t>
      </w:r>
    </w:p>
    <w:p w14:paraId="2DC84EC7" w14:textId="77777777" w:rsidR="003B4B77" w:rsidRPr="00DD4331" w:rsidRDefault="003B4B77" w:rsidP="00DD4331">
      <w:pPr>
        <w:numPr>
          <w:ilvl w:val="0"/>
          <w:numId w:val="1"/>
        </w:numPr>
        <w:spacing w:line="480" w:lineRule="auto"/>
        <w:contextualSpacing/>
        <w:rPr>
          <w:rFonts w:ascii="Times New Roman" w:hAnsi="Times New Roman" w:cs="Times New Roman"/>
        </w:rPr>
      </w:pPr>
      <w:r w:rsidRPr="00DD4331">
        <w:rPr>
          <w:rFonts w:ascii="Times New Roman" w:hAnsi="Times New Roman" w:cs="Times New Roman"/>
        </w:rPr>
        <w:t>Specific locations of YG units to be logged in 2</w:t>
      </w:r>
      <w:r w:rsidRPr="00DD4331">
        <w:rPr>
          <w:rFonts w:ascii="Times New Roman" w:hAnsi="Times New Roman" w:cs="Times New Roman"/>
          <w:vertAlign w:val="superscript"/>
        </w:rPr>
        <w:t>nd</w:t>
      </w:r>
      <w:r w:rsidRPr="00DD4331">
        <w:rPr>
          <w:rFonts w:ascii="Times New Roman" w:hAnsi="Times New Roman" w:cs="Times New Roman"/>
        </w:rPr>
        <w:t xml:space="preserve">-rotation, even-aged harvest during this period were provided by USFS, and total approximately 40,000 acres.  </w:t>
      </w:r>
    </w:p>
    <w:p w14:paraId="7882F1CB" w14:textId="77777777" w:rsidR="003B4B77" w:rsidRPr="00DD4331" w:rsidRDefault="003B4B77" w:rsidP="00DD4331">
      <w:pPr>
        <w:numPr>
          <w:ilvl w:val="0"/>
          <w:numId w:val="1"/>
        </w:numPr>
        <w:spacing w:line="480" w:lineRule="auto"/>
        <w:contextualSpacing/>
        <w:rPr>
          <w:rFonts w:ascii="Times New Roman" w:hAnsi="Times New Roman" w:cs="Times New Roman"/>
        </w:rPr>
      </w:pPr>
      <w:r w:rsidRPr="00DD4331">
        <w:rPr>
          <w:rFonts w:ascii="Times New Roman" w:hAnsi="Times New Roman" w:cs="Times New Roman"/>
        </w:rPr>
        <w:t xml:space="preserve">For OG harvest, the specific </w:t>
      </w:r>
      <w:proofErr w:type="gramStart"/>
      <w:r w:rsidRPr="00DD4331">
        <w:rPr>
          <w:rFonts w:ascii="Times New Roman" w:hAnsi="Times New Roman" w:cs="Times New Roman"/>
        </w:rPr>
        <w:t>locations</w:t>
      </w:r>
      <w:proofErr w:type="gramEnd"/>
      <w:r w:rsidRPr="00DD4331">
        <w:rPr>
          <w:rFonts w:ascii="Times New Roman" w:hAnsi="Times New Roman" w:cs="Times New Roman"/>
        </w:rPr>
        <w:t xml:space="preserve"> of timber stands to be logged were identified by first limiting the query to the specific watersheds (Value Comparison Units) listed in the USFS Activities Schedule.  This land base contains more than enough timber to </w:t>
      </w:r>
      <w:r w:rsidRPr="00DD4331">
        <w:rPr>
          <w:rFonts w:ascii="Times New Roman" w:hAnsi="Times New Roman" w:cs="Times New Roman"/>
        </w:rPr>
        <w:lastRenderedPageBreak/>
        <w:t xml:space="preserve">meet this level of demand.  A sub-set of timber lands most likely to be logged was identified using a timber Resource Selection Function (RSF) developed by Albert and </w:t>
      </w:r>
      <w:proofErr w:type="spellStart"/>
      <w:r w:rsidRPr="00DD4331">
        <w:rPr>
          <w:rFonts w:ascii="Times New Roman" w:hAnsi="Times New Roman" w:cs="Times New Roman"/>
        </w:rPr>
        <w:t>Scheon</w:t>
      </w:r>
      <w:proofErr w:type="spellEnd"/>
      <w:r w:rsidRPr="00DD4331">
        <w:rPr>
          <w:rFonts w:ascii="Times New Roman" w:hAnsi="Times New Roman" w:cs="Times New Roman"/>
        </w:rPr>
        <w:t xml:space="preserve"> (2013) based on stand characteristics disproportionately selected for logging during 1954 – 2004.  We refer to these stands as ‘preferentially selected’ timber lands, as distinct from the more general classification of ‘suitable’ used in the TLMP.  We adjusted the resource selection index to meet the required volume estimates of each sale, equivalent to RSF &gt; 0.5 and yielding an estimated 1,195 acres of OG harvest and a total of approximately 40.5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of sawlog + utility (S + U) volume.</w:t>
      </w:r>
    </w:p>
    <w:p w14:paraId="52830037" w14:textId="77777777" w:rsidR="003B4B77" w:rsidRPr="00DD4331" w:rsidRDefault="003B4B77" w:rsidP="00DD4331">
      <w:pPr>
        <w:spacing w:line="480" w:lineRule="auto"/>
        <w:ind w:left="720"/>
        <w:contextualSpacing/>
        <w:rPr>
          <w:rFonts w:ascii="Times New Roman" w:hAnsi="Times New Roman" w:cs="Times New Roman"/>
        </w:rPr>
      </w:pPr>
    </w:p>
    <w:p w14:paraId="06AC2769"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Mental Health Land Trust Exchange Proposal</w:t>
      </w:r>
    </w:p>
    <w:p w14:paraId="15708A10" w14:textId="77777777" w:rsidR="003B4B77" w:rsidRPr="00DD4331" w:rsidRDefault="003B4B77" w:rsidP="00DD4331">
      <w:pPr>
        <w:numPr>
          <w:ilvl w:val="0"/>
          <w:numId w:val="2"/>
        </w:numPr>
        <w:spacing w:line="480" w:lineRule="auto"/>
        <w:contextualSpacing/>
        <w:rPr>
          <w:rFonts w:ascii="Times New Roman" w:hAnsi="Times New Roman" w:cs="Times New Roman"/>
        </w:rPr>
      </w:pPr>
      <w:r w:rsidRPr="00DD4331">
        <w:rPr>
          <w:rFonts w:ascii="Times New Roman" w:hAnsi="Times New Roman" w:cs="Times New Roman"/>
        </w:rPr>
        <w:t>Assumes that the MHLT exchange is not approved.</w:t>
      </w:r>
    </w:p>
    <w:p w14:paraId="196D5404" w14:textId="77777777" w:rsidR="003B4B77" w:rsidRPr="00DD4331" w:rsidRDefault="003B4B77" w:rsidP="00DD4331">
      <w:pPr>
        <w:spacing w:line="480" w:lineRule="auto"/>
        <w:ind w:left="720"/>
        <w:contextualSpacing/>
        <w:rPr>
          <w:rFonts w:ascii="Times New Roman" w:hAnsi="Times New Roman" w:cs="Times New Roman"/>
        </w:rPr>
      </w:pPr>
    </w:p>
    <w:p w14:paraId="123CECE1" w14:textId="77777777" w:rsidR="003B4B77" w:rsidRPr="00DD4331" w:rsidRDefault="003B4B77" w:rsidP="00DD4331">
      <w:pPr>
        <w:spacing w:before="120" w:line="480" w:lineRule="auto"/>
        <w:rPr>
          <w:rFonts w:ascii="Times New Roman" w:hAnsi="Times New Roman" w:cs="Times New Roman"/>
          <w:i/>
        </w:rPr>
      </w:pPr>
      <w:proofErr w:type="spellStart"/>
      <w:r w:rsidRPr="00DD4331">
        <w:rPr>
          <w:rFonts w:ascii="Times New Roman" w:hAnsi="Times New Roman" w:cs="Times New Roman"/>
          <w:i/>
        </w:rPr>
        <w:t>Sealaska</w:t>
      </w:r>
      <w:proofErr w:type="spellEnd"/>
      <w:r w:rsidRPr="00DD4331">
        <w:rPr>
          <w:rFonts w:ascii="Times New Roman" w:hAnsi="Times New Roman" w:cs="Times New Roman"/>
          <w:i/>
        </w:rPr>
        <w:t xml:space="preserve"> Land Entitlement Finalization</w:t>
      </w:r>
    </w:p>
    <w:p w14:paraId="46583BE5" w14:textId="77777777" w:rsidR="003B4B77" w:rsidRPr="00DD4331" w:rsidRDefault="003B4B77" w:rsidP="00DD4331">
      <w:pPr>
        <w:numPr>
          <w:ilvl w:val="0"/>
          <w:numId w:val="2"/>
        </w:numPr>
        <w:spacing w:line="480" w:lineRule="auto"/>
        <w:contextualSpacing/>
        <w:rPr>
          <w:rFonts w:ascii="Times New Roman" w:hAnsi="Times New Roman" w:cs="Times New Roman"/>
        </w:rPr>
      </w:pPr>
      <w:r w:rsidRPr="00DD4331">
        <w:rPr>
          <w:rFonts w:ascii="Times New Roman" w:hAnsi="Times New Roman" w:cs="Times New Roman"/>
        </w:rPr>
        <w:t xml:space="preserve">Includes lands transferred to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under the Land Entitlement Finalization Act of 2014.</w:t>
      </w:r>
    </w:p>
    <w:p w14:paraId="41FE96F5" w14:textId="77777777" w:rsidR="003B4B77" w:rsidRPr="00DD4331" w:rsidRDefault="003B4B77" w:rsidP="00DD4331">
      <w:pPr>
        <w:numPr>
          <w:ilvl w:val="0"/>
          <w:numId w:val="2"/>
        </w:numPr>
        <w:spacing w:line="480" w:lineRule="auto"/>
        <w:contextualSpacing/>
        <w:rPr>
          <w:rFonts w:ascii="Times New Roman" w:hAnsi="Times New Roman" w:cs="Times New Roman"/>
        </w:rPr>
      </w:pPr>
      <w:r w:rsidRPr="00DD4331">
        <w:rPr>
          <w:rFonts w:ascii="Times New Roman" w:hAnsi="Times New Roman" w:cs="Times New Roman"/>
        </w:rPr>
        <w:t xml:space="preserve">These lands contain approximately 33,228 acres of productive OG forest, with approximately 25,422 acres of preferentially selected (RSF &gt; 0.18) OG timber lands containing approximately 842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of OG timber (S+U).</w:t>
      </w:r>
    </w:p>
    <w:p w14:paraId="5EF21BE1" w14:textId="77777777" w:rsidR="003B4B77" w:rsidRPr="00DD4331" w:rsidRDefault="003B4B77" w:rsidP="00DD4331">
      <w:pPr>
        <w:numPr>
          <w:ilvl w:val="0"/>
          <w:numId w:val="2"/>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within these lands would be logged at an even rate over 30 years for an average rate of approximately 850 acres or 28 </w:t>
      </w:r>
      <w:proofErr w:type="spellStart"/>
      <w:r w:rsidRPr="00DD4331">
        <w:rPr>
          <w:rFonts w:ascii="Times New Roman" w:hAnsi="Times New Roman" w:cs="Times New Roman"/>
        </w:rPr>
        <w:t>mmbf</w:t>
      </w:r>
      <w:proofErr w:type="spellEnd"/>
      <w:r w:rsidRPr="00DD4331">
        <w:rPr>
          <w:rFonts w:ascii="Times New Roman" w:hAnsi="Times New Roman" w:cs="Times New Roman"/>
        </w:rPr>
        <w:t>/year.</w:t>
      </w:r>
    </w:p>
    <w:p w14:paraId="09246FA4" w14:textId="77777777" w:rsidR="003B4B77" w:rsidRPr="00DD4331" w:rsidRDefault="003B4B77" w:rsidP="00DD4331">
      <w:pPr>
        <w:spacing w:line="480" w:lineRule="auto"/>
        <w:ind w:left="720"/>
        <w:contextualSpacing/>
        <w:rPr>
          <w:rFonts w:ascii="Times New Roman" w:hAnsi="Times New Roman" w:cs="Times New Roman"/>
        </w:rPr>
      </w:pPr>
    </w:p>
    <w:p w14:paraId="55DBA571"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State of Alaska forest lands</w:t>
      </w:r>
    </w:p>
    <w:p w14:paraId="6666C919" w14:textId="77777777" w:rsidR="003B4B77" w:rsidRPr="00DD4331" w:rsidRDefault="003B4B77" w:rsidP="00DD4331">
      <w:pPr>
        <w:numPr>
          <w:ilvl w:val="0"/>
          <w:numId w:val="3"/>
        </w:numPr>
        <w:spacing w:line="480" w:lineRule="auto"/>
        <w:contextualSpacing/>
        <w:rPr>
          <w:rFonts w:ascii="Times New Roman" w:hAnsi="Times New Roman" w:cs="Times New Roman"/>
        </w:rPr>
      </w:pPr>
      <w:r w:rsidRPr="00DD4331">
        <w:rPr>
          <w:rFonts w:ascii="Times New Roman" w:hAnsi="Times New Roman" w:cs="Times New Roman"/>
        </w:rPr>
        <w:lastRenderedPageBreak/>
        <w:t xml:space="preserve">Includes logging expected to </w:t>
      </w:r>
      <w:proofErr w:type="gramStart"/>
      <w:r w:rsidRPr="00DD4331">
        <w:rPr>
          <w:rFonts w:ascii="Times New Roman" w:hAnsi="Times New Roman" w:cs="Times New Roman"/>
        </w:rPr>
        <w:t>continue on</w:t>
      </w:r>
      <w:proofErr w:type="gramEnd"/>
      <w:r w:rsidRPr="00DD4331">
        <w:rPr>
          <w:rFonts w:ascii="Times New Roman" w:hAnsi="Times New Roman" w:cs="Times New Roman"/>
        </w:rPr>
        <w:t xml:space="preserve"> State Forest Lands.</w:t>
      </w:r>
    </w:p>
    <w:p w14:paraId="103DB740" w14:textId="77777777" w:rsidR="003B4B77" w:rsidRPr="00DD4331" w:rsidRDefault="003B4B77" w:rsidP="00DD4331">
      <w:pPr>
        <w:numPr>
          <w:ilvl w:val="0"/>
          <w:numId w:val="3"/>
        </w:numPr>
        <w:spacing w:line="480" w:lineRule="auto"/>
        <w:contextualSpacing/>
        <w:rPr>
          <w:rFonts w:ascii="Times New Roman" w:hAnsi="Times New Roman" w:cs="Times New Roman"/>
        </w:rPr>
      </w:pPr>
      <w:r w:rsidRPr="00DD4331">
        <w:rPr>
          <w:rFonts w:ascii="Times New Roman" w:hAnsi="Times New Roman" w:cs="Times New Roman"/>
        </w:rPr>
        <w:t xml:space="preserve">The State of Alaska State Forest manages approximately 48,472 acres in the Southeast Alaska State Forest, with approximately 28,500 acres of these in the Prince of Wales study area. These lands contain an estimated 10,954 acres of preferentially selected (RSF &gt; 0.18) OG timber lands and 333.3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of timber.</w:t>
      </w:r>
    </w:p>
    <w:p w14:paraId="2AABCCB2" w14:textId="77777777" w:rsidR="003B4B77" w:rsidRPr="00DD4331" w:rsidRDefault="003B4B77" w:rsidP="00DD4331">
      <w:pPr>
        <w:numPr>
          <w:ilvl w:val="0"/>
          <w:numId w:val="3"/>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lands managed by the State of Alaska will be logged at an even pace over the </w:t>
      </w:r>
      <w:proofErr w:type="gramStart"/>
      <w:r w:rsidRPr="00DD4331">
        <w:rPr>
          <w:rFonts w:ascii="Times New Roman" w:hAnsi="Times New Roman" w:cs="Times New Roman"/>
        </w:rPr>
        <w:t>30 year</w:t>
      </w:r>
      <w:proofErr w:type="gramEnd"/>
      <w:r w:rsidRPr="00DD4331">
        <w:rPr>
          <w:rFonts w:ascii="Times New Roman" w:hAnsi="Times New Roman" w:cs="Times New Roman"/>
        </w:rPr>
        <w:t xml:space="preserve"> period (2015 – 2045) of 365 acres or 11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/year.</w:t>
      </w:r>
    </w:p>
    <w:p w14:paraId="1BD89638" w14:textId="77777777" w:rsidR="003B4B77" w:rsidRPr="00DD4331" w:rsidRDefault="003B4B77" w:rsidP="00DD4331">
      <w:pPr>
        <w:spacing w:line="480" w:lineRule="auto"/>
        <w:ind w:left="360"/>
        <w:contextualSpacing/>
        <w:rPr>
          <w:rFonts w:ascii="Times New Roman" w:hAnsi="Times New Roman" w:cs="Times New Roman"/>
        </w:rPr>
      </w:pPr>
    </w:p>
    <w:p w14:paraId="5F0795BE"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Other ANCSA Corporation lands</w:t>
      </w:r>
    </w:p>
    <w:p w14:paraId="41088B17" w14:textId="77777777" w:rsidR="003B4B77" w:rsidRPr="00DD4331" w:rsidRDefault="003B4B77" w:rsidP="00DD4331">
      <w:pPr>
        <w:numPr>
          <w:ilvl w:val="0"/>
          <w:numId w:val="4"/>
        </w:numPr>
        <w:spacing w:line="480" w:lineRule="auto"/>
        <w:contextualSpacing/>
        <w:rPr>
          <w:rFonts w:ascii="Times New Roman" w:hAnsi="Times New Roman" w:cs="Times New Roman"/>
        </w:rPr>
      </w:pPr>
      <w:r w:rsidRPr="00DD4331">
        <w:rPr>
          <w:rFonts w:ascii="Times New Roman" w:hAnsi="Times New Roman" w:cs="Times New Roman"/>
        </w:rPr>
        <w:t xml:space="preserve">Accounts for logging expected to </w:t>
      </w:r>
      <w:proofErr w:type="gramStart"/>
      <w:r w:rsidRPr="00DD4331">
        <w:rPr>
          <w:rFonts w:ascii="Times New Roman" w:hAnsi="Times New Roman" w:cs="Times New Roman"/>
        </w:rPr>
        <w:t>continue on</w:t>
      </w:r>
      <w:proofErr w:type="gramEnd"/>
      <w:r w:rsidRPr="00DD4331">
        <w:rPr>
          <w:rFonts w:ascii="Times New Roman" w:hAnsi="Times New Roman" w:cs="Times New Roman"/>
        </w:rPr>
        <w:t xml:space="preserve"> lands currently owned by ANCSA village and regional corporations. Not including the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Land Finalization Act, ANCSA corporations own approximately 326,683 acres within the Prince of Wales study area. These lands currently contain approximately 161,000 acres of previously logged forest lands and an estimated 97,600 acres remaining in OG condition.</w:t>
      </w:r>
    </w:p>
    <w:p w14:paraId="7FCCCEDD" w14:textId="77777777" w:rsidR="003B4B77" w:rsidRPr="00DD4331" w:rsidRDefault="003B4B77" w:rsidP="00DD4331">
      <w:pPr>
        <w:numPr>
          <w:ilvl w:val="0"/>
          <w:numId w:val="4"/>
        </w:numPr>
        <w:spacing w:line="480" w:lineRule="auto"/>
        <w:contextualSpacing/>
        <w:rPr>
          <w:rFonts w:ascii="Times New Roman" w:hAnsi="Times New Roman" w:cs="Times New Roman"/>
        </w:rPr>
      </w:pPr>
      <w:r w:rsidRPr="00DD4331">
        <w:rPr>
          <w:rFonts w:ascii="Times New Roman" w:hAnsi="Times New Roman" w:cs="Times New Roman"/>
        </w:rPr>
        <w:t>Because of this relatively high level of previous harvest, and under the assumption that most of the originally economic timber lands have already been harvested, we applied a more conservative estimate of potential future logging on ANCSA corporation lands using a selectivity index of RSF &gt;40 to estimate OG timber remaining that will potentially be logged in the future.  Using this assumption, we estimate approximately 13,000 acres of productive OG timber available for future harvest on ANCSA corporation lands.</w:t>
      </w:r>
    </w:p>
    <w:p w14:paraId="6F28E87F" w14:textId="77777777" w:rsidR="003B4B77" w:rsidRPr="00DD4331" w:rsidRDefault="003B4B77" w:rsidP="00DD4331">
      <w:pPr>
        <w:numPr>
          <w:ilvl w:val="0"/>
          <w:numId w:val="4"/>
        </w:numPr>
        <w:spacing w:line="480" w:lineRule="auto"/>
        <w:contextualSpacing/>
        <w:rPr>
          <w:rFonts w:ascii="Times New Roman" w:hAnsi="Times New Roman" w:cs="Times New Roman"/>
        </w:rPr>
      </w:pPr>
      <w:r w:rsidRPr="00DD4331">
        <w:rPr>
          <w:rFonts w:ascii="Times New Roman" w:hAnsi="Times New Roman" w:cs="Times New Roman"/>
        </w:rPr>
        <w:lastRenderedPageBreak/>
        <w:t xml:space="preserve">Assumes these preferentially selected timber lands will be logged at an even pace over the </w:t>
      </w:r>
      <w:proofErr w:type="gramStart"/>
      <w:r w:rsidRPr="00DD4331">
        <w:rPr>
          <w:rFonts w:ascii="Times New Roman" w:hAnsi="Times New Roman" w:cs="Times New Roman"/>
        </w:rPr>
        <w:t>30 year</w:t>
      </w:r>
      <w:proofErr w:type="gramEnd"/>
      <w:r w:rsidRPr="00DD4331">
        <w:rPr>
          <w:rFonts w:ascii="Times New Roman" w:hAnsi="Times New Roman" w:cs="Times New Roman"/>
        </w:rPr>
        <w:t xml:space="preserve"> period, with approximately 434 acres or 14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logged per year (Table A1).</w:t>
      </w:r>
    </w:p>
    <w:p w14:paraId="0F6C45DA" w14:textId="77777777" w:rsidR="003B4B77" w:rsidRPr="00DD4331" w:rsidRDefault="003B4B77" w:rsidP="00DD4331">
      <w:pPr>
        <w:spacing w:line="480" w:lineRule="auto"/>
        <w:rPr>
          <w:rFonts w:ascii="Times New Roman" w:hAnsi="Times New Roman" w:cs="Times New Roman"/>
        </w:rPr>
      </w:pPr>
    </w:p>
    <w:p w14:paraId="47C07D75" w14:textId="77777777" w:rsidR="003B4B77" w:rsidRPr="00DD4331" w:rsidRDefault="003B4B77" w:rsidP="00DD4331">
      <w:pPr>
        <w:spacing w:line="480" w:lineRule="auto"/>
        <w:rPr>
          <w:rFonts w:ascii="Times New Roman" w:hAnsi="Times New Roman" w:cs="Times New Roman"/>
          <w:i/>
        </w:rPr>
      </w:pPr>
      <w:r w:rsidRPr="00DD4331">
        <w:rPr>
          <w:rFonts w:ascii="Times New Roman" w:hAnsi="Times New Roman" w:cs="Times New Roman"/>
          <w:i/>
        </w:rPr>
        <w:t xml:space="preserve">3) Continued harvest of old-growth forest </w:t>
      </w:r>
    </w:p>
    <w:p w14:paraId="3E99D35C" w14:textId="77777777" w:rsidR="003B4B77" w:rsidRPr="00DD4331" w:rsidRDefault="003B4B77" w:rsidP="00DD4331">
      <w:pPr>
        <w:spacing w:line="480" w:lineRule="auto"/>
        <w:rPr>
          <w:rFonts w:ascii="Times New Roman" w:hAnsi="Times New Roman" w:cs="Times New Roman"/>
        </w:rPr>
      </w:pPr>
      <w:r w:rsidRPr="00DD4331">
        <w:rPr>
          <w:rFonts w:ascii="Times New Roman" w:hAnsi="Times New Roman" w:cs="Times New Roman"/>
        </w:rPr>
        <w:t xml:space="preserve">This potential vegetation future is the result of the continued harvest of old-growth forest at observed recent levels (2008-2014). </w:t>
      </w:r>
    </w:p>
    <w:p w14:paraId="2E4E52CE" w14:textId="77777777" w:rsidR="003B4B77" w:rsidRPr="00DD4331" w:rsidRDefault="003B4B77" w:rsidP="00DD4331">
      <w:pPr>
        <w:spacing w:line="480" w:lineRule="auto"/>
        <w:rPr>
          <w:rFonts w:ascii="Times New Roman" w:hAnsi="Times New Roman" w:cs="Times New Roman"/>
        </w:rPr>
      </w:pPr>
    </w:p>
    <w:p w14:paraId="0DCB6F46"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Tongass National Forest</w:t>
      </w:r>
    </w:p>
    <w:p w14:paraId="50787A04" w14:textId="77777777" w:rsidR="003B4B77" w:rsidRPr="00DD4331" w:rsidRDefault="003B4B77" w:rsidP="00DD4331">
      <w:pPr>
        <w:numPr>
          <w:ilvl w:val="0"/>
          <w:numId w:val="5"/>
        </w:numPr>
        <w:spacing w:line="480" w:lineRule="auto"/>
        <w:contextualSpacing/>
        <w:rPr>
          <w:rFonts w:ascii="Times New Roman" w:hAnsi="Times New Roman" w:cs="Times New Roman"/>
        </w:rPr>
      </w:pPr>
      <w:r w:rsidRPr="00DD4331">
        <w:rPr>
          <w:rFonts w:ascii="Times New Roman" w:hAnsi="Times New Roman" w:cs="Times New Roman"/>
        </w:rPr>
        <w:t xml:space="preserve">The land base excludes roadless areas according to 2001 Roadless </w:t>
      </w:r>
      <w:proofErr w:type="gramStart"/>
      <w:r w:rsidRPr="00DD4331">
        <w:rPr>
          <w:rFonts w:ascii="Times New Roman" w:hAnsi="Times New Roman" w:cs="Times New Roman"/>
        </w:rPr>
        <w:t>Rule, and</w:t>
      </w:r>
      <w:proofErr w:type="gramEnd"/>
      <w:r w:rsidRPr="00DD4331">
        <w:rPr>
          <w:rFonts w:ascii="Times New Roman" w:hAnsi="Times New Roman" w:cs="Times New Roman"/>
        </w:rPr>
        <w:t xml:space="preserve"> is located entirely within the TLMP 2008 Phase 1 Suitable Land Base.</w:t>
      </w:r>
    </w:p>
    <w:p w14:paraId="38EDBE06" w14:textId="77777777" w:rsidR="003B4B77" w:rsidRPr="00DD4331" w:rsidRDefault="003B4B77" w:rsidP="00DD4331">
      <w:pPr>
        <w:numPr>
          <w:ilvl w:val="0"/>
          <w:numId w:val="5"/>
        </w:numPr>
        <w:spacing w:line="480" w:lineRule="auto"/>
        <w:contextualSpacing/>
        <w:rPr>
          <w:rFonts w:ascii="Times New Roman" w:hAnsi="Times New Roman" w:cs="Times New Roman"/>
        </w:rPr>
      </w:pPr>
      <w:r w:rsidRPr="00DD4331">
        <w:rPr>
          <w:rFonts w:ascii="Times New Roman" w:hAnsi="Times New Roman" w:cs="Times New Roman"/>
        </w:rPr>
        <w:t xml:space="preserve">Assumes approximately34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per year of timber (S + U) from the Tongass National Forest.  The proportion of supply from POW is assumed to be 37% of total Tongass supply, or 12.6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/year, 126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/decade or 377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during 2015 – 2045 (Table A1).  This is based on proportional representation of all Tongass timber that occurs within Prince of Wales suitable, </w:t>
      </w:r>
      <w:proofErr w:type="spellStart"/>
      <w:r w:rsidRPr="00DD4331">
        <w:rPr>
          <w:rFonts w:ascii="Times New Roman" w:hAnsi="Times New Roman" w:cs="Times New Roman"/>
        </w:rPr>
        <w:t>roaded</w:t>
      </w:r>
      <w:proofErr w:type="spellEnd"/>
      <w:r w:rsidRPr="00DD4331">
        <w:rPr>
          <w:rFonts w:ascii="Times New Roman" w:hAnsi="Times New Roman" w:cs="Times New Roman"/>
        </w:rPr>
        <w:t xml:space="preserve"> and Phase 1 land base.</w:t>
      </w:r>
    </w:p>
    <w:p w14:paraId="139FCC77" w14:textId="77777777" w:rsidR="003B4B77" w:rsidRPr="00DD4331" w:rsidRDefault="003B4B77" w:rsidP="00DD4331">
      <w:pPr>
        <w:numPr>
          <w:ilvl w:val="0"/>
          <w:numId w:val="5"/>
        </w:numPr>
        <w:spacing w:line="480" w:lineRule="auto"/>
        <w:contextualSpacing/>
        <w:rPr>
          <w:rFonts w:ascii="Times New Roman" w:hAnsi="Times New Roman" w:cs="Times New Roman"/>
        </w:rPr>
      </w:pPr>
      <w:r w:rsidRPr="00DD4331">
        <w:rPr>
          <w:rFonts w:ascii="Times New Roman" w:hAnsi="Times New Roman" w:cs="Times New Roman"/>
        </w:rPr>
        <w:t xml:space="preserve">Assume Big Thorne Timber Sale proceeds, and accounts for a proportion of the demand described above.  The estimated 149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from Big Thorne would reduce the remaining demand for OG supply from POW to a total of 228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during the period 2015-2045.</w:t>
      </w:r>
    </w:p>
    <w:p w14:paraId="7473B45D" w14:textId="77777777" w:rsidR="003B4B77" w:rsidRPr="00DD4331" w:rsidRDefault="003B4B77" w:rsidP="00DD4331">
      <w:pPr>
        <w:numPr>
          <w:ilvl w:val="0"/>
          <w:numId w:val="5"/>
        </w:numPr>
        <w:spacing w:line="480" w:lineRule="auto"/>
        <w:contextualSpacing/>
        <w:rPr>
          <w:rFonts w:ascii="Times New Roman" w:hAnsi="Times New Roman" w:cs="Times New Roman"/>
        </w:rPr>
      </w:pPr>
      <w:r w:rsidRPr="00DD4331">
        <w:rPr>
          <w:rFonts w:ascii="Times New Roman" w:hAnsi="Times New Roman" w:cs="Times New Roman"/>
        </w:rPr>
        <w:t>Uses an RSF &gt; 0.67 provided approximately the correct number of acres to meet this scenarios assumption.</w:t>
      </w:r>
    </w:p>
    <w:p w14:paraId="15DB4A66" w14:textId="77777777" w:rsidR="003B4B77" w:rsidRPr="00DD4331" w:rsidRDefault="003B4B77" w:rsidP="00DD4331">
      <w:pPr>
        <w:spacing w:line="480" w:lineRule="auto"/>
        <w:ind w:left="720"/>
        <w:contextualSpacing/>
        <w:rPr>
          <w:rFonts w:ascii="Times New Roman" w:hAnsi="Times New Roman" w:cs="Times New Roman"/>
        </w:rPr>
      </w:pPr>
    </w:p>
    <w:p w14:paraId="18C1F337"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lastRenderedPageBreak/>
        <w:t xml:space="preserve">Mental Health Land Trust Exchange Proposal  </w:t>
      </w:r>
    </w:p>
    <w:p w14:paraId="639C3562" w14:textId="77777777" w:rsidR="003B4B77" w:rsidRPr="00DD4331" w:rsidRDefault="003B4B77" w:rsidP="00DD4331">
      <w:pPr>
        <w:numPr>
          <w:ilvl w:val="0"/>
          <w:numId w:val="6"/>
        </w:numPr>
        <w:spacing w:line="480" w:lineRule="auto"/>
        <w:contextualSpacing/>
        <w:rPr>
          <w:rFonts w:ascii="Times New Roman" w:hAnsi="Times New Roman" w:cs="Times New Roman"/>
        </w:rPr>
      </w:pPr>
      <w:r w:rsidRPr="00DD4331">
        <w:rPr>
          <w:rFonts w:ascii="Times New Roman" w:hAnsi="Times New Roman" w:cs="Times New Roman"/>
        </w:rPr>
        <w:t>Assumes that the MHLT exchange is approved.</w:t>
      </w:r>
    </w:p>
    <w:p w14:paraId="7AB8D77A" w14:textId="77777777" w:rsidR="003B4B77" w:rsidRPr="00DD4331" w:rsidRDefault="003B4B77" w:rsidP="00DD4331">
      <w:pPr>
        <w:numPr>
          <w:ilvl w:val="0"/>
          <w:numId w:val="6"/>
        </w:numPr>
        <w:spacing w:line="480" w:lineRule="auto"/>
        <w:contextualSpacing/>
        <w:rPr>
          <w:rFonts w:ascii="Times New Roman" w:hAnsi="Times New Roman" w:cs="Times New Roman"/>
        </w:rPr>
      </w:pPr>
      <w:r w:rsidRPr="00DD4331">
        <w:rPr>
          <w:rFonts w:ascii="Times New Roman" w:hAnsi="Times New Roman" w:cs="Times New Roman"/>
        </w:rPr>
        <w:t>Preferentially selected (RSF &gt; 0.18) OG forest lands within the MHLT exchange parcels include 13,952 acres and approximately 488.7 million board-feet of timber (S + U).</w:t>
      </w:r>
    </w:p>
    <w:p w14:paraId="202F4C39" w14:textId="77777777" w:rsidR="003B4B77" w:rsidRPr="00DD4331" w:rsidRDefault="003B4B77" w:rsidP="00DD4331">
      <w:pPr>
        <w:numPr>
          <w:ilvl w:val="0"/>
          <w:numId w:val="6"/>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within these lands would be logged at an even rate over 30 years for an average rate of 462 acres or 15 </w:t>
      </w:r>
      <w:proofErr w:type="spellStart"/>
      <w:r w:rsidRPr="00DD4331">
        <w:rPr>
          <w:rFonts w:ascii="Times New Roman" w:hAnsi="Times New Roman" w:cs="Times New Roman"/>
        </w:rPr>
        <w:t>mmbf</w:t>
      </w:r>
      <w:proofErr w:type="spellEnd"/>
      <w:r w:rsidRPr="00DD4331">
        <w:rPr>
          <w:rFonts w:ascii="Times New Roman" w:hAnsi="Times New Roman" w:cs="Times New Roman"/>
        </w:rPr>
        <w:t>/year (Table A1).</w:t>
      </w:r>
    </w:p>
    <w:p w14:paraId="518BE592" w14:textId="77777777" w:rsidR="003B4B77" w:rsidRPr="00DD4331" w:rsidRDefault="003B4B77" w:rsidP="00DD4331">
      <w:pPr>
        <w:spacing w:before="120" w:line="480" w:lineRule="auto"/>
        <w:rPr>
          <w:rFonts w:ascii="Times New Roman" w:hAnsi="Times New Roman" w:cs="Times New Roman"/>
          <w:i/>
        </w:rPr>
      </w:pPr>
    </w:p>
    <w:p w14:paraId="7EF2FB16" w14:textId="77777777" w:rsidR="003B4B77" w:rsidRPr="00DD4331" w:rsidRDefault="003B4B77" w:rsidP="00DD4331">
      <w:pPr>
        <w:spacing w:before="120" w:line="480" w:lineRule="auto"/>
        <w:rPr>
          <w:rFonts w:ascii="Times New Roman" w:hAnsi="Times New Roman" w:cs="Times New Roman"/>
          <w:i/>
        </w:rPr>
      </w:pPr>
      <w:proofErr w:type="spellStart"/>
      <w:r w:rsidRPr="00DD4331">
        <w:rPr>
          <w:rFonts w:ascii="Times New Roman" w:hAnsi="Times New Roman" w:cs="Times New Roman"/>
          <w:i/>
        </w:rPr>
        <w:t>Sealaska</w:t>
      </w:r>
      <w:proofErr w:type="spellEnd"/>
      <w:r w:rsidRPr="00DD4331">
        <w:rPr>
          <w:rFonts w:ascii="Times New Roman" w:hAnsi="Times New Roman" w:cs="Times New Roman"/>
          <w:i/>
        </w:rPr>
        <w:t xml:space="preserve"> Land Entitlement Finalization</w:t>
      </w:r>
    </w:p>
    <w:p w14:paraId="4A976E28" w14:textId="77777777" w:rsidR="003B4B77" w:rsidRPr="00DD4331" w:rsidRDefault="003B4B77" w:rsidP="00DD4331">
      <w:pPr>
        <w:numPr>
          <w:ilvl w:val="0"/>
          <w:numId w:val="7"/>
        </w:numPr>
        <w:spacing w:line="480" w:lineRule="auto"/>
        <w:contextualSpacing/>
        <w:rPr>
          <w:rFonts w:ascii="Times New Roman" w:hAnsi="Times New Roman" w:cs="Times New Roman"/>
        </w:rPr>
      </w:pPr>
      <w:r w:rsidRPr="00DD4331">
        <w:rPr>
          <w:rFonts w:ascii="Times New Roman" w:hAnsi="Times New Roman" w:cs="Times New Roman"/>
        </w:rPr>
        <w:t xml:space="preserve">Accounts for lands transferred to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under the Land Entitlement Finalization Act of 2014.</w:t>
      </w:r>
    </w:p>
    <w:p w14:paraId="2E69D56A" w14:textId="77777777" w:rsidR="003B4B77" w:rsidRPr="00DD4331" w:rsidRDefault="003B4B77" w:rsidP="00DD4331">
      <w:pPr>
        <w:numPr>
          <w:ilvl w:val="0"/>
          <w:numId w:val="7"/>
        </w:numPr>
        <w:spacing w:line="480" w:lineRule="auto"/>
        <w:contextualSpacing/>
        <w:rPr>
          <w:rFonts w:ascii="Times New Roman" w:hAnsi="Times New Roman" w:cs="Times New Roman"/>
        </w:rPr>
      </w:pPr>
      <w:r w:rsidRPr="00DD4331">
        <w:rPr>
          <w:rFonts w:ascii="Times New Roman" w:hAnsi="Times New Roman" w:cs="Times New Roman"/>
        </w:rPr>
        <w:t xml:space="preserve">These lands contain approximately 33,228 acres of productive OG forest, with approximately 25,422 acres of preferentially selected (RSF &gt; 0.18) OG timber lands containing approximately 842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of OG timber (S + U).</w:t>
      </w:r>
    </w:p>
    <w:p w14:paraId="2D2D1807" w14:textId="77777777" w:rsidR="003B4B77" w:rsidRPr="00DD4331" w:rsidRDefault="003B4B77" w:rsidP="00DD4331">
      <w:pPr>
        <w:numPr>
          <w:ilvl w:val="0"/>
          <w:numId w:val="7"/>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within these lands would be logged at an even rate over 30 years for an average rate of approximately 850 acres or 28 </w:t>
      </w:r>
      <w:proofErr w:type="spellStart"/>
      <w:r w:rsidRPr="00DD4331">
        <w:rPr>
          <w:rFonts w:ascii="Times New Roman" w:hAnsi="Times New Roman" w:cs="Times New Roman"/>
        </w:rPr>
        <w:t>mmbf</w:t>
      </w:r>
      <w:proofErr w:type="spellEnd"/>
      <w:r w:rsidRPr="00DD4331">
        <w:rPr>
          <w:rFonts w:ascii="Times New Roman" w:hAnsi="Times New Roman" w:cs="Times New Roman"/>
        </w:rPr>
        <w:t>/year.</w:t>
      </w:r>
    </w:p>
    <w:p w14:paraId="35FF9A30" w14:textId="77777777" w:rsidR="003B4B77" w:rsidRPr="00DD4331" w:rsidRDefault="003B4B77" w:rsidP="00DD4331">
      <w:pPr>
        <w:spacing w:line="480" w:lineRule="auto"/>
        <w:ind w:left="360"/>
        <w:contextualSpacing/>
        <w:rPr>
          <w:rFonts w:ascii="Times New Roman" w:hAnsi="Times New Roman" w:cs="Times New Roman"/>
        </w:rPr>
      </w:pPr>
    </w:p>
    <w:p w14:paraId="29CAEE84"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State of Alaska Forest Lands</w:t>
      </w:r>
    </w:p>
    <w:p w14:paraId="692D17F1" w14:textId="77777777" w:rsidR="003B4B77" w:rsidRPr="00DD4331" w:rsidRDefault="003B4B77" w:rsidP="00DD4331">
      <w:pPr>
        <w:numPr>
          <w:ilvl w:val="0"/>
          <w:numId w:val="8"/>
        </w:numPr>
        <w:spacing w:line="480" w:lineRule="auto"/>
        <w:contextualSpacing/>
        <w:rPr>
          <w:rFonts w:ascii="Times New Roman" w:hAnsi="Times New Roman" w:cs="Times New Roman"/>
        </w:rPr>
      </w:pPr>
      <w:r w:rsidRPr="00DD4331">
        <w:rPr>
          <w:rFonts w:ascii="Times New Roman" w:hAnsi="Times New Roman" w:cs="Times New Roman"/>
        </w:rPr>
        <w:t xml:space="preserve">Accounts for logging expected to </w:t>
      </w:r>
      <w:proofErr w:type="gramStart"/>
      <w:r w:rsidRPr="00DD4331">
        <w:rPr>
          <w:rFonts w:ascii="Times New Roman" w:hAnsi="Times New Roman" w:cs="Times New Roman"/>
        </w:rPr>
        <w:t>continue on</w:t>
      </w:r>
      <w:proofErr w:type="gramEnd"/>
      <w:r w:rsidRPr="00DD4331">
        <w:rPr>
          <w:rFonts w:ascii="Times New Roman" w:hAnsi="Times New Roman" w:cs="Times New Roman"/>
        </w:rPr>
        <w:t xml:space="preserve"> State Forest Lands.</w:t>
      </w:r>
    </w:p>
    <w:p w14:paraId="01FC582A" w14:textId="77777777" w:rsidR="003B4B77" w:rsidRPr="00DD4331" w:rsidRDefault="003B4B77" w:rsidP="00DD4331">
      <w:pPr>
        <w:numPr>
          <w:ilvl w:val="0"/>
          <w:numId w:val="8"/>
        </w:numPr>
        <w:spacing w:line="480" w:lineRule="auto"/>
        <w:contextualSpacing/>
        <w:rPr>
          <w:rFonts w:ascii="Times New Roman" w:hAnsi="Times New Roman" w:cs="Times New Roman"/>
        </w:rPr>
      </w:pPr>
      <w:r w:rsidRPr="00DD4331">
        <w:rPr>
          <w:rFonts w:ascii="Times New Roman" w:hAnsi="Times New Roman" w:cs="Times New Roman"/>
        </w:rPr>
        <w:t xml:space="preserve">The State of Alaska State Forest manages approximately 48,472 acres in the Southeast Alaska State Forest, with approximately 28,500 acres of these in the Prince </w:t>
      </w:r>
      <w:r w:rsidRPr="00DD4331">
        <w:rPr>
          <w:rFonts w:ascii="Times New Roman" w:hAnsi="Times New Roman" w:cs="Times New Roman"/>
        </w:rPr>
        <w:lastRenderedPageBreak/>
        <w:t xml:space="preserve">of Wales study area.  These lands contain an estimated 10,954 acres of preferentially selected (RSF &gt; 0.18) OG timber land and 333.3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of timber (SL + U).</w:t>
      </w:r>
    </w:p>
    <w:p w14:paraId="48CEEE0B" w14:textId="77777777" w:rsidR="003B4B77" w:rsidRPr="00DD4331" w:rsidRDefault="003B4B77" w:rsidP="00DD4331">
      <w:pPr>
        <w:numPr>
          <w:ilvl w:val="0"/>
          <w:numId w:val="8"/>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lands managed by the State of Alaska will be logged at an even pace over the </w:t>
      </w:r>
      <w:proofErr w:type="gramStart"/>
      <w:r w:rsidRPr="00DD4331">
        <w:rPr>
          <w:rFonts w:ascii="Times New Roman" w:hAnsi="Times New Roman" w:cs="Times New Roman"/>
        </w:rPr>
        <w:t>30 year</w:t>
      </w:r>
      <w:proofErr w:type="gramEnd"/>
      <w:r w:rsidRPr="00DD4331">
        <w:rPr>
          <w:rFonts w:ascii="Times New Roman" w:hAnsi="Times New Roman" w:cs="Times New Roman"/>
        </w:rPr>
        <w:t xml:space="preserve"> period (2015 – 2045) of 365 acres or 11 </w:t>
      </w:r>
      <w:proofErr w:type="spellStart"/>
      <w:r w:rsidRPr="00DD4331">
        <w:rPr>
          <w:rFonts w:ascii="Times New Roman" w:hAnsi="Times New Roman" w:cs="Times New Roman"/>
        </w:rPr>
        <w:t>mmbf</w:t>
      </w:r>
      <w:proofErr w:type="spellEnd"/>
      <w:r w:rsidRPr="00DD4331">
        <w:rPr>
          <w:rFonts w:ascii="Times New Roman" w:hAnsi="Times New Roman" w:cs="Times New Roman"/>
        </w:rPr>
        <w:t>/year.</w:t>
      </w:r>
    </w:p>
    <w:p w14:paraId="458EEAF9" w14:textId="77777777" w:rsidR="003B4B77" w:rsidRPr="00DD4331" w:rsidRDefault="003B4B77" w:rsidP="00DD4331">
      <w:pPr>
        <w:spacing w:line="480" w:lineRule="auto"/>
        <w:ind w:left="360"/>
        <w:contextualSpacing/>
        <w:rPr>
          <w:rFonts w:ascii="Times New Roman" w:hAnsi="Times New Roman" w:cs="Times New Roman"/>
        </w:rPr>
      </w:pPr>
    </w:p>
    <w:p w14:paraId="16D92E2C"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Other ANCSA Corporation Lands</w:t>
      </w:r>
    </w:p>
    <w:p w14:paraId="24CD0E0D" w14:textId="77777777" w:rsidR="003B4B77" w:rsidRPr="00DD4331" w:rsidRDefault="003B4B77" w:rsidP="00DD4331">
      <w:pPr>
        <w:numPr>
          <w:ilvl w:val="0"/>
          <w:numId w:val="9"/>
        </w:numPr>
        <w:spacing w:line="480" w:lineRule="auto"/>
        <w:contextualSpacing/>
        <w:rPr>
          <w:rFonts w:ascii="Times New Roman" w:hAnsi="Times New Roman" w:cs="Times New Roman"/>
        </w:rPr>
      </w:pPr>
      <w:r w:rsidRPr="00DD4331">
        <w:rPr>
          <w:rFonts w:ascii="Times New Roman" w:hAnsi="Times New Roman" w:cs="Times New Roman"/>
        </w:rPr>
        <w:t xml:space="preserve">Accounts for logging expected to </w:t>
      </w:r>
      <w:proofErr w:type="gramStart"/>
      <w:r w:rsidRPr="00DD4331">
        <w:rPr>
          <w:rFonts w:ascii="Times New Roman" w:hAnsi="Times New Roman" w:cs="Times New Roman"/>
        </w:rPr>
        <w:t>continue on</w:t>
      </w:r>
      <w:proofErr w:type="gramEnd"/>
      <w:r w:rsidRPr="00DD4331">
        <w:rPr>
          <w:rFonts w:ascii="Times New Roman" w:hAnsi="Times New Roman" w:cs="Times New Roman"/>
        </w:rPr>
        <w:t xml:space="preserve"> lands currently owned by ANCSA village and regional corporations, including approximately 326,683 acres within the Prince of Wales study area. These lands currently contain approximately 161,000 acres of previously logged forest lands and an estimated 97,600 acres remaining in OG condition.</w:t>
      </w:r>
    </w:p>
    <w:p w14:paraId="69A0C7CF" w14:textId="77777777" w:rsidR="003B4B77" w:rsidRPr="00DD4331" w:rsidRDefault="003B4B77" w:rsidP="00DD4331">
      <w:pPr>
        <w:numPr>
          <w:ilvl w:val="0"/>
          <w:numId w:val="9"/>
        </w:numPr>
        <w:spacing w:line="480" w:lineRule="auto"/>
        <w:contextualSpacing/>
        <w:rPr>
          <w:rFonts w:ascii="Times New Roman" w:hAnsi="Times New Roman" w:cs="Times New Roman"/>
        </w:rPr>
      </w:pPr>
      <w:r w:rsidRPr="00DD4331">
        <w:rPr>
          <w:rFonts w:ascii="Times New Roman" w:hAnsi="Times New Roman" w:cs="Times New Roman"/>
        </w:rPr>
        <w:t>Because of this relatively high level of previous harvest, and under the assumption that most of the originally economic timber lands have already been harvested, we applied a more conservative estimate of potential future logging on ANCSA corporation lands using a selectivity index of RSF &gt;40 to estimate OG timber remaining that will potentially be logged in the future.  Using this assumption, we estimate approximately 13,000 acres of productive OG timber available for future harvest on ANCSA corporation lands.</w:t>
      </w:r>
    </w:p>
    <w:p w14:paraId="581E4E27" w14:textId="77777777" w:rsidR="003B4B77" w:rsidRPr="00DD4331" w:rsidRDefault="003B4B77" w:rsidP="00DD4331">
      <w:pPr>
        <w:numPr>
          <w:ilvl w:val="0"/>
          <w:numId w:val="9"/>
        </w:numPr>
        <w:spacing w:line="480" w:lineRule="auto"/>
        <w:contextualSpacing/>
        <w:rPr>
          <w:rFonts w:ascii="Times New Roman" w:hAnsi="Times New Roman" w:cs="Times New Roman"/>
        </w:rPr>
      </w:pPr>
      <w:r w:rsidRPr="00DD4331">
        <w:rPr>
          <w:rFonts w:ascii="Times New Roman" w:hAnsi="Times New Roman" w:cs="Times New Roman"/>
        </w:rPr>
        <w:t xml:space="preserve">Assumes these preferentially selected timber lands will be logged at an even pace over the </w:t>
      </w:r>
      <w:proofErr w:type="gramStart"/>
      <w:r w:rsidRPr="00DD4331">
        <w:rPr>
          <w:rFonts w:ascii="Times New Roman" w:hAnsi="Times New Roman" w:cs="Times New Roman"/>
        </w:rPr>
        <w:t>30 year</w:t>
      </w:r>
      <w:proofErr w:type="gramEnd"/>
      <w:r w:rsidRPr="00DD4331">
        <w:rPr>
          <w:rFonts w:ascii="Times New Roman" w:hAnsi="Times New Roman" w:cs="Times New Roman"/>
        </w:rPr>
        <w:t xml:space="preserve"> period, with approximately 434 acres or 14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logged per year (Table A1).</w:t>
      </w:r>
    </w:p>
    <w:p w14:paraId="1DA914F9" w14:textId="77777777" w:rsidR="003B4B77" w:rsidRPr="00DD4331" w:rsidRDefault="003B4B77" w:rsidP="00DD4331">
      <w:pPr>
        <w:spacing w:line="480" w:lineRule="auto"/>
        <w:ind w:left="1440"/>
        <w:contextualSpacing/>
        <w:rPr>
          <w:rFonts w:ascii="Times New Roman" w:hAnsi="Times New Roman" w:cs="Times New Roman"/>
        </w:rPr>
      </w:pPr>
    </w:p>
    <w:p w14:paraId="7A965006" w14:textId="77777777" w:rsidR="003B4B77" w:rsidRPr="00DD4331" w:rsidRDefault="003B4B77" w:rsidP="00DD4331">
      <w:pPr>
        <w:spacing w:line="480" w:lineRule="auto"/>
        <w:rPr>
          <w:rFonts w:ascii="Times New Roman" w:hAnsi="Times New Roman" w:cs="Times New Roman"/>
          <w:i/>
        </w:rPr>
      </w:pPr>
      <w:r w:rsidRPr="00DD4331">
        <w:rPr>
          <w:rFonts w:ascii="Times New Roman" w:hAnsi="Times New Roman" w:cs="Times New Roman"/>
          <w:i/>
        </w:rPr>
        <w:lastRenderedPageBreak/>
        <w:t xml:space="preserve">4) Increased harvest of old-growth forest </w:t>
      </w:r>
    </w:p>
    <w:p w14:paraId="7388DF87" w14:textId="77777777" w:rsidR="003B4B77" w:rsidRPr="00DD4331" w:rsidRDefault="003B4B77" w:rsidP="00DD4331">
      <w:pPr>
        <w:spacing w:line="480" w:lineRule="auto"/>
        <w:rPr>
          <w:rFonts w:ascii="Times New Roman" w:hAnsi="Times New Roman" w:cs="Times New Roman"/>
        </w:rPr>
      </w:pPr>
      <w:r w:rsidRPr="00DD4331">
        <w:rPr>
          <w:rFonts w:ascii="Times New Roman" w:hAnsi="Times New Roman" w:cs="Times New Roman"/>
        </w:rPr>
        <w:t xml:space="preserve">This potential vegetation future is the result of increased harvest of old-growth forest at observed former levels (1995-2000). </w:t>
      </w:r>
    </w:p>
    <w:p w14:paraId="64F426DE" w14:textId="77777777" w:rsidR="003B4B77" w:rsidRPr="00DD4331" w:rsidRDefault="003B4B77" w:rsidP="00DD4331">
      <w:pPr>
        <w:spacing w:line="480" w:lineRule="auto"/>
        <w:rPr>
          <w:rFonts w:ascii="Times New Roman" w:hAnsi="Times New Roman" w:cs="Times New Roman"/>
        </w:rPr>
      </w:pPr>
    </w:p>
    <w:p w14:paraId="0583F0FD"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Tongass National Forest</w:t>
      </w:r>
    </w:p>
    <w:p w14:paraId="31C0C153" w14:textId="77777777" w:rsidR="003B4B77" w:rsidRPr="00DD4331" w:rsidRDefault="003B4B77" w:rsidP="00DD4331">
      <w:pPr>
        <w:numPr>
          <w:ilvl w:val="0"/>
          <w:numId w:val="10"/>
        </w:numPr>
        <w:spacing w:line="480" w:lineRule="auto"/>
        <w:contextualSpacing/>
        <w:rPr>
          <w:rFonts w:ascii="Times New Roman" w:hAnsi="Times New Roman" w:cs="Times New Roman"/>
        </w:rPr>
      </w:pPr>
      <w:r w:rsidRPr="00DD4331">
        <w:rPr>
          <w:rFonts w:ascii="Times New Roman" w:hAnsi="Times New Roman" w:cs="Times New Roman"/>
        </w:rPr>
        <w:t xml:space="preserve">The land base excludes roadless areas according to 2001 Roadless </w:t>
      </w:r>
      <w:proofErr w:type="gramStart"/>
      <w:r w:rsidRPr="00DD4331">
        <w:rPr>
          <w:rFonts w:ascii="Times New Roman" w:hAnsi="Times New Roman" w:cs="Times New Roman"/>
        </w:rPr>
        <w:t>Rule, and</w:t>
      </w:r>
      <w:proofErr w:type="gramEnd"/>
      <w:r w:rsidRPr="00DD4331">
        <w:rPr>
          <w:rFonts w:ascii="Times New Roman" w:hAnsi="Times New Roman" w:cs="Times New Roman"/>
        </w:rPr>
        <w:t xml:space="preserve"> is located entirely within the TLMP 2008 Suitable Land Base of all phases (1, 2 &amp; 3) of the TLMP Adaptive Management Strategy.</w:t>
      </w:r>
    </w:p>
    <w:p w14:paraId="4AC55575" w14:textId="77777777" w:rsidR="003B4B77" w:rsidRPr="00DD4331" w:rsidRDefault="003B4B77" w:rsidP="00DD4331">
      <w:pPr>
        <w:numPr>
          <w:ilvl w:val="0"/>
          <w:numId w:val="10"/>
        </w:numPr>
        <w:spacing w:line="480" w:lineRule="auto"/>
        <w:contextualSpacing/>
        <w:rPr>
          <w:rFonts w:ascii="Times New Roman" w:hAnsi="Times New Roman" w:cs="Times New Roman"/>
        </w:rPr>
      </w:pPr>
      <w:r w:rsidRPr="00DD4331">
        <w:rPr>
          <w:rFonts w:ascii="Times New Roman" w:hAnsi="Times New Roman" w:cs="Times New Roman"/>
        </w:rPr>
        <w:t xml:space="preserve">Assumed Supply from POW is 35.5% of total Tongass supply, or 47.6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/year, 476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/decade or 1,427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during 2015 – 2045. This is based on proportional representation of all Tongass timber that occurs within the Prince of Wales suitable, </w:t>
      </w:r>
      <w:proofErr w:type="spellStart"/>
      <w:r w:rsidRPr="00DD4331">
        <w:rPr>
          <w:rFonts w:ascii="Times New Roman" w:hAnsi="Times New Roman" w:cs="Times New Roman"/>
        </w:rPr>
        <w:t>roaded</w:t>
      </w:r>
      <w:proofErr w:type="spellEnd"/>
      <w:r w:rsidRPr="00DD4331">
        <w:rPr>
          <w:rFonts w:ascii="Times New Roman" w:hAnsi="Times New Roman" w:cs="Times New Roman"/>
        </w:rPr>
        <w:t xml:space="preserve"> and Phase 1,2 &amp; 3 land base.</w:t>
      </w:r>
    </w:p>
    <w:p w14:paraId="0F6C4E36" w14:textId="77777777" w:rsidR="003B4B77" w:rsidRPr="00DD4331" w:rsidRDefault="003B4B77" w:rsidP="00DD4331">
      <w:pPr>
        <w:numPr>
          <w:ilvl w:val="0"/>
          <w:numId w:val="10"/>
        </w:numPr>
        <w:spacing w:line="480" w:lineRule="auto"/>
        <w:contextualSpacing/>
        <w:rPr>
          <w:rFonts w:ascii="Times New Roman" w:hAnsi="Times New Roman" w:cs="Times New Roman"/>
        </w:rPr>
      </w:pPr>
      <w:r w:rsidRPr="00DD4331">
        <w:rPr>
          <w:rFonts w:ascii="Times New Roman" w:hAnsi="Times New Roman" w:cs="Times New Roman"/>
        </w:rPr>
        <w:t xml:space="preserve">Assume Big Thorne Timber Sale proceeds, and accounts for a proportion of the supply demand described above.  In this case, the estimated 149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from Big Thorne would reduce the remaining demand for OG supply from POW to a total of 1,278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during the period 2015 – 2045.</w:t>
      </w:r>
    </w:p>
    <w:p w14:paraId="490125E3" w14:textId="77777777" w:rsidR="003B4B77" w:rsidRPr="00DD4331" w:rsidRDefault="003B4B77" w:rsidP="00DD4331">
      <w:pPr>
        <w:spacing w:line="480" w:lineRule="auto"/>
        <w:ind w:left="360"/>
        <w:contextualSpacing/>
        <w:rPr>
          <w:rFonts w:ascii="Times New Roman" w:hAnsi="Times New Roman" w:cs="Times New Roman"/>
        </w:rPr>
      </w:pPr>
    </w:p>
    <w:p w14:paraId="4C175F1D"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Mental Health Land Trust Exchange Proposal</w:t>
      </w:r>
    </w:p>
    <w:p w14:paraId="37A8B9B9" w14:textId="77777777" w:rsidR="003B4B77" w:rsidRPr="00DD4331" w:rsidRDefault="003B4B77" w:rsidP="00DD4331">
      <w:pPr>
        <w:numPr>
          <w:ilvl w:val="0"/>
          <w:numId w:val="11"/>
        </w:numPr>
        <w:spacing w:line="480" w:lineRule="auto"/>
        <w:contextualSpacing/>
        <w:rPr>
          <w:rFonts w:ascii="Times New Roman" w:hAnsi="Times New Roman" w:cs="Times New Roman"/>
        </w:rPr>
      </w:pPr>
      <w:r w:rsidRPr="00DD4331">
        <w:rPr>
          <w:rFonts w:ascii="Times New Roman" w:hAnsi="Times New Roman" w:cs="Times New Roman"/>
        </w:rPr>
        <w:t>Assumes that the MHLT exchange is approved.</w:t>
      </w:r>
    </w:p>
    <w:p w14:paraId="5EE9AE0B" w14:textId="77777777" w:rsidR="003B4B77" w:rsidRPr="00DD4331" w:rsidRDefault="003B4B77" w:rsidP="00DD4331">
      <w:pPr>
        <w:numPr>
          <w:ilvl w:val="0"/>
          <w:numId w:val="11"/>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within these lands would be logged at an even rate over 15 years for an average rate of 923 acres or 30 </w:t>
      </w:r>
      <w:proofErr w:type="spellStart"/>
      <w:r w:rsidRPr="00DD4331">
        <w:rPr>
          <w:rFonts w:ascii="Times New Roman" w:hAnsi="Times New Roman" w:cs="Times New Roman"/>
        </w:rPr>
        <w:t>mmbf</w:t>
      </w:r>
      <w:proofErr w:type="spellEnd"/>
      <w:r w:rsidRPr="00DD4331">
        <w:rPr>
          <w:rFonts w:ascii="Times New Roman" w:hAnsi="Times New Roman" w:cs="Times New Roman"/>
        </w:rPr>
        <w:t>/year (Table A1).</w:t>
      </w:r>
    </w:p>
    <w:p w14:paraId="45C6D2E8" w14:textId="77777777" w:rsidR="003B4B77" w:rsidRPr="00DD4331" w:rsidRDefault="003B4B77" w:rsidP="00DD4331">
      <w:pPr>
        <w:spacing w:line="480" w:lineRule="auto"/>
        <w:ind w:left="360"/>
        <w:contextualSpacing/>
        <w:rPr>
          <w:rFonts w:ascii="Times New Roman" w:hAnsi="Times New Roman" w:cs="Times New Roman"/>
        </w:rPr>
      </w:pPr>
    </w:p>
    <w:p w14:paraId="7795F23C" w14:textId="77777777" w:rsidR="003B4B77" w:rsidRPr="00DD4331" w:rsidRDefault="003B4B77" w:rsidP="00DD4331">
      <w:pPr>
        <w:spacing w:before="120" w:line="480" w:lineRule="auto"/>
        <w:rPr>
          <w:rFonts w:ascii="Times New Roman" w:hAnsi="Times New Roman" w:cs="Times New Roman"/>
          <w:i/>
        </w:rPr>
      </w:pPr>
      <w:proofErr w:type="spellStart"/>
      <w:r w:rsidRPr="00DD4331">
        <w:rPr>
          <w:rFonts w:ascii="Times New Roman" w:hAnsi="Times New Roman" w:cs="Times New Roman"/>
          <w:i/>
        </w:rPr>
        <w:lastRenderedPageBreak/>
        <w:t>Sealaska</w:t>
      </w:r>
      <w:proofErr w:type="spellEnd"/>
      <w:r w:rsidRPr="00DD4331">
        <w:rPr>
          <w:rFonts w:ascii="Times New Roman" w:hAnsi="Times New Roman" w:cs="Times New Roman"/>
          <w:i/>
        </w:rPr>
        <w:t xml:space="preserve"> Land Entitlement Finalization</w:t>
      </w:r>
    </w:p>
    <w:p w14:paraId="4E7ACD79" w14:textId="77777777" w:rsidR="003B4B77" w:rsidRPr="00DD4331" w:rsidRDefault="003B4B77" w:rsidP="00DD4331">
      <w:pPr>
        <w:numPr>
          <w:ilvl w:val="0"/>
          <w:numId w:val="12"/>
        </w:numPr>
        <w:spacing w:line="480" w:lineRule="auto"/>
        <w:contextualSpacing/>
        <w:rPr>
          <w:rFonts w:ascii="Times New Roman" w:hAnsi="Times New Roman" w:cs="Times New Roman"/>
        </w:rPr>
      </w:pPr>
      <w:r w:rsidRPr="00DD4331">
        <w:rPr>
          <w:rFonts w:ascii="Times New Roman" w:hAnsi="Times New Roman" w:cs="Times New Roman"/>
        </w:rPr>
        <w:t xml:space="preserve">Accounts for lands transferred to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under the Land Entitlement Finalization Act of 2014.</w:t>
      </w:r>
    </w:p>
    <w:p w14:paraId="58298787" w14:textId="77777777" w:rsidR="003B4B77" w:rsidRPr="00DD4331" w:rsidRDefault="003B4B77" w:rsidP="00DD4331">
      <w:pPr>
        <w:numPr>
          <w:ilvl w:val="0"/>
          <w:numId w:val="12"/>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within these lands would be logged at an even rate over 15 years for an average rate of approximately 1,700 acres or 56 </w:t>
      </w:r>
      <w:proofErr w:type="spellStart"/>
      <w:r w:rsidRPr="00DD4331">
        <w:rPr>
          <w:rFonts w:ascii="Times New Roman" w:hAnsi="Times New Roman" w:cs="Times New Roman"/>
        </w:rPr>
        <w:t>mmbf</w:t>
      </w:r>
      <w:proofErr w:type="spellEnd"/>
      <w:r w:rsidRPr="00DD4331">
        <w:rPr>
          <w:rFonts w:ascii="Times New Roman" w:hAnsi="Times New Roman" w:cs="Times New Roman"/>
        </w:rPr>
        <w:t>/year (Table A1).</w:t>
      </w:r>
    </w:p>
    <w:p w14:paraId="4C412773" w14:textId="77777777" w:rsidR="003B4B77" w:rsidRPr="00DD4331" w:rsidRDefault="003B4B77" w:rsidP="00DD4331">
      <w:pPr>
        <w:spacing w:line="480" w:lineRule="auto"/>
        <w:ind w:left="360"/>
        <w:contextualSpacing/>
        <w:rPr>
          <w:rFonts w:ascii="Times New Roman" w:hAnsi="Times New Roman" w:cs="Times New Roman"/>
        </w:rPr>
      </w:pPr>
    </w:p>
    <w:p w14:paraId="7A9345B5"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State of Alaska Forest Lands</w:t>
      </w:r>
    </w:p>
    <w:p w14:paraId="7EE63646" w14:textId="77777777" w:rsidR="003B4B77" w:rsidRPr="00DD4331" w:rsidRDefault="003B4B77" w:rsidP="00DD4331">
      <w:pPr>
        <w:numPr>
          <w:ilvl w:val="0"/>
          <w:numId w:val="13"/>
        </w:numPr>
        <w:spacing w:line="480" w:lineRule="auto"/>
        <w:contextualSpacing/>
        <w:rPr>
          <w:rFonts w:ascii="Times New Roman" w:hAnsi="Times New Roman" w:cs="Times New Roman"/>
        </w:rPr>
      </w:pPr>
      <w:r w:rsidRPr="00DD4331">
        <w:rPr>
          <w:rFonts w:ascii="Times New Roman" w:hAnsi="Times New Roman" w:cs="Times New Roman"/>
        </w:rPr>
        <w:t xml:space="preserve">Accounts for logging expected to </w:t>
      </w:r>
      <w:proofErr w:type="gramStart"/>
      <w:r w:rsidRPr="00DD4331">
        <w:rPr>
          <w:rFonts w:ascii="Times New Roman" w:hAnsi="Times New Roman" w:cs="Times New Roman"/>
        </w:rPr>
        <w:t>continue on</w:t>
      </w:r>
      <w:proofErr w:type="gramEnd"/>
      <w:r w:rsidRPr="00DD4331">
        <w:rPr>
          <w:rFonts w:ascii="Times New Roman" w:hAnsi="Times New Roman" w:cs="Times New Roman"/>
        </w:rPr>
        <w:t xml:space="preserve"> State Forest Lands.</w:t>
      </w:r>
    </w:p>
    <w:p w14:paraId="60BD0FA4" w14:textId="77777777" w:rsidR="003B4B77" w:rsidRPr="00DD4331" w:rsidRDefault="003B4B77" w:rsidP="00DD4331">
      <w:pPr>
        <w:numPr>
          <w:ilvl w:val="0"/>
          <w:numId w:val="13"/>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lands managed by the State of Alaska will be logged at an even pace over the </w:t>
      </w:r>
      <w:proofErr w:type="gramStart"/>
      <w:r w:rsidRPr="00DD4331">
        <w:rPr>
          <w:rFonts w:ascii="Times New Roman" w:hAnsi="Times New Roman" w:cs="Times New Roman"/>
        </w:rPr>
        <w:t>15 year</w:t>
      </w:r>
      <w:proofErr w:type="gramEnd"/>
      <w:r w:rsidRPr="00DD4331">
        <w:rPr>
          <w:rFonts w:ascii="Times New Roman" w:hAnsi="Times New Roman" w:cs="Times New Roman"/>
        </w:rPr>
        <w:t xml:space="preserve"> period (2015-2030) of 730 acres or 22 </w:t>
      </w:r>
      <w:proofErr w:type="spellStart"/>
      <w:r w:rsidRPr="00DD4331">
        <w:rPr>
          <w:rFonts w:ascii="Times New Roman" w:hAnsi="Times New Roman" w:cs="Times New Roman"/>
        </w:rPr>
        <w:t>mmbf</w:t>
      </w:r>
      <w:proofErr w:type="spellEnd"/>
      <w:r w:rsidRPr="00DD4331">
        <w:rPr>
          <w:rFonts w:ascii="Times New Roman" w:hAnsi="Times New Roman" w:cs="Times New Roman"/>
        </w:rPr>
        <w:t>/year.</w:t>
      </w:r>
    </w:p>
    <w:p w14:paraId="500DFC4A" w14:textId="77777777" w:rsidR="003B4B77" w:rsidRPr="00DD4331" w:rsidRDefault="003B4B77" w:rsidP="00DD4331">
      <w:pPr>
        <w:spacing w:line="480" w:lineRule="auto"/>
        <w:ind w:left="360"/>
        <w:contextualSpacing/>
        <w:rPr>
          <w:rFonts w:ascii="Times New Roman" w:hAnsi="Times New Roman" w:cs="Times New Roman"/>
        </w:rPr>
      </w:pPr>
    </w:p>
    <w:p w14:paraId="43948A6F"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Other ANCSA Corporation Lands</w:t>
      </w:r>
    </w:p>
    <w:p w14:paraId="348F9F37" w14:textId="77777777" w:rsidR="003B4B77" w:rsidRPr="00DD4331" w:rsidRDefault="003B4B77" w:rsidP="00DD4331">
      <w:pPr>
        <w:numPr>
          <w:ilvl w:val="0"/>
          <w:numId w:val="14"/>
        </w:numPr>
        <w:spacing w:line="480" w:lineRule="auto"/>
        <w:contextualSpacing/>
        <w:rPr>
          <w:rFonts w:ascii="Times New Roman" w:hAnsi="Times New Roman" w:cs="Times New Roman"/>
        </w:rPr>
      </w:pPr>
      <w:r w:rsidRPr="00DD4331">
        <w:rPr>
          <w:rFonts w:ascii="Times New Roman" w:hAnsi="Times New Roman" w:cs="Times New Roman"/>
        </w:rPr>
        <w:t xml:space="preserve">This scenario assumes preferentially selected timber lands (RSF &gt; 0.4) currently owned by ANCSA corporations (not including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Land Finalization) will be logged at an even pace over the </w:t>
      </w:r>
      <w:proofErr w:type="gramStart"/>
      <w:r w:rsidRPr="00DD4331">
        <w:rPr>
          <w:rFonts w:ascii="Times New Roman" w:hAnsi="Times New Roman" w:cs="Times New Roman"/>
        </w:rPr>
        <w:t>15 year</w:t>
      </w:r>
      <w:proofErr w:type="gramEnd"/>
      <w:r w:rsidRPr="00DD4331">
        <w:rPr>
          <w:rFonts w:ascii="Times New Roman" w:hAnsi="Times New Roman" w:cs="Times New Roman"/>
        </w:rPr>
        <w:t xml:space="preserve"> period of 2015-2030, with approximately 868 acres or 28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logged per year (Table A1).</w:t>
      </w:r>
    </w:p>
    <w:p w14:paraId="04DBC11F" w14:textId="77777777" w:rsidR="003B4B77" w:rsidRPr="00DD4331" w:rsidRDefault="003B4B77" w:rsidP="00DD4331">
      <w:pPr>
        <w:spacing w:line="480" w:lineRule="auto"/>
        <w:ind w:left="1440"/>
        <w:contextualSpacing/>
        <w:rPr>
          <w:rFonts w:ascii="Times New Roman" w:hAnsi="Times New Roman" w:cs="Times New Roman"/>
        </w:rPr>
      </w:pPr>
    </w:p>
    <w:p w14:paraId="7D8C8851" w14:textId="77777777" w:rsidR="003B4B77" w:rsidRPr="00DD4331" w:rsidRDefault="003B4B77" w:rsidP="00DD4331">
      <w:pPr>
        <w:spacing w:line="480" w:lineRule="auto"/>
        <w:rPr>
          <w:rFonts w:ascii="Times New Roman" w:hAnsi="Times New Roman" w:cs="Times New Roman"/>
          <w:i/>
        </w:rPr>
      </w:pPr>
      <w:r w:rsidRPr="00DD4331">
        <w:rPr>
          <w:rFonts w:ascii="Times New Roman" w:hAnsi="Times New Roman" w:cs="Times New Roman"/>
          <w:i/>
        </w:rPr>
        <w:t xml:space="preserve">5) Maximum harvest of old-growth forest </w:t>
      </w:r>
    </w:p>
    <w:p w14:paraId="13568543" w14:textId="77777777" w:rsidR="003B4B77" w:rsidRPr="00DD4331" w:rsidRDefault="003B4B77" w:rsidP="00DD4331">
      <w:pPr>
        <w:spacing w:line="480" w:lineRule="auto"/>
        <w:rPr>
          <w:rFonts w:ascii="Times New Roman" w:hAnsi="Times New Roman" w:cs="Times New Roman"/>
        </w:rPr>
      </w:pPr>
      <w:r w:rsidRPr="00DD4331">
        <w:rPr>
          <w:rFonts w:ascii="Times New Roman" w:hAnsi="Times New Roman" w:cs="Times New Roman"/>
        </w:rPr>
        <w:t xml:space="preserve">This potential vegetation future is the result of the maximum harvest of old-growth forest at highest levels described in the TLMP (all lands/Phase 1-3/intensive).  </w:t>
      </w:r>
    </w:p>
    <w:p w14:paraId="79431C4D" w14:textId="77777777" w:rsidR="003B4B77" w:rsidRPr="00DD4331" w:rsidRDefault="003B4B77" w:rsidP="00DD4331">
      <w:pPr>
        <w:keepNext/>
        <w:spacing w:line="480" w:lineRule="auto"/>
        <w:rPr>
          <w:rFonts w:ascii="Times New Roman" w:hAnsi="Times New Roman" w:cs="Times New Roman"/>
          <w:b/>
        </w:rPr>
      </w:pPr>
    </w:p>
    <w:p w14:paraId="1EA1A252" w14:textId="77777777" w:rsidR="003B4B77" w:rsidRPr="00DD4331" w:rsidRDefault="003B4B77" w:rsidP="00DD4331">
      <w:pPr>
        <w:keepNext/>
        <w:spacing w:before="120" w:line="480" w:lineRule="auto"/>
        <w:rPr>
          <w:rFonts w:ascii="Times New Roman" w:hAnsi="Times New Roman" w:cs="Times New Roman"/>
          <w:i/>
        </w:rPr>
      </w:pPr>
      <w:r w:rsidRPr="00DD4331">
        <w:rPr>
          <w:rFonts w:ascii="Times New Roman" w:hAnsi="Times New Roman" w:cs="Times New Roman"/>
          <w:i/>
        </w:rPr>
        <w:t>Tongass National Forest</w:t>
      </w:r>
    </w:p>
    <w:p w14:paraId="39DCF071" w14:textId="77777777" w:rsidR="003B4B77" w:rsidRPr="00DD4331" w:rsidRDefault="003B4B77" w:rsidP="00DD4331">
      <w:pPr>
        <w:numPr>
          <w:ilvl w:val="0"/>
          <w:numId w:val="14"/>
        </w:numPr>
        <w:spacing w:line="480" w:lineRule="auto"/>
        <w:contextualSpacing/>
        <w:rPr>
          <w:rFonts w:ascii="Times New Roman" w:hAnsi="Times New Roman" w:cs="Times New Roman"/>
        </w:rPr>
      </w:pPr>
      <w:r w:rsidRPr="00DD4331">
        <w:rPr>
          <w:rFonts w:ascii="Times New Roman" w:hAnsi="Times New Roman" w:cs="Times New Roman"/>
        </w:rPr>
        <w:t xml:space="preserve">Assumes maximum harvest allowable under the 2008 TLMP, or approximately 267 </w:t>
      </w:r>
      <w:proofErr w:type="spellStart"/>
      <w:r w:rsidRPr="00DD4331">
        <w:rPr>
          <w:rFonts w:ascii="Times New Roman" w:hAnsi="Times New Roman" w:cs="Times New Roman"/>
        </w:rPr>
        <w:t>mmbf</w:t>
      </w:r>
      <w:proofErr w:type="spellEnd"/>
      <w:r w:rsidRPr="00DD4331">
        <w:rPr>
          <w:rFonts w:ascii="Times New Roman" w:hAnsi="Times New Roman" w:cs="Times New Roman"/>
        </w:rPr>
        <w:t>/year from the entire Tongass National Forest.</w:t>
      </w:r>
    </w:p>
    <w:p w14:paraId="6C00F1EB" w14:textId="77777777" w:rsidR="003B4B77" w:rsidRPr="00DD4331" w:rsidRDefault="003B4B77" w:rsidP="00DD4331">
      <w:pPr>
        <w:numPr>
          <w:ilvl w:val="0"/>
          <w:numId w:val="14"/>
        </w:numPr>
        <w:spacing w:line="480" w:lineRule="auto"/>
        <w:contextualSpacing/>
        <w:rPr>
          <w:rFonts w:ascii="Times New Roman" w:hAnsi="Times New Roman" w:cs="Times New Roman"/>
        </w:rPr>
      </w:pPr>
      <w:r w:rsidRPr="00DD4331">
        <w:rPr>
          <w:rFonts w:ascii="Times New Roman" w:hAnsi="Times New Roman" w:cs="Times New Roman"/>
        </w:rPr>
        <w:t xml:space="preserve">Assumes that administrative protections applied under the Roadless Rule is repealed for the Tongass National Forest.  The land base for this scenario includes </w:t>
      </w:r>
      <w:proofErr w:type="spellStart"/>
      <w:r w:rsidRPr="00DD4331">
        <w:rPr>
          <w:rFonts w:ascii="Times New Roman" w:hAnsi="Times New Roman" w:cs="Times New Roman"/>
        </w:rPr>
        <w:t>roaded</w:t>
      </w:r>
      <w:proofErr w:type="spellEnd"/>
      <w:r w:rsidRPr="00DD4331">
        <w:rPr>
          <w:rFonts w:ascii="Times New Roman" w:hAnsi="Times New Roman" w:cs="Times New Roman"/>
        </w:rPr>
        <w:t xml:space="preserve"> and roadless areas within the TLMP 2008 Suitable Land Base of all phases (1, 2 &amp; 3) of the TLMP Adaptive Management Strategy.</w:t>
      </w:r>
    </w:p>
    <w:p w14:paraId="7B4DC086" w14:textId="77777777" w:rsidR="003B4B77" w:rsidRPr="00DD4331" w:rsidRDefault="003B4B77" w:rsidP="00DD4331">
      <w:pPr>
        <w:numPr>
          <w:ilvl w:val="0"/>
          <w:numId w:val="14"/>
        </w:numPr>
        <w:spacing w:line="480" w:lineRule="auto"/>
        <w:contextualSpacing/>
        <w:rPr>
          <w:rFonts w:ascii="Times New Roman" w:hAnsi="Times New Roman" w:cs="Times New Roman"/>
        </w:rPr>
      </w:pPr>
      <w:r w:rsidRPr="00DD4331">
        <w:rPr>
          <w:rFonts w:ascii="Times New Roman" w:hAnsi="Times New Roman" w:cs="Times New Roman"/>
        </w:rPr>
        <w:t xml:space="preserve">Assumed Supply from POW is 25.5% of total Tongass supply, or 69.2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/year, 692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/decade or 2,074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during 2015-2045. This is based on proportional representation of all Tongass timber that occurs within the Prince of Wales suitable and available land base under the 2008 TLMP.</w:t>
      </w:r>
    </w:p>
    <w:p w14:paraId="70DFD421" w14:textId="77777777" w:rsidR="003B4B77" w:rsidRPr="00DD4331" w:rsidRDefault="003B4B77" w:rsidP="00DD4331">
      <w:pPr>
        <w:numPr>
          <w:ilvl w:val="0"/>
          <w:numId w:val="14"/>
        </w:numPr>
        <w:spacing w:line="480" w:lineRule="auto"/>
        <w:contextualSpacing/>
        <w:rPr>
          <w:rFonts w:ascii="Times New Roman" w:hAnsi="Times New Roman" w:cs="Times New Roman"/>
        </w:rPr>
      </w:pPr>
      <w:r w:rsidRPr="00DD4331">
        <w:rPr>
          <w:rFonts w:ascii="Times New Roman" w:hAnsi="Times New Roman" w:cs="Times New Roman"/>
        </w:rPr>
        <w:t xml:space="preserve">Assumes Big Thorne Timber Sale proceeds, and accounts for a proportion of the supply demand described above. The estimated 149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from Big Thorne would reduce the remaining demand for OG supply from POW to a total of 1,925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during the period 2015-2045. </w:t>
      </w:r>
    </w:p>
    <w:p w14:paraId="55D9F524" w14:textId="77777777" w:rsidR="003B4B77" w:rsidRPr="00DD4331" w:rsidRDefault="003B4B77" w:rsidP="00DD4331">
      <w:pPr>
        <w:spacing w:line="480" w:lineRule="auto"/>
        <w:ind w:left="360"/>
        <w:contextualSpacing/>
        <w:rPr>
          <w:rFonts w:ascii="Times New Roman" w:hAnsi="Times New Roman" w:cs="Times New Roman"/>
        </w:rPr>
      </w:pPr>
    </w:p>
    <w:p w14:paraId="259E495C"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Mental Health Land Trust Exchange Proposal</w:t>
      </w:r>
    </w:p>
    <w:p w14:paraId="44711BBF" w14:textId="77777777" w:rsidR="003B4B77" w:rsidRPr="00DD4331" w:rsidRDefault="003B4B77" w:rsidP="00DD4331">
      <w:pPr>
        <w:numPr>
          <w:ilvl w:val="0"/>
          <w:numId w:val="15"/>
        </w:numPr>
        <w:spacing w:line="480" w:lineRule="auto"/>
        <w:contextualSpacing/>
        <w:rPr>
          <w:rFonts w:ascii="Times New Roman" w:hAnsi="Times New Roman" w:cs="Times New Roman"/>
        </w:rPr>
      </w:pPr>
      <w:r w:rsidRPr="00DD4331">
        <w:rPr>
          <w:rFonts w:ascii="Times New Roman" w:hAnsi="Times New Roman" w:cs="Times New Roman"/>
        </w:rPr>
        <w:t>Assumes that the MHLT exchange is approved.</w:t>
      </w:r>
    </w:p>
    <w:p w14:paraId="4242599C" w14:textId="77777777" w:rsidR="003B4B77" w:rsidRPr="00DD4331" w:rsidRDefault="003B4B77" w:rsidP="00DD4331">
      <w:pPr>
        <w:numPr>
          <w:ilvl w:val="0"/>
          <w:numId w:val="15"/>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within these lands would be logged at an even rate over 10 years for an average rate of 1,385 acres or 45 </w:t>
      </w:r>
      <w:proofErr w:type="spellStart"/>
      <w:r w:rsidRPr="00DD4331">
        <w:rPr>
          <w:rFonts w:ascii="Times New Roman" w:hAnsi="Times New Roman" w:cs="Times New Roman"/>
        </w:rPr>
        <w:t>mmbf</w:t>
      </w:r>
      <w:proofErr w:type="spellEnd"/>
      <w:r w:rsidRPr="00DD4331">
        <w:rPr>
          <w:rFonts w:ascii="Times New Roman" w:hAnsi="Times New Roman" w:cs="Times New Roman"/>
        </w:rPr>
        <w:t>/year (Table A1).</w:t>
      </w:r>
    </w:p>
    <w:p w14:paraId="06748CBE" w14:textId="77777777" w:rsidR="003B4B77" w:rsidRPr="00DD4331" w:rsidRDefault="003B4B77" w:rsidP="00DD4331">
      <w:pPr>
        <w:spacing w:line="480" w:lineRule="auto"/>
        <w:ind w:left="360"/>
        <w:contextualSpacing/>
        <w:rPr>
          <w:rFonts w:ascii="Times New Roman" w:hAnsi="Times New Roman" w:cs="Times New Roman"/>
        </w:rPr>
      </w:pPr>
    </w:p>
    <w:p w14:paraId="40480B0C" w14:textId="77777777" w:rsidR="003B4B77" w:rsidRPr="00DD4331" w:rsidRDefault="003B4B77" w:rsidP="00DD4331">
      <w:pPr>
        <w:spacing w:before="120" w:line="480" w:lineRule="auto"/>
        <w:rPr>
          <w:rFonts w:ascii="Times New Roman" w:hAnsi="Times New Roman" w:cs="Times New Roman"/>
          <w:i/>
        </w:rPr>
      </w:pPr>
      <w:proofErr w:type="spellStart"/>
      <w:r w:rsidRPr="00DD4331">
        <w:rPr>
          <w:rFonts w:ascii="Times New Roman" w:hAnsi="Times New Roman" w:cs="Times New Roman"/>
          <w:i/>
        </w:rPr>
        <w:lastRenderedPageBreak/>
        <w:t>Sealaska</w:t>
      </w:r>
      <w:proofErr w:type="spellEnd"/>
      <w:r w:rsidRPr="00DD4331">
        <w:rPr>
          <w:rFonts w:ascii="Times New Roman" w:hAnsi="Times New Roman" w:cs="Times New Roman"/>
          <w:i/>
        </w:rPr>
        <w:t xml:space="preserve"> Land Entitlement Finalization</w:t>
      </w:r>
    </w:p>
    <w:p w14:paraId="26DCA3C7" w14:textId="77777777" w:rsidR="003B4B77" w:rsidRPr="00DD4331" w:rsidRDefault="003B4B77" w:rsidP="00DD4331">
      <w:pPr>
        <w:numPr>
          <w:ilvl w:val="0"/>
          <w:numId w:val="16"/>
        </w:numPr>
        <w:spacing w:line="480" w:lineRule="auto"/>
        <w:contextualSpacing/>
        <w:rPr>
          <w:rFonts w:ascii="Times New Roman" w:hAnsi="Times New Roman" w:cs="Times New Roman"/>
        </w:rPr>
      </w:pPr>
      <w:r w:rsidRPr="00DD4331">
        <w:rPr>
          <w:rFonts w:ascii="Times New Roman" w:hAnsi="Times New Roman" w:cs="Times New Roman"/>
        </w:rPr>
        <w:t xml:space="preserve">Accounts for lands transferred to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under the Land Entitlement Finalization Act of 2014.</w:t>
      </w:r>
    </w:p>
    <w:p w14:paraId="7983C9A7" w14:textId="77777777" w:rsidR="003B4B77" w:rsidRPr="00DD4331" w:rsidRDefault="003B4B77" w:rsidP="00DD4331">
      <w:pPr>
        <w:numPr>
          <w:ilvl w:val="0"/>
          <w:numId w:val="16"/>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within these lands would be logged at an even rate over 10 years for an average rate of approximately 2,500 acres or 84 </w:t>
      </w:r>
      <w:proofErr w:type="spellStart"/>
      <w:r w:rsidRPr="00DD4331">
        <w:rPr>
          <w:rFonts w:ascii="Times New Roman" w:hAnsi="Times New Roman" w:cs="Times New Roman"/>
        </w:rPr>
        <w:t>mmbf</w:t>
      </w:r>
      <w:proofErr w:type="spellEnd"/>
      <w:r w:rsidRPr="00DD4331">
        <w:rPr>
          <w:rFonts w:ascii="Times New Roman" w:hAnsi="Times New Roman" w:cs="Times New Roman"/>
        </w:rPr>
        <w:t>/year (Table A1).</w:t>
      </w:r>
    </w:p>
    <w:p w14:paraId="4FDC0CFE" w14:textId="77777777" w:rsidR="003B4B77" w:rsidRPr="00DD4331" w:rsidRDefault="003B4B77" w:rsidP="00DD4331">
      <w:pPr>
        <w:spacing w:line="480" w:lineRule="auto"/>
        <w:ind w:left="360"/>
        <w:contextualSpacing/>
        <w:rPr>
          <w:rFonts w:ascii="Times New Roman" w:hAnsi="Times New Roman" w:cs="Times New Roman"/>
        </w:rPr>
      </w:pPr>
    </w:p>
    <w:p w14:paraId="47EB59E5"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State of Alaska Forest Lands</w:t>
      </w:r>
    </w:p>
    <w:p w14:paraId="2AE47611" w14:textId="77777777" w:rsidR="003B4B77" w:rsidRPr="00DD4331" w:rsidRDefault="003B4B77" w:rsidP="00DD4331">
      <w:pPr>
        <w:numPr>
          <w:ilvl w:val="0"/>
          <w:numId w:val="17"/>
        </w:numPr>
        <w:spacing w:line="480" w:lineRule="auto"/>
        <w:contextualSpacing/>
        <w:rPr>
          <w:rFonts w:ascii="Times New Roman" w:hAnsi="Times New Roman" w:cs="Times New Roman"/>
        </w:rPr>
      </w:pPr>
      <w:r w:rsidRPr="00DD4331">
        <w:rPr>
          <w:rFonts w:ascii="Times New Roman" w:hAnsi="Times New Roman" w:cs="Times New Roman"/>
        </w:rPr>
        <w:t xml:space="preserve">Accounts for logging expected to </w:t>
      </w:r>
      <w:proofErr w:type="gramStart"/>
      <w:r w:rsidRPr="00DD4331">
        <w:rPr>
          <w:rFonts w:ascii="Times New Roman" w:hAnsi="Times New Roman" w:cs="Times New Roman"/>
        </w:rPr>
        <w:t>continue on</w:t>
      </w:r>
      <w:proofErr w:type="gramEnd"/>
      <w:r w:rsidRPr="00DD4331">
        <w:rPr>
          <w:rFonts w:ascii="Times New Roman" w:hAnsi="Times New Roman" w:cs="Times New Roman"/>
        </w:rPr>
        <w:t xml:space="preserve"> State Forest Lands.</w:t>
      </w:r>
    </w:p>
    <w:p w14:paraId="199235C8" w14:textId="77777777" w:rsidR="003B4B77" w:rsidRPr="00DD4331" w:rsidRDefault="003B4B77" w:rsidP="00DD4331">
      <w:pPr>
        <w:numPr>
          <w:ilvl w:val="0"/>
          <w:numId w:val="17"/>
        </w:numPr>
        <w:spacing w:line="480" w:lineRule="auto"/>
        <w:contextualSpacing/>
        <w:rPr>
          <w:rFonts w:ascii="Times New Roman" w:hAnsi="Times New Roman" w:cs="Times New Roman"/>
        </w:rPr>
      </w:pPr>
      <w:r w:rsidRPr="00DD4331">
        <w:rPr>
          <w:rFonts w:ascii="Times New Roman" w:hAnsi="Times New Roman" w:cs="Times New Roman"/>
        </w:rPr>
        <w:t xml:space="preserve">Assumes that preferentially selected OG timber lands managed by the State of Alaska will be logged at an even pace over the </w:t>
      </w:r>
      <w:proofErr w:type="gramStart"/>
      <w:r w:rsidRPr="00DD4331">
        <w:rPr>
          <w:rFonts w:ascii="Times New Roman" w:hAnsi="Times New Roman" w:cs="Times New Roman"/>
        </w:rPr>
        <w:t>10 year</w:t>
      </w:r>
      <w:proofErr w:type="gramEnd"/>
      <w:r w:rsidRPr="00DD4331">
        <w:rPr>
          <w:rFonts w:ascii="Times New Roman" w:hAnsi="Times New Roman" w:cs="Times New Roman"/>
        </w:rPr>
        <w:t xml:space="preserve"> period (2015-2030) of 1,100 acres or 33 </w:t>
      </w:r>
      <w:proofErr w:type="spellStart"/>
      <w:r w:rsidRPr="00DD4331">
        <w:rPr>
          <w:rFonts w:ascii="Times New Roman" w:hAnsi="Times New Roman" w:cs="Times New Roman"/>
        </w:rPr>
        <w:t>mmbf</w:t>
      </w:r>
      <w:proofErr w:type="spellEnd"/>
      <w:r w:rsidRPr="00DD4331">
        <w:rPr>
          <w:rFonts w:ascii="Times New Roman" w:hAnsi="Times New Roman" w:cs="Times New Roman"/>
        </w:rPr>
        <w:t>/year.</w:t>
      </w:r>
    </w:p>
    <w:p w14:paraId="1925F7B3" w14:textId="77777777" w:rsidR="003B4B77" w:rsidRPr="00DD4331" w:rsidRDefault="003B4B77" w:rsidP="00DD4331">
      <w:pPr>
        <w:spacing w:line="480" w:lineRule="auto"/>
        <w:ind w:left="360"/>
        <w:contextualSpacing/>
        <w:rPr>
          <w:rFonts w:ascii="Times New Roman" w:hAnsi="Times New Roman" w:cs="Times New Roman"/>
        </w:rPr>
      </w:pPr>
    </w:p>
    <w:p w14:paraId="609C50C9" w14:textId="77777777" w:rsidR="003B4B77" w:rsidRPr="00DD4331" w:rsidRDefault="003B4B77" w:rsidP="00DD4331">
      <w:pPr>
        <w:spacing w:before="120" w:line="480" w:lineRule="auto"/>
        <w:rPr>
          <w:rFonts w:ascii="Times New Roman" w:hAnsi="Times New Roman" w:cs="Times New Roman"/>
          <w:i/>
        </w:rPr>
      </w:pPr>
      <w:r w:rsidRPr="00DD4331">
        <w:rPr>
          <w:rFonts w:ascii="Times New Roman" w:hAnsi="Times New Roman" w:cs="Times New Roman"/>
          <w:i/>
        </w:rPr>
        <w:t>Other ANCSA Corporation Lands</w:t>
      </w:r>
    </w:p>
    <w:p w14:paraId="67D42927" w14:textId="77777777" w:rsidR="003B4B77" w:rsidRPr="00DD4331" w:rsidRDefault="003B4B77" w:rsidP="00DD4331">
      <w:pPr>
        <w:numPr>
          <w:ilvl w:val="0"/>
          <w:numId w:val="18"/>
        </w:numPr>
        <w:spacing w:line="480" w:lineRule="auto"/>
        <w:contextualSpacing/>
        <w:rPr>
          <w:rFonts w:ascii="Times New Roman" w:hAnsi="Times New Roman" w:cs="Times New Roman"/>
        </w:rPr>
      </w:pPr>
      <w:r w:rsidRPr="00DD4331">
        <w:rPr>
          <w:rFonts w:ascii="Times New Roman" w:hAnsi="Times New Roman" w:cs="Times New Roman"/>
        </w:rPr>
        <w:t xml:space="preserve">Assumes preferentially selected timber lands (RSF &gt; 0.4) currently owned by ANCSA corporations (not including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Land Finalization) will be logged at an even pace over the </w:t>
      </w:r>
      <w:proofErr w:type="gramStart"/>
      <w:r w:rsidRPr="00DD4331">
        <w:rPr>
          <w:rFonts w:ascii="Times New Roman" w:hAnsi="Times New Roman" w:cs="Times New Roman"/>
        </w:rPr>
        <w:t>10 year</w:t>
      </w:r>
      <w:proofErr w:type="gramEnd"/>
      <w:r w:rsidRPr="00DD4331">
        <w:rPr>
          <w:rFonts w:ascii="Times New Roman" w:hAnsi="Times New Roman" w:cs="Times New Roman"/>
        </w:rPr>
        <w:t xml:space="preserve"> period of 2015- 2030, with approximately 1,300 acres or 42 </w:t>
      </w:r>
      <w:proofErr w:type="spellStart"/>
      <w:r w:rsidRPr="00DD4331">
        <w:rPr>
          <w:rFonts w:ascii="Times New Roman" w:hAnsi="Times New Roman" w:cs="Times New Roman"/>
        </w:rPr>
        <w:t>mmbf</w:t>
      </w:r>
      <w:proofErr w:type="spellEnd"/>
      <w:r w:rsidRPr="00DD4331">
        <w:rPr>
          <w:rFonts w:ascii="Times New Roman" w:hAnsi="Times New Roman" w:cs="Times New Roman"/>
        </w:rPr>
        <w:t xml:space="preserve"> logged per year (Table A1).</w:t>
      </w:r>
    </w:p>
    <w:p w14:paraId="513B99DB" w14:textId="77777777" w:rsidR="003B4B77" w:rsidRPr="00DD4331" w:rsidRDefault="003B4B77" w:rsidP="00DD4331">
      <w:pPr>
        <w:spacing w:line="480" w:lineRule="auto"/>
        <w:rPr>
          <w:rFonts w:ascii="Times New Roman" w:hAnsi="Times New Roman" w:cs="Times New Roman"/>
        </w:rPr>
      </w:pPr>
    </w:p>
    <w:p w14:paraId="768A347B" w14:textId="77777777" w:rsidR="003B4B77" w:rsidRPr="00DD4331" w:rsidRDefault="003B4B77" w:rsidP="00DD4331">
      <w:pPr>
        <w:spacing w:line="480" w:lineRule="auto"/>
        <w:rPr>
          <w:rFonts w:ascii="Times New Roman" w:hAnsi="Times New Roman" w:cs="Times New Roman"/>
        </w:rPr>
      </w:pPr>
    </w:p>
    <w:p w14:paraId="2F0C4F4A" w14:textId="77777777" w:rsidR="003B4B77" w:rsidRPr="00DD4331" w:rsidRDefault="003B4B77" w:rsidP="00DD4331">
      <w:pPr>
        <w:spacing w:line="480" w:lineRule="auto"/>
        <w:rPr>
          <w:rFonts w:ascii="Times New Roman" w:hAnsi="Times New Roman" w:cs="Times New Roman"/>
        </w:rPr>
      </w:pPr>
      <w:r w:rsidRPr="00DD4331">
        <w:rPr>
          <w:rFonts w:ascii="Times New Roman" w:hAnsi="Times New Roman" w:cs="Times New Roman"/>
        </w:rPr>
        <w:t xml:space="preserve">Table A1:  Summary of assumptions for rate of harvest of old-growth (OG) and young-growth (YG) across categories of land ownership in the Prince of Wales study area among future vegetation changes considered. Land ownership designations include </w:t>
      </w:r>
      <w:r w:rsidRPr="00DD4331">
        <w:rPr>
          <w:rFonts w:ascii="Times New Roman" w:hAnsi="Times New Roman" w:cs="Times New Roman"/>
        </w:rPr>
        <w:lastRenderedPageBreak/>
        <w:t xml:space="preserve">Tongass National Forest lands (TNF), the </w:t>
      </w:r>
      <w:proofErr w:type="spellStart"/>
      <w:r w:rsidRPr="00DD4331">
        <w:rPr>
          <w:rFonts w:ascii="Times New Roman" w:hAnsi="Times New Roman" w:cs="Times New Roman"/>
        </w:rPr>
        <w:t>Sealaska</w:t>
      </w:r>
      <w:proofErr w:type="spellEnd"/>
      <w:r w:rsidRPr="00DD4331">
        <w:rPr>
          <w:rFonts w:ascii="Times New Roman" w:hAnsi="Times New Roman" w:cs="Times New Roman"/>
        </w:rPr>
        <w:t xml:space="preserve"> Land Entitlement Finalization (SL), the Metal Health Land Trust Exchange Proposal (MHLT), State of Alaska Forest lands (SAF), and Other ANCSA Corporation lands (AC).</w:t>
      </w:r>
    </w:p>
    <w:p w14:paraId="064AA66C" w14:textId="77777777" w:rsidR="003B4B77" w:rsidRPr="00DD4331" w:rsidRDefault="003B4B77" w:rsidP="00DD4331">
      <w:pPr>
        <w:spacing w:line="480" w:lineRule="auto"/>
        <w:rPr>
          <w:rFonts w:ascii="Times New Roman" w:hAnsi="Times New Roman" w:cs="Times New Roman"/>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730"/>
        <w:gridCol w:w="1273"/>
        <w:gridCol w:w="1313"/>
        <w:gridCol w:w="1269"/>
        <w:gridCol w:w="1231"/>
        <w:gridCol w:w="1599"/>
      </w:tblGrid>
      <w:tr w:rsidR="003B4B77" w:rsidRPr="00DD4331" w14:paraId="64E76766" w14:textId="77777777" w:rsidTr="0009211A">
        <w:tc>
          <w:tcPr>
            <w:tcW w:w="1231" w:type="dxa"/>
            <w:tcBorders>
              <w:top w:val="single" w:sz="4" w:space="0" w:color="auto"/>
              <w:bottom w:val="single" w:sz="4" w:space="0" w:color="auto"/>
            </w:tcBorders>
          </w:tcPr>
          <w:p w14:paraId="78DF3D38" w14:textId="77777777" w:rsidR="003B4B77" w:rsidRPr="00DD4331" w:rsidRDefault="003B4B77" w:rsidP="00DD4331">
            <w:pPr>
              <w:spacing w:line="480" w:lineRule="auto"/>
              <w:jc w:val="center"/>
              <w:rPr>
                <w:rFonts w:cs="Times New Roman"/>
                <w:b/>
              </w:rPr>
            </w:pPr>
            <w:r w:rsidRPr="00DD4331">
              <w:rPr>
                <w:rFonts w:cs="Times New Roman"/>
                <w:b/>
              </w:rPr>
              <w:t xml:space="preserve">Vegetation </w:t>
            </w:r>
          </w:p>
        </w:tc>
        <w:tc>
          <w:tcPr>
            <w:tcW w:w="1757" w:type="dxa"/>
            <w:tcBorders>
              <w:top w:val="single" w:sz="4" w:space="0" w:color="auto"/>
              <w:bottom w:val="single" w:sz="4" w:space="0" w:color="auto"/>
            </w:tcBorders>
          </w:tcPr>
          <w:p w14:paraId="273C9232" w14:textId="77777777" w:rsidR="003B4B77" w:rsidRPr="00DD4331" w:rsidRDefault="003B4B77" w:rsidP="00DD4331">
            <w:pPr>
              <w:spacing w:line="480" w:lineRule="auto"/>
              <w:jc w:val="center"/>
              <w:rPr>
                <w:rFonts w:cs="Times New Roman"/>
                <w:b/>
              </w:rPr>
            </w:pPr>
            <w:r w:rsidRPr="00DD4331">
              <w:rPr>
                <w:rFonts w:cs="Times New Roman"/>
                <w:b/>
              </w:rPr>
              <w:t>TNF</w:t>
            </w:r>
          </w:p>
        </w:tc>
        <w:tc>
          <w:tcPr>
            <w:tcW w:w="1284" w:type="dxa"/>
            <w:tcBorders>
              <w:top w:val="single" w:sz="4" w:space="0" w:color="auto"/>
              <w:bottom w:val="single" w:sz="4" w:space="0" w:color="auto"/>
            </w:tcBorders>
          </w:tcPr>
          <w:p w14:paraId="59C13D96" w14:textId="77777777" w:rsidR="003B4B77" w:rsidRPr="00DD4331" w:rsidRDefault="003B4B77" w:rsidP="00DD4331">
            <w:pPr>
              <w:spacing w:line="480" w:lineRule="auto"/>
              <w:jc w:val="center"/>
              <w:rPr>
                <w:rFonts w:cs="Times New Roman"/>
                <w:b/>
              </w:rPr>
            </w:pPr>
            <w:r w:rsidRPr="00DD4331">
              <w:rPr>
                <w:rFonts w:cs="Times New Roman"/>
                <w:b/>
              </w:rPr>
              <w:t>SL</w:t>
            </w:r>
          </w:p>
        </w:tc>
        <w:tc>
          <w:tcPr>
            <w:tcW w:w="1326" w:type="dxa"/>
            <w:tcBorders>
              <w:top w:val="single" w:sz="4" w:space="0" w:color="auto"/>
              <w:bottom w:val="single" w:sz="4" w:space="0" w:color="auto"/>
            </w:tcBorders>
          </w:tcPr>
          <w:p w14:paraId="656490E3" w14:textId="77777777" w:rsidR="003B4B77" w:rsidRPr="00DD4331" w:rsidRDefault="003B4B77" w:rsidP="00DD4331">
            <w:pPr>
              <w:spacing w:line="480" w:lineRule="auto"/>
              <w:jc w:val="center"/>
              <w:rPr>
                <w:rFonts w:cs="Times New Roman"/>
                <w:b/>
              </w:rPr>
            </w:pPr>
            <w:r w:rsidRPr="00DD4331">
              <w:rPr>
                <w:rFonts w:cs="Times New Roman"/>
                <w:b/>
              </w:rPr>
              <w:t>MHLT</w:t>
            </w:r>
          </w:p>
        </w:tc>
        <w:tc>
          <w:tcPr>
            <w:tcW w:w="1280" w:type="dxa"/>
            <w:tcBorders>
              <w:top w:val="single" w:sz="4" w:space="0" w:color="auto"/>
              <w:bottom w:val="single" w:sz="4" w:space="0" w:color="auto"/>
            </w:tcBorders>
          </w:tcPr>
          <w:p w14:paraId="5E1735CC" w14:textId="77777777" w:rsidR="003B4B77" w:rsidRPr="00DD4331" w:rsidRDefault="003B4B77" w:rsidP="00DD4331">
            <w:pPr>
              <w:spacing w:line="480" w:lineRule="auto"/>
              <w:jc w:val="center"/>
              <w:rPr>
                <w:rFonts w:cs="Times New Roman"/>
                <w:b/>
              </w:rPr>
            </w:pPr>
            <w:r w:rsidRPr="00DD4331">
              <w:rPr>
                <w:rFonts w:cs="Times New Roman"/>
                <w:b/>
              </w:rPr>
              <w:t>SAF</w:t>
            </w:r>
          </w:p>
        </w:tc>
        <w:tc>
          <w:tcPr>
            <w:tcW w:w="1240" w:type="dxa"/>
            <w:tcBorders>
              <w:top w:val="single" w:sz="4" w:space="0" w:color="auto"/>
              <w:bottom w:val="single" w:sz="4" w:space="0" w:color="auto"/>
            </w:tcBorders>
          </w:tcPr>
          <w:p w14:paraId="3B77AB13" w14:textId="77777777" w:rsidR="003B4B77" w:rsidRPr="00DD4331" w:rsidRDefault="003B4B77" w:rsidP="00DD4331">
            <w:pPr>
              <w:spacing w:line="480" w:lineRule="auto"/>
              <w:jc w:val="center"/>
              <w:rPr>
                <w:rFonts w:cs="Times New Roman"/>
                <w:b/>
              </w:rPr>
            </w:pPr>
            <w:r w:rsidRPr="00DD4331">
              <w:rPr>
                <w:rFonts w:cs="Times New Roman"/>
                <w:b/>
              </w:rPr>
              <w:t>AC</w:t>
            </w:r>
          </w:p>
        </w:tc>
        <w:tc>
          <w:tcPr>
            <w:tcW w:w="1620" w:type="dxa"/>
            <w:tcBorders>
              <w:top w:val="single" w:sz="4" w:space="0" w:color="auto"/>
              <w:bottom w:val="single" w:sz="4" w:space="0" w:color="auto"/>
            </w:tcBorders>
          </w:tcPr>
          <w:p w14:paraId="78EADB2E" w14:textId="77777777" w:rsidR="003B4B77" w:rsidRPr="00DD4331" w:rsidRDefault="003B4B77" w:rsidP="00DD4331">
            <w:pPr>
              <w:spacing w:line="480" w:lineRule="auto"/>
              <w:jc w:val="center"/>
              <w:rPr>
                <w:rFonts w:cs="Times New Roman"/>
                <w:b/>
              </w:rPr>
            </w:pPr>
            <w:r w:rsidRPr="00DD4331">
              <w:rPr>
                <w:rFonts w:cs="Times New Roman"/>
                <w:b/>
              </w:rPr>
              <w:t>Total</w:t>
            </w:r>
          </w:p>
        </w:tc>
      </w:tr>
      <w:tr w:rsidR="003B4B77" w:rsidRPr="00DD4331" w14:paraId="6B28326C" w14:textId="77777777" w:rsidTr="0009211A">
        <w:tc>
          <w:tcPr>
            <w:tcW w:w="1231" w:type="dxa"/>
            <w:tcBorders>
              <w:top w:val="single" w:sz="4" w:space="0" w:color="auto"/>
              <w:bottom w:val="single" w:sz="4" w:space="0" w:color="auto"/>
            </w:tcBorders>
          </w:tcPr>
          <w:p w14:paraId="1C769F48" w14:textId="77777777" w:rsidR="003B4B77" w:rsidRPr="00DD4331" w:rsidRDefault="003B4B77" w:rsidP="00DD4331">
            <w:pPr>
              <w:spacing w:line="480" w:lineRule="auto"/>
              <w:rPr>
                <w:rFonts w:cs="Times New Roman"/>
                <w:i/>
              </w:rPr>
            </w:pPr>
            <w:r w:rsidRPr="00DD4331">
              <w:rPr>
                <w:rFonts w:cs="Times New Roman"/>
                <w:i/>
              </w:rPr>
              <w:t>Transition to YG</w:t>
            </w:r>
          </w:p>
        </w:tc>
        <w:tc>
          <w:tcPr>
            <w:tcW w:w="1757" w:type="dxa"/>
            <w:tcBorders>
              <w:top w:val="single" w:sz="4" w:space="0" w:color="auto"/>
              <w:bottom w:val="single" w:sz="4" w:space="0" w:color="auto"/>
            </w:tcBorders>
          </w:tcPr>
          <w:p w14:paraId="0DC93DDD" w14:textId="77777777" w:rsidR="003B4B77" w:rsidRPr="00DD4331" w:rsidRDefault="003B4B77" w:rsidP="00DD4331">
            <w:pPr>
              <w:spacing w:line="480" w:lineRule="auto"/>
              <w:rPr>
                <w:rFonts w:cs="Times New Roman"/>
              </w:rPr>
            </w:pPr>
            <w:r w:rsidRPr="00DD4331">
              <w:rPr>
                <w:rFonts w:cs="Times New Roman"/>
              </w:rPr>
              <w:t>USFS 5-yr Schedule of Activities.</w:t>
            </w:r>
          </w:p>
        </w:tc>
        <w:tc>
          <w:tcPr>
            <w:tcW w:w="1284" w:type="dxa"/>
            <w:tcBorders>
              <w:top w:val="single" w:sz="4" w:space="0" w:color="auto"/>
              <w:bottom w:val="single" w:sz="4" w:space="0" w:color="auto"/>
            </w:tcBorders>
          </w:tcPr>
          <w:p w14:paraId="7C56FD4E" w14:textId="77777777" w:rsidR="003B4B77" w:rsidRPr="00DD4331" w:rsidRDefault="003B4B77" w:rsidP="00DD4331">
            <w:pPr>
              <w:spacing w:line="480" w:lineRule="auto"/>
              <w:rPr>
                <w:rFonts w:cs="Times New Roman"/>
              </w:rPr>
            </w:pPr>
            <w:r w:rsidRPr="00DD4331">
              <w:rPr>
                <w:rFonts w:cs="Times New Roman"/>
              </w:rPr>
              <w:t xml:space="preserve">30 </w:t>
            </w:r>
            <w:proofErr w:type="spellStart"/>
            <w:r w:rsidRPr="00DD4331">
              <w:rPr>
                <w:rFonts w:cs="Times New Roman"/>
              </w:rPr>
              <w:t>yrs</w:t>
            </w:r>
            <w:proofErr w:type="spellEnd"/>
            <w:r w:rsidRPr="00DD4331">
              <w:rPr>
                <w:rFonts w:cs="Times New Roman"/>
              </w:rPr>
              <w:t xml:space="preserve">, 28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326" w:type="dxa"/>
            <w:tcBorders>
              <w:top w:val="single" w:sz="4" w:space="0" w:color="auto"/>
              <w:bottom w:val="single" w:sz="4" w:space="0" w:color="auto"/>
            </w:tcBorders>
          </w:tcPr>
          <w:p w14:paraId="3040981E" w14:textId="77777777" w:rsidR="003B4B77" w:rsidRPr="00DD4331" w:rsidRDefault="003B4B77" w:rsidP="00DD4331">
            <w:pPr>
              <w:spacing w:line="480" w:lineRule="auto"/>
              <w:rPr>
                <w:rFonts w:cs="Times New Roman"/>
              </w:rPr>
            </w:pPr>
            <w:r w:rsidRPr="00DD4331">
              <w:rPr>
                <w:rFonts w:cs="Times New Roman"/>
              </w:rPr>
              <w:t>Remains TNF</w:t>
            </w:r>
          </w:p>
        </w:tc>
        <w:tc>
          <w:tcPr>
            <w:tcW w:w="1280" w:type="dxa"/>
            <w:tcBorders>
              <w:top w:val="single" w:sz="4" w:space="0" w:color="auto"/>
              <w:bottom w:val="single" w:sz="4" w:space="0" w:color="auto"/>
            </w:tcBorders>
          </w:tcPr>
          <w:p w14:paraId="39187743" w14:textId="77777777" w:rsidR="003B4B77" w:rsidRPr="00DD4331" w:rsidRDefault="003B4B77" w:rsidP="00DD4331">
            <w:pPr>
              <w:spacing w:line="480" w:lineRule="auto"/>
              <w:rPr>
                <w:rFonts w:cs="Times New Roman"/>
              </w:rPr>
            </w:pPr>
            <w:r w:rsidRPr="00DD4331">
              <w:rPr>
                <w:rFonts w:cs="Times New Roman"/>
              </w:rPr>
              <w:t xml:space="preserve">30 </w:t>
            </w:r>
            <w:proofErr w:type="spellStart"/>
            <w:r w:rsidRPr="00DD4331">
              <w:rPr>
                <w:rFonts w:cs="Times New Roman"/>
              </w:rPr>
              <w:t>yrs</w:t>
            </w:r>
            <w:proofErr w:type="spellEnd"/>
            <w:r w:rsidRPr="00DD4331">
              <w:rPr>
                <w:rFonts w:cs="Times New Roman"/>
              </w:rPr>
              <w:t xml:space="preserve">, 11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240" w:type="dxa"/>
            <w:tcBorders>
              <w:top w:val="single" w:sz="4" w:space="0" w:color="auto"/>
              <w:bottom w:val="single" w:sz="4" w:space="0" w:color="auto"/>
            </w:tcBorders>
          </w:tcPr>
          <w:p w14:paraId="7AA4204D" w14:textId="77777777" w:rsidR="003B4B77" w:rsidRPr="00DD4331" w:rsidRDefault="003B4B77" w:rsidP="00DD4331">
            <w:pPr>
              <w:spacing w:line="480" w:lineRule="auto"/>
              <w:rPr>
                <w:rFonts w:cs="Times New Roman"/>
              </w:rPr>
            </w:pPr>
            <w:r w:rsidRPr="00DD4331">
              <w:rPr>
                <w:rFonts w:cs="Times New Roman"/>
              </w:rPr>
              <w:t xml:space="preserve">30 </w:t>
            </w:r>
            <w:proofErr w:type="spellStart"/>
            <w:r w:rsidRPr="00DD4331">
              <w:rPr>
                <w:rFonts w:cs="Times New Roman"/>
              </w:rPr>
              <w:t>yrs</w:t>
            </w:r>
            <w:proofErr w:type="spellEnd"/>
            <w:r w:rsidRPr="00DD4331">
              <w:rPr>
                <w:rFonts w:cs="Times New Roman"/>
              </w:rPr>
              <w:t xml:space="preserve">, 14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620" w:type="dxa"/>
            <w:tcBorders>
              <w:top w:val="single" w:sz="4" w:space="0" w:color="auto"/>
              <w:bottom w:val="single" w:sz="4" w:space="0" w:color="auto"/>
            </w:tcBorders>
          </w:tcPr>
          <w:p w14:paraId="05781772" w14:textId="77777777" w:rsidR="003B4B77" w:rsidRPr="00DD4331" w:rsidRDefault="003B4B77" w:rsidP="00DD4331">
            <w:pPr>
              <w:spacing w:line="480" w:lineRule="auto"/>
              <w:rPr>
                <w:rFonts w:cs="Times New Roman"/>
              </w:rPr>
            </w:pPr>
            <w:r w:rsidRPr="00DD4331">
              <w:rPr>
                <w:rFonts w:cs="Times New Roman"/>
              </w:rPr>
              <w:t xml:space="preserve">53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r w:rsidRPr="00DD4331">
              <w:rPr>
                <w:rFonts w:cs="Times New Roman"/>
              </w:rPr>
              <w:t xml:space="preserve"> + Transition Schedule</w:t>
            </w:r>
          </w:p>
        </w:tc>
      </w:tr>
      <w:tr w:rsidR="003B4B77" w:rsidRPr="00DD4331" w14:paraId="35DD6271" w14:textId="77777777" w:rsidTr="0009211A">
        <w:tc>
          <w:tcPr>
            <w:tcW w:w="1231" w:type="dxa"/>
            <w:tcBorders>
              <w:top w:val="single" w:sz="4" w:space="0" w:color="auto"/>
              <w:bottom w:val="single" w:sz="4" w:space="0" w:color="auto"/>
            </w:tcBorders>
          </w:tcPr>
          <w:p w14:paraId="00235A6A" w14:textId="77777777" w:rsidR="003B4B77" w:rsidRPr="00DD4331" w:rsidRDefault="003B4B77" w:rsidP="00DD4331">
            <w:pPr>
              <w:spacing w:line="480" w:lineRule="auto"/>
              <w:rPr>
                <w:rFonts w:cs="Times New Roman"/>
                <w:i/>
              </w:rPr>
            </w:pPr>
            <w:r w:rsidRPr="00DD4331">
              <w:rPr>
                <w:rFonts w:cs="Times New Roman"/>
                <w:i/>
              </w:rPr>
              <w:t>Continued OG</w:t>
            </w:r>
          </w:p>
        </w:tc>
        <w:tc>
          <w:tcPr>
            <w:tcW w:w="1757" w:type="dxa"/>
            <w:tcBorders>
              <w:top w:val="single" w:sz="4" w:space="0" w:color="auto"/>
              <w:bottom w:val="single" w:sz="4" w:space="0" w:color="auto"/>
            </w:tcBorders>
          </w:tcPr>
          <w:p w14:paraId="67504DAD" w14:textId="77777777" w:rsidR="003B4B77" w:rsidRPr="00DD4331" w:rsidRDefault="003B4B77" w:rsidP="00DD4331">
            <w:pPr>
              <w:spacing w:line="480" w:lineRule="auto"/>
              <w:rPr>
                <w:rFonts w:cs="Times New Roman"/>
              </w:rPr>
            </w:pPr>
            <w:r w:rsidRPr="00DD4331">
              <w:rPr>
                <w:rFonts w:cs="Times New Roman"/>
              </w:rPr>
              <w:t xml:space="preserve">12.6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r w:rsidRPr="00DD4331">
              <w:rPr>
                <w:rFonts w:cs="Times New Roman"/>
              </w:rPr>
              <w:t xml:space="preserve"> </w:t>
            </w:r>
          </w:p>
        </w:tc>
        <w:tc>
          <w:tcPr>
            <w:tcW w:w="1284" w:type="dxa"/>
            <w:tcBorders>
              <w:top w:val="single" w:sz="4" w:space="0" w:color="auto"/>
              <w:bottom w:val="single" w:sz="4" w:space="0" w:color="auto"/>
            </w:tcBorders>
          </w:tcPr>
          <w:p w14:paraId="0EC0D665" w14:textId="77777777" w:rsidR="003B4B77" w:rsidRPr="00DD4331" w:rsidRDefault="003B4B77" w:rsidP="00DD4331">
            <w:pPr>
              <w:spacing w:line="480" w:lineRule="auto"/>
              <w:rPr>
                <w:rFonts w:cs="Times New Roman"/>
              </w:rPr>
            </w:pPr>
            <w:r w:rsidRPr="00DD4331">
              <w:rPr>
                <w:rFonts w:cs="Times New Roman"/>
              </w:rPr>
              <w:t xml:space="preserve">30 </w:t>
            </w:r>
            <w:proofErr w:type="spellStart"/>
            <w:r w:rsidRPr="00DD4331">
              <w:rPr>
                <w:rFonts w:cs="Times New Roman"/>
              </w:rPr>
              <w:t>yrs</w:t>
            </w:r>
            <w:proofErr w:type="spellEnd"/>
            <w:r w:rsidRPr="00DD4331">
              <w:rPr>
                <w:rFonts w:cs="Times New Roman"/>
              </w:rPr>
              <w:t xml:space="preserve">, 28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326" w:type="dxa"/>
            <w:tcBorders>
              <w:top w:val="single" w:sz="4" w:space="0" w:color="auto"/>
              <w:bottom w:val="single" w:sz="4" w:space="0" w:color="auto"/>
            </w:tcBorders>
          </w:tcPr>
          <w:p w14:paraId="16ED9BD0" w14:textId="77777777" w:rsidR="003B4B77" w:rsidRPr="00DD4331" w:rsidRDefault="003B4B77" w:rsidP="00DD4331">
            <w:pPr>
              <w:spacing w:line="480" w:lineRule="auto"/>
              <w:rPr>
                <w:rFonts w:cs="Times New Roman"/>
              </w:rPr>
            </w:pPr>
            <w:r w:rsidRPr="00DD4331">
              <w:rPr>
                <w:rFonts w:cs="Times New Roman"/>
              </w:rPr>
              <w:t xml:space="preserve">30 </w:t>
            </w:r>
            <w:proofErr w:type="spellStart"/>
            <w:r w:rsidRPr="00DD4331">
              <w:rPr>
                <w:rFonts w:cs="Times New Roman"/>
              </w:rPr>
              <w:t>yrs</w:t>
            </w:r>
            <w:proofErr w:type="spellEnd"/>
            <w:r w:rsidRPr="00DD4331">
              <w:rPr>
                <w:rFonts w:cs="Times New Roman"/>
              </w:rPr>
              <w:t xml:space="preserve">, 15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280" w:type="dxa"/>
            <w:tcBorders>
              <w:top w:val="single" w:sz="4" w:space="0" w:color="auto"/>
              <w:bottom w:val="single" w:sz="4" w:space="0" w:color="auto"/>
            </w:tcBorders>
          </w:tcPr>
          <w:p w14:paraId="347F3A1A" w14:textId="77777777" w:rsidR="003B4B77" w:rsidRPr="00DD4331" w:rsidRDefault="003B4B77" w:rsidP="00DD4331">
            <w:pPr>
              <w:spacing w:line="480" w:lineRule="auto"/>
              <w:rPr>
                <w:rFonts w:cs="Times New Roman"/>
              </w:rPr>
            </w:pPr>
            <w:r w:rsidRPr="00DD4331">
              <w:rPr>
                <w:rFonts w:cs="Times New Roman"/>
              </w:rPr>
              <w:t xml:space="preserve">30 </w:t>
            </w:r>
            <w:proofErr w:type="spellStart"/>
            <w:r w:rsidRPr="00DD4331">
              <w:rPr>
                <w:rFonts w:cs="Times New Roman"/>
              </w:rPr>
              <w:t>yrs</w:t>
            </w:r>
            <w:proofErr w:type="spellEnd"/>
            <w:r w:rsidRPr="00DD4331">
              <w:rPr>
                <w:rFonts w:cs="Times New Roman"/>
              </w:rPr>
              <w:t xml:space="preserve">, 11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240" w:type="dxa"/>
            <w:tcBorders>
              <w:top w:val="single" w:sz="4" w:space="0" w:color="auto"/>
              <w:bottom w:val="single" w:sz="4" w:space="0" w:color="auto"/>
            </w:tcBorders>
          </w:tcPr>
          <w:p w14:paraId="0FE4D27D" w14:textId="77777777" w:rsidR="003B4B77" w:rsidRPr="00DD4331" w:rsidRDefault="003B4B77" w:rsidP="00DD4331">
            <w:pPr>
              <w:spacing w:line="480" w:lineRule="auto"/>
              <w:rPr>
                <w:rFonts w:cs="Times New Roman"/>
              </w:rPr>
            </w:pPr>
            <w:r w:rsidRPr="00DD4331">
              <w:rPr>
                <w:rFonts w:cs="Times New Roman"/>
              </w:rPr>
              <w:t xml:space="preserve">30 </w:t>
            </w:r>
            <w:proofErr w:type="spellStart"/>
            <w:r w:rsidRPr="00DD4331">
              <w:rPr>
                <w:rFonts w:cs="Times New Roman"/>
              </w:rPr>
              <w:t>yrs</w:t>
            </w:r>
            <w:proofErr w:type="spellEnd"/>
            <w:r w:rsidRPr="00DD4331">
              <w:rPr>
                <w:rFonts w:cs="Times New Roman"/>
              </w:rPr>
              <w:t xml:space="preserve">, 14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620" w:type="dxa"/>
            <w:tcBorders>
              <w:top w:val="single" w:sz="4" w:space="0" w:color="auto"/>
              <w:bottom w:val="single" w:sz="4" w:space="0" w:color="auto"/>
            </w:tcBorders>
          </w:tcPr>
          <w:p w14:paraId="586BAD1F" w14:textId="77777777" w:rsidR="003B4B77" w:rsidRPr="00DD4331" w:rsidRDefault="003B4B77" w:rsidP="00DD4331">
            <w:pPr>
              <w:spacing w:line="480" w:lineRule="auto"/>
              <w:rPr>
                <w:rFonts w:cs="Times New Roman"/>
              </w:rPr>
            </w:pPr>
            <w:r w:rsidRPr="00DD4331">
              <w:rPr>
                <w:rFonts w:cs="Times New Roman"/>
              </w:rPr>
              <w:t xml:space="preserve">80.6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r>
      <w:tr w:rsidR="003B4B77" w:rsidRPr="00DD4331" w14:paraId="7CFF4D13" w14:textId="77777777" w:rsidTr="0009211A">
        <w:tc>
          <w:tcPr>
            <w:tcW w:w="1231" w:type="dxa"/>
            <w:tcBorders>
              <w:top w:val="single" w:sz="4" w:space="0" w:color="auto"/>
              <w:bottom w:val="single" w:sz="4" w:space="0" w:color="auto"/>
            </w:tcBorders>
          </w:tcPr>
          <w:p w14:paraId="09165D46" w14:textId="77777777" w:rsidR="003B4B77" w:rsidRPr="00DD4331" w:rsidRDefault="003B4B77" w:rsidP="00DD4331">
            <w:pPr>
              <w:spacing w:line="480" w:lineRule="auto"/>
              <w:rPr>
                <w:rFonts w:cs="Times New Roman"/>
                <w:i/>
              </w:rPr>
            </w:pPr>
            <w:r w:rsidRPr="00DD4331">
              <w:rPr>
                <w:rFonts w:cs="Times New Roman"/>
                <w:i/>
              </w:rPr>
              <w:t>Increased OG</w:t>
            </w:r>
          </w:p>
        </w:tc>
        <w:tc>
          <w:tcPr>
            <w:tcW w:w="1757" w:type="dxa"/>
            <w:tcBorders>
              <w:top w:val="single" w:sz="4" w:space="0" w:color="auto"/>
              <w:bottom w:val="single" w:sz="4" w:space="0" w:color="auto"/>
            </w:tcBorders>
          </w:tcPr>
          <w:p w14:paraId="3A050033" w14:textId="77777777" w:rsidR="003B4B77" w:rsidRPr="00DD4331" w:rsidRDefault="003B4B77" w:rsidP="00DD4331">
            <w:pPr>
              <w:spacing w:line="480" w:lineRule="auto"/>
              <w:rPr>
                <w:rFonts w:cs="Times New Roman"/>
              </w:rPr>
            </w:pPr>
            <w:r w:rsidRPr="00DD4331">
              <w:rPr>
                <w:rFonts w:cs="Times New Roman"/>
              </w:rPr>
              <w:t xml:space="preserve">47.6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r w:rsidRPr="00DD4331">
              <w:rPr>
                <w:rFonts w:cs="Times New Roman"/>
              </w:rPr>
              <w:t xml:space="preserve"> </w:t>
            </w:r>
          </w:p>
        </w:tc>
        <w:tc>
          <w:tcPr>
            <w:tcW w:w="1284" w:type="dxa"/>
            <w:tcBorders>
              <w:top w:val="single" w:sz="4" w:space="0" w:color="auto"/>
              <w:bottom w:val="single" w:sz="4" w:space="0" w:color="auto"/>
            </w:tcBorders>
          </w:tcPr>
          <w:p w14:paraId="6CE58016" w14:textId="77777777" w:rsidR="003B4B77" w:rsidRPr="00DD4331" w:rsidRDefault="003B4B77" w:rsidP="00DD4331">
            <w:pPr>
              <w:spacing w:line="480" w:lineRule="auto"/>
              <w:rPr>
                <w:rFonts w:cs="Times New Roman"/>
              </w:rPr>
            </w:pPr>
            <w:r w:rsidRPr="00DD4331">
              <w:rPr>
                <w:rFonts w:cs="Times New Roman"/>
              </w:rPr>
              <w:t xml:space="preserve">15 </w:t>
            </w:r>
            <w:proofErr w:type="spellStart"/>
            <w:r w:rsidRPr="00DD4331">
              <w:rPr>
                <w:rFonts w:cs="Times New Roman"/>
              </w:rPr>
              <w:t>yrs</w:t>
            </w:r>
            <w:proofErr w:type="spellEnd"/>
            <w:r w:rsidRPr="00DD4331">
              <w:rPr>
                <w:rFonts w:cs="Times New Roman"/>
              </w:rPr>
              <w:t xml:space="preserve">, 56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326" w:type="dxa"/>
            <w:tcBorders>
              <w:top w:val="single" w:sz="4" w:space="0" w:color="auto"/>
              <w:bottom w:val="single" w:sz="4" w:space="0" w:color="auto"/>
            </w:tcBorders>
          </w:tcPr>
          <w:p w14:paraId="3B6FCAD9" w14:textId="77777777" w:rsidR="003B4B77" w:rsidRPr="00DD4331" w:rsidRDefault="003B4B77" w:rsidP="00DD4331">
            <w:pPr>
              <w:spacing w:line="480" w:lineRule="auto"/>
              <w:rPr>
                <w:rFonts w:cs="Times New Roman"/>
              </w:rPr>
            </w:pPr>
            <w:r w:rsidRPr="00DD4331">
              <w:rPr>
                <w:rFonts w:cs="Times New Roman"/>
              </w:rPr>
              <w:t xml:space="preserve">15 </w:t>
            </w:r>
            <w:proofErr w:type="spellStart"/>
            <w:r w:rsidRPr="00DD4331">
              <w:rPr>
                <w:rFonts w:cs="Times New Roman"/>
              </w:rPr>
              <w:t>yrs</w:t>
            </w:r>
            <w:proofErr w:type="spellEnd"/>
            <w:r w:rsidRPr="00DD4331">
              <w:rPr>
                <w:rFonts w:cs="Times New Roman"/>
              </w:rPr>
              <w:t xml:space="preserve">, 30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280" w:type="dxa"/>
            <w:tcBorders>
              <w:top w:val="single" w:sz="4" w:space="0" w:color="auto"/>
              <w:bottom w:val="single" w:sz="4" w:space="0" w:color="auto"/>
            </w:tcBorders>
          </w:tcPr>
          <w:p w14:paraId="4AC5AE3D" w14:textId="77777777" w:rsidR="003B4B77" w:rsidRPr="00DD4331" w:rsidRDefault="003B4B77" w:rsidP="00DD4331">
            <w:pPr>
              <w:spacing w:line="480" w:lineRule="auto"/>
              <w:rPr>
                <w:rFonts w:cs="Times New Roman"/>
              </w:rPr>
            </w:pPr>
            <w:r w:rsidRPr="00DD4331">
              <w:rPr>
                <w:rFonts w:cs="Times New Roman"/>
              </w:rPr>
              <w:t xml:space="preserve">15 </w:t>
            </w:r>
            <w:proofErr w:type="spellStart"/>
            <w:r w:rsidRPr="00DD4331">
              <w:rPr>
                <w:rFonts w:cs="Times New Roman"/>
              </w:rPr>
              <w:t>yrs</w:t>
            </w:r>
            <w:proofErr w:type="spellEnd"/>
            <w:r w:rsidRPr="00DD4331">
              <w:rPr>
                <w:rFonts w:cs="Times New Roman"/>
              </w:rPr>
              <w:t xml:space="preserve">, 22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240" w:type="dxa"/>
            <w:tcBorders>
              <w:top w:val="single" w:sz="4" w:space="0" w:color="auto"/>
              <w:bottom w:val="single" w:sz="4" w:space="0" w:color="auto"/>
            </w:tcBorders>
          </w:tcPr>
          <w:p w14:paraId="1CBA37F9" w14:textId="77777777" w:rsidR="003B4B77" w:rsidRPr="00DD4331" w:rsidRDefault="003B4B77" w:rsidP="00DD4331">
            <w:pPr>
              <w:spacing w:line="480" w:lineRule="auto"/>
              <w:rPr>
                <w:rFonts w:cs="Times New Roman"/>
              </w:rPr>
            </w:pPr>
            <w:r w:rsidRPr="00DD4331">
              <w:rPr>
                <w:rFonts w:cs="Times New Roman"/>
              </w:rPr>
              <w:t xml:space="preserve">15 </w:t>
            </w:r>
            <w:proofErr w:type="spellStart"/>
            <w:r w:rsidRPr="00DD4331">
              <w:rPr>
                <w:rFonts w:cs="Times New Roman"/>
              </w:rPr>
              <w:t>yrs</w:t>
            </w:r>
            <w:proofErr w:type="spellEnd"/>
            <w:r w:rsidRPr="00DD4331">
              <w:rPr>
                <w:rFonts w:cs="Times New Roman"/>
              </w:rPr>
              <w:t xml:space="preserve">, 28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620" w:type="dxa"/>
            <w:tcBorders>
              <w:top w:val="single" w:sz="4" w:space="0" w:color="auto"/>
              <w:bottom w:val="single" w:sz="4" w:space="0" w:color="auto"/>
            </w:tcBorders>
          </w:tcPr>
          <w:p w14:paraId="2F020ED2" w14:textId="77777777" w:rsidR="003B4B77" w:rsidRPr="00DD4331" w:rsidRDefault="003B4B77" w:rsidP="00DD4331">
            <w:pPr>
              <w:spacing w:line="480" w:lineRule="auto"/>
              <w:rPr>
                <w:rFonts w:cs="Times New Roman"/>
              </w:rPr>
            </w:pPr>
            <w:r w:rsidRPr="00DD4331">
              <w:rPr>
                <w:rFonts w:cs="Times New Roman"/>
              </w:rPr>
              <w:t xml:space="preserve">183.6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r>
      <w:tr w:rsidR="003B4B77" w:rsidRPr="00DD4331" w14:paraId="5D14CC51" w14:textId="77777777" w:rsidTr="0009211A">
        <w:tc>
          <w:tcPr>
            <w:tcW w:w="1231" w:type="dxa"/>
            <w:tcBorders>
              <w:top w:val="single" w:sz="4" w:space="0" w:color="auto"/>
              <w:bottom w:val="single" w:sz="4" w:space="0" w:color="auto"/>
            </w:tcBorders>
          </w:tcPr>
          <w:p w14:paraId="693CDA58" w14:textId="77777777" w:rsidR="003B4B77" w:rsidRPr="00DD4331" w:rsidRDefault="003B4B77" w:rsidP="00DD4331">
            <w:pPr>
              <w:spacing w:line="480" w:lineRule="auto"/>
              <w:rPr>
                <w:rFonts w:cs="Times New Roman"/>
                <w:i/>
              </w:rPr>
            </w:pPr>
            <w:r w:rsidRPr="00DD4331">
              <w:rPr>
                <w:rFonts w:cs="Times New Roman"/>
                <w:i/>
              </w:rPr>
              <w:t>Maximum OG</w:t>
            </w:r>
          </w:p>
        </w:tc>
        <w:tc>
          <w:tcPr>
            <w:tcW w:w="1757" w:type="dxa"/>
            <w:tcBorders>
              <w:top w:val="single" w:sz="4" w:space="0" w:color="auto"/>
              <w:bottom w:val="single" w:sz="4" w:space="0" w:color="auto"/>
            </w:tcBorders>
          </w:tcPr>
          <w:p w14:paraId="5E915954" w14:textId="77777777" w:rsidR="003B4B77" w:rsidRPr="00DD4331" w:rsidRDefault="003B4B77" w:rsidP="00DD4331">
            <w:pPr>
              <w:spacing w:line="480" w:lineRule="auto"/>
              <w:rPr>
                <w:rFonts w:cs="Times New Roman"/>
              </w:rPr>
            </w:pPr>
            <w:r w:rsidRPr="00DD4331">
              <w:rPr>
                <w:rFonts w:cs="Times New Roman"/>
              </w:rPr>
              <w:t xml:space="preserve">69.2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r w:rsidRPr="00DD4331">
              <w:rPr>
                <w:rFonts w:cs="Times New Roman"/>
              </w:rPr>
              <w:t xml:space="preserve"> </w:t>
            </w:r>
          </w:p>
        </w:tc>
        <w:tc>
          <w:tcPr>
            <w:tcW w:w="1284" w:type="dxa"/>
            <w:tcBorders>
              <w:top w:val="single" w:sz="4" w:space="0" w:color="auto"/>
              <w:bottom w:val="single" w:sz="4" w:space="0" w:color="auto"/>
            </w:tcBorders>
          </w:tcPr>
          <w:p w14:paraId="091CD2EC" w14:textId="77777777" w:rsidR="003B4B77" w:rsidRPr="00DD4331" w:rsidRDefault="003B4B77" w:rsidP="00DD4331">
            <w:pPr>
              <w:spacing w:line="480" w:lineRule="auto"/>
              <w:rPr>
                <w:rFonts w:cs="Times New Roman"/>
              </w:rPr>
            </w:pPr>
            <w:r w:rsidRPr="00DD4331">
              <w:rPr>
                <w:rFonts w:cs="Times New Roman"/>
              </w:rPr>
              <w:t xml:space="preserve">10 </w:t>
            </w:r>
            <w:proofErr w:type="spellStart"/>
            <w:r w:rsidRPr="00DD4331">
              <w:rPr>
                <w:rFonts w:cs="Times New Roman"/>
              </w:rPr>
              <w:t>yrs</w:t>
            </w:r>
            <w:proofErr w:type="spellEnd"/>
            <w:r w:rsidRPr="00DD4331">
              <w:rPr>
                <w:rFonts w:cs="Times New Roman"/>
              </w:rPr>
              <w:t xml:space="preserve">, 84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326" w:type="dxa"/>
            <w:tcBorders>
              <w:top w:val="single" w:sz="4" w:space="0" w:color="auto"/>
              <w:bottom w:val="single" w:sz="4" w:space="0" w:color="auto"/>
            </w:tcBorders>
          </w:tcPr>
          <w:p w14:paraId="31D44E53" w14:textId="77777777" w:rsidR="003B4B77" w:rsidRPr="00DD4331" w:rsidRDefault="003B4B77" w:rsidP="00DD4331">
            <w:pPr>
              <w:spacing w:line="480" w:lineRule="auto"/>
              <w:rPr>
                <w:rFonts w:cs="Times New Roman"/>
              </w:rPr>
            </w:pPr>
            <w:r w:rsidRPr="00DD4331">
              <w:rPr>
                <w:rFonts w:cs="Times New Roman"/>
              </w:rPr>
              <w:t xml:space="preserve">10 </w:t>
            </w:r>
            <w:proofErr w:type="spellStart"/>
            <w:r w:rsidRPr="00DD4331">
              <w:rPr>
                <w:rFonts w:cs="Times New Roman"/>
              </w:rPr>
              <w:t>yrs</w:t>
            </w:r>
            <w:proofErr w:type="spellEnd"/>
            <w:r w:rsidRPr="00DD4331">
              <w:rPr>
                <w:rFonts w:cs="Times New Roman"/>
              </w:rPr>
              <w:t xml:space="preserve">, 45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280" w:type="dxa"/>
            <w:tcBorders>
              <w:top w:val="single" w:sz="4" w:space="0" w:color="auto"/>
              <w:bottom w:val="single" w:sz="4" w:space="0" w:color="auto"/>
            </w:tcBorders>
          </w:tcPr>
          <w:p w14:paraId="38CD8E89" w14:textId="77777777" w:rsidR="003B4B77" w:rsidRPr="00DD4331" w:rsidRDefault="003B4B77" w:rsidP="00DD4331">
            <w:pPr>
              <w:spacing w:line="480" w:lineRule="auto"/>
              <w:rPr>
                <w:rFonts w:cs="Times New Roman"/>
              </w:rPr>
            </w:pPr>
            <w:r w:rsidRPr="00DD4331">
              <w:rPr>
                <w:rFonts w:cs="Times New Roman"/>
              </w:rPr>
              <w:t xml:space="preserve">10 </w:t>
            </w:r>
            <w:proofErr w:type="spellStart"/>
            <w:r w:rsidRPr="00DD4331">
              <w:rPr>
                <w:rFonts w:cs="Times New Roman"/>
              </w:rPr>
              <w:t>yrs</w:t>
            </w:r>
            <w:proofErr w:type="spellEnd"/>
            <w:r w:rsidRPr="00DD4331">
              <w:rPr>
                <w:rFonts w:cs="Times New Roman"/>
              </w:rPr>
              <w:t xml:space="preserve">, 33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240" w:type="dxa"/>
            <w:tcBorders>
              <w:top w:val="single" w:sz="4" w:space="0" w:color="auto"/>
              <w:bottom w:val="single" w:sz="4" w:space="0" w:color="auto"/>
            </w:tcBorders>
          </w:tcPr>
          <w:p w14:paraId="40E1E314" w14:textId="77777777" w:rsidR="003B4B77" w:rsidRPr="00DD4331" w:rsidRDefault="003B4B77" w:rsidP="00DD4331">
            <w:pPr>
              <w:spacing w:line="480" w:lineRule="auto"/>
              <w:rPr>
                <w:rFonts w:cs="Times New Roman"/>
              </w:rPr>
            </w:pPr>
            <w:r w:rsidRPr="00DD4331">
              <w:rPr>
                <w:rFonts w:cs="Times New Roman"/>
              </w:rPr>
              <w:t xml:space="preserve">10 </w:t>
            </w:r>
            <w:proofErr w:type="spellStart"/>
            <w:r w:rsidRPr="00DD4331">
              <w:rPr>
                <w:rFonts w:cs="Times New Roman"/>
              </w:rPr>
              <w:t>yrs</w:t>
            </w:r>
            <w:proofErr w:type="spellEnd"/>
            <w:r w:rsidRPr="00DD4331">
              <w:rPr>
                <w:rFonts w:cs="Times New Roman"/>
              </w:rPr>
              <w:t xml:space="preserve">, 42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c>
          <w:tcPr>
            <w:tcW w:w="1620" w:type="dxa"/>
            <w:tcBorders>
              <w:top w:val="single" w:sz="4" w:space="0" w:color="auto"/>
              <w:bottom w:val="single" w:sz="4" w:space="0" w:color="auto"/>
            </w:tcBorders>
          </w:tcPr>
          <w:p w14:paraId="34D150C8" w14:textId="77777777" w:rsidR="003B4B77" w:rsidRPr="00DD4331" w:rsidRDefault="003B4B77" w:rsidP="00DD4331">
            <w:pPr>
              <w:spacing w:line="480" w:lineRule="auto"/>
              <w:rPr>
                <w:rFonts w:cs="Times New Roman"/>
              </w:rPr>
            </w:pPr>
            <w:r w:rsidRPr="00DD4331">
              <w:rPr>
                <w:rFonts w:cs="Times New Roman"/>
              </w:rPr>
              <w:t xml:space="preserve">273.2 </w:t>
            </w:r>
            <w:proofErr w:type="spellStart"/>
            <w:r w:rsidRPr="00DD4331">
              <w:rPr>
                <w:rFonts w:cs="Times New Roman"/>
              </w:rPr>
              <w:t>mmbf</w:t>
            </w:r>
            <w:proofErr w:type="spellEnd"/>
            <w:r w:rsidRPr="00DD4331">
              <w:rPr>
                <w:rFonts w:cs="Times New Roman"/>
              </w:rPr>
              <w:t>/</w:t>
            </w:r>
            <w:proofErr w:type="spellStart"/>
            <w:r w:rsidRPr="00DD4331">
              <w:rPr>
                <w:rFonts w:cs="Times New Roman"/>
              </w:rPr>
              <w:t>yr</w:t>
            </w:r>
            <w:proofErr w:type="spellEnd"/>
          </w:p>
        </w:tc>
      </w:tr>
    </w:tbl>
    <w:p w14:paraId="01EF1A18" w14:textId="77777777" w:rsidR="003B4B77" w:rsidRPr="00DD4331" w:rsidRDefault="003B4B77" w:rsidP="00DD4331">
      <w:pPr>
        <w:spacing w:line="480" w:lineRule="auto"/>
        <w:rPr>
          <w:rFonts w:ascii="Times New Roman" w:hAnsi="Times New Roman" w:cs="Times New Roman"/>
        </w:rPr>
      </w:pPr>
    </w:p>
    <w:p w14:paraId="4CC8B5F4" w14:textId="77777777" w:rsidR="003B4B77" w:rsidRPr="00DD4331" w:rsidRDefault="003B4B77" w:rsidP="00DD4331">
      <w:pPr>
        <w:spacing w:line="480" w:lineRule="auto"/>
        <w:rPr>
          <w:rFonts w:ascii="Times New Roman" w:hAnsi="Times New Roman" w:cs="Times New Roman"/>
        </w:rPr>
      </w:pPr>
      <w:r w:rsidRPr="00DD4331">
        <w:rPr>
          <w:rFonts w:ascii="Times New Roman" w:hAnsi="Times New Roman" w:cs="Times New Roman"/>
        </w:rPr>
        <w:t xml:space="preserve"> </w:t>
      </w:r>
    </w:p>
    <w:p w14:paraId="4AF92410" w14:textId="77777777" w:rsidR="003B4B77" w:rsidRPr="00DD4331" w:rsidRDefault="003B4B77" w:rsidP="00DD4331">
      <w:pPr>
        <w:spacing w:line="480" w:lineRule="auto"/>
        <w:rPr>
          <w:rFonts w:ascii="Times New Roman" w:hAnsi="Times New Roman" w:cs="Times New Roman"/>
        </w:rPr>
      </w:pPr>
    </w:p>
    <w:sectPr w:rsidR="003B4B77" w:rsidRPr="00DD4331" w:rsidSect="000D6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F9B"/>
    <w:multiLevelType w:val="hybridMultilevel"/>
    <w:tmpl w:val="1AA23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C3273"/>
    <w:multiLevelType w:val="hybridMultilevel"/>
    <w:tmpl w:val="52248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E37F7"/>
    <w:multiLevelType w:val="hybridMultilevel"/>
    <w:tmpl w:val="9CB68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32116"/>
    <w:multiLevelType w:val="hybridMultilevel"/>
    <w:tmpl w:val="FA4CB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8072B"/>
    <w:multiLevelType w:val="hybridMultilevel"/>
    <w:tmpl w:val="36641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7A5D27"/>
    <w:multiLevelType w:val="hybridMultilevel"/>
    <w:tmpl w:val="EF50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8B3AE3"/>
    <w:multiLevelType w:val="hybridMultilevel"/>
    <w:tmpl w:val="C6044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B50D8F"/>
    <w:multiLevelType w:val="hybridMultilevel"/>
    <w:tmpl w:val="B3428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532FC4"/>
    <w:multiLevelType w:val="hybridMultilevel"/>
    <w:tmpl w:val="5F92E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B63DD"/>
    <w:multiLevelType w:val="hybridMultilevel"/>
    <w:tmpl w:val="5AFE3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44CCB"/>
    <w:multiLevelType w:val="hybridMultilevel"/>
    <w:tmpl w:val="9A309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9561FB"/>
    <w:multiLevelType w:val="hybridMultilevel"/>
    <w:tmpl w:val="2646B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D18B7"/>
    <w:multiLevelType w:val="hybridMultilevel"/>
    <w:tmpl w:val="AB383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3E5F31"/>
    <w:multiLevelType w:val="hybridMultilevel"/>
    <w:tmpl w:val="55FA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7C314F"/>
    <w:multiLevelType w:val="hybridMultilevel"/>
    <w:tmpl w:val="E55CA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D578BC"/>
    <w:multiLevelType w:val="hybridMultilevel"/>
    <w:tmpl w:val="1CBC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1E33B5"/>
    <w:multiLevelType w:val="hybridMultilevel"/>
    <w:tmpl w:val="E9D8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57219E"/>
    <w:multiLevelType w:val="hybridMultilevel"/>
    <w:tmpl w:val="B3E2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5"/>
  </w:num>
  <w:num w:numId="4">
    <w:abstractNumId w:val="8"/>
  </w:num>
  <w:num w:numId="5">
    <w:abstractNumId w:val="1"/>
  </w:num>
  <w:num w:numId="6">
    <w:abstractNumId w:val="3"/>
  </w:num>
  <w:num w:numId="7">
    <w:abstractNumId w:val="15"/>
  </w:num>
  <w:num w:numId="8">
    <w:abstractNumId w:val="7"/>
  </w:num>
  <w:num w:numId="9">
    <w:abstractNumId w:val="16"/>
  </w:num>
  <w:num w:numId="10">
    <w:abstractNumId w:val="0"/>
  </w:num>
  <w:num w:numId="11">
    <w:abstractNumId w:val="14"/>
  </w:num>
  <w:num w:numId="12">
    <w:abstractNumId w:val="4"/>
  </w:num>
  <w:num w:numId="13">
    <w:abstractNumId w:val="10"/>
  </w:num>
  <w:num w:numId="14">
    <w:abstractNumId w:val="6"/>
  </w:num>
  <w:num w:numId="15">
    <w:abstractNumId w:val="2"/>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77"/>
    <w:rsid w:val="0009211A"/>
    <w:rsid w:val="000D655B"/>
    <w:rsid w:val="003B4B77"/>
    <w:rsid w:val="004764C7"/>
    <w:rsid w:val="004D3322"/>
    <w:rsid w:val="009B7245"/>
    <w:rsid w:val="00DD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E0491"/>
  <w14:defaultImageDpi w14:val="300"/>
  <w15:docId w15:val="{736CC02C-7D3F-C34F-8E4F-3FCAFFF7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3322"/>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B4B7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2243</Words>
  <Characters>12786</Characters>
  <Application>Microsoft Office Word</Application>
  <DocSecurity>0</DocSecurity>
  <Lines>106</Lines>
  <Paragraphs>29</Paragraphs>
  <ScaleCrop>false</ScaleCrop>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Gilbert</dc:creator>
  <cp:keywords/>
  <dc:description/>
  <cp:lastModifiedBy>Gilbert, Sophie (sophiegilbert@uidaho.edu)</cp:lastModifiedBy>
  <cp:revision>2</cp:revision>
  <dcterms:created xsi:type="dcterms:W3CDTF">2021-09-16T18:31:00Z</dcterms:created>
  <dcterms:modified xsi:type="dcterms:W3CDTF">2021-09-16T18:31:00Z</dcterms:modified>
</cp:coreProperties>
</file>