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pplementaryMaterial"/>
        <w:spacing w:before="240" w:after="120"/>
        <w:rPr>
          <w:b w:val="false"/>
          <w:b w:val="false"/>
        </w:rPr>
      </w:pPr>
      <w:bookmarkStart w:id="0" w:name="_GoBack"/>
      <w:bookmarkEnd w:id="0"/>
      <w:r>
        <w:rPr/>
        <w:t>Supplementary Material</w:t>
      </w:r>
    </w:p>
    <w:p>
      <w:pPr>
        <w:pStyle w:val="Berschrift1"/>
        <w:numPr>
          <w:ilvl w:val="0"/>
          <w:numId w:val="2"/>
        </w:numPr>
        <w:rPr/>
      </w:pPr>
      <w:r>
        <w:rPr/>
        <w:t>Supplementary Data</w:t>
      </w:r>
    </w:p>
    <w:p>
      <w:pPr>
        <w:pStyle w:val="Normal"/>
        <w:jc w:val="both"/>
        <w:rPr>
          <w:rFonts w:cs="Times New Roman"/>
          <w:szCs w:val="24"/>
        </w:rPr>
      </w:pPr>
      <w:r>
        <w:rPr/>
      </w:r>
    </w:p>
    <w:p>
      <w:pPr>
        <w:pStyle w:val="Berschrift1"/>
        <w:numPr>
          <w:ilvl w:val="0"/>
          <w:numId w:val="2"/>
        </w:numPr>
        <w:rPr/>
      </w:pPr>
      <w:r>
        <w:rPr/>
        <w:t>Supplementary Figures and Tables</w:t>
      </w:r>
    </w:p>
    <w:p>
      <w:pPr>
        <w:pStyle w:val="LOnormal"/>
        <w:spacing w:lineRule="auto" w:line="240" w:before="0" w:after="0"/>
        <w:rPr/>
      </w:pPr>
      <w:r>
        <w:rPr>
          <w:color w:val="FF6600"/>
        </w:rPr>
        <w:t>Table S1</w:t>
      </w:r>
      <w:r>
        <w:rPr/>
        <w:t xml:space="preserve"> Selected chronostratigraphic data from permafrost deposits discontinuously spanning Marine Isotope Stages (MIS) 7 to MIS 1 that are exposed at the south coast of Bol’shoy Lyakhovsky Island in our GPR survey area (Figure 1). Radiocarbon (</w:t>
      </w:r>
      <w:r>
        <w:rPr>
          <w:vertAlign w:val="superscript"/>
        </w:rPr>
        <w:t>14</w:t>
      </w:r>
      <w:r>
        <w:rPr/>
        <w:t xml:space="preserve">C) ages are reported as uncalibrated ages as thousand years (ka) before present. IRSL stands for infrared-stimulated luminescence dating and </w:t>
      </w:r>
      <w:r>
        <w:rPr>
          <w:vertAlign w:val="superscript"/>
        </w:rPr>
        <w:t>230</w:t>
      </w:r>
      <w:r>
        <w:rPr/>
        <w:t>Th/U for radioisotope disequilibria dating.</w:t>
      </w:r>
    </w:p>
    <w:p>
      <w:pPr>
        <w:pStyle w:val="LOnormal"/>
        <w:spacing w:lineRule="auto" w:line="240" w:before="0" w:after="0"/>
        <w:rPr/>
      </w:pPr>
      <w:r>
        <w:rPr/>
      </w:r>
    </w:p>
    <w:tbl>
      <w:tblPr>
        <w:tblStyle w:val="Table2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861"/>
        <w:gridCol w:w="1413"/>
        <w:gridCol w:w="2355"/>
        <w:gridCol w:w="2999"/>
      </w:tblGrid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[ka]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Profile ID</w:t>
            </w:r>
          </w:p>
        </w:tc>
      </w:tr>
      <w:tr>
        <w:trPr/>
        <w:tc>
          <w:tcPr>
            <w:tcW w:w="66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spacing w:lineRule="auto" w:line="240" w:before="0" w:after="0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Holocene cover – MIS 1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(modern)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14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Zimmermann et al.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color w:val="366091"/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L14-02</w:t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9.6 ± 0.2 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 xml:space="preserve">Wetterich et al.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366091"/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L7-18</w:t>
            </w:r>
          </w:p>
        </w:tc>
      </w:tr>
      <w:tr>
        <w:trPr/>
        <w:tc>
          <w:tcPr>
            <w:tcW w:w="66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spacing w:lineRule="auto" w:line="240" w:before="0" w:after="0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Molotkov-Yedoma Ice Complex – MIS 3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 ± 0.7 to 53.8 ± 4.8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14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 xml:space="preserve">Wetterich et al.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366091"/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L7-18</w:t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 ± 0.3 to 63.7 ± 7.1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14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Zimmermann et al.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color w:val="366091"/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L14-02</w:t>
            </w:r>
          </w:p>
        </w:tc>
      </w:tr>
      <w:tr>
        <w:trPr/>
        <w:tc>
          <w:tcPr>
            <w:tcW w:w="66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Zyryan stratum – MIS 5-4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± 10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IRSL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Andreev et al.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366091"/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R18+50-B11</w:t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± 14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IRSL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Andreev et al.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366091"/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R9+85, 880 cm</w:t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± 12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IRSL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Andreev et al.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366091"/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R9+85, 1020 cm</w:t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± 14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IRSL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Andreev et al.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366091"/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R17, 750 cm</w:t>
            </w:r>
          </w:p>
        </w:tc>
      </w:tr>
      <w:tr>
        <w:trPr/>
        <w:tc>
          <w:tcPr>
            <w:tcW w:w="66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Zimov’e stratum – MIS 6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± 22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IRSL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Andreev et al.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366091"/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R17, 500 cm</w:t>
            </w:r>
          </w:p>
        </w:tc>
      </w:tr>
      <w:tr>
        <w:trPr/>
        <w:tc>
          <w:tcPr>
            <w:tcW w:w="66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Yukagir Ice Complex – MIS 7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808080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189-179 (Biwa I event) 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paleomagnetic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Andreev et al.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366091"/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R17+30, R17+85, R8+50</w:t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178 ± 14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230</w:t>
            </w:r>
            <w:r>
              <w:rPr>
                <w:sz w:val="20"/>
                <w:szCs w:val="20"/>
              </w:rPr>
              <w:t>Th/U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Wetterich et al.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color w:val="366091"/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L14-10, L14-11 (L/L model)</w:t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221 ± 27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230</w:t>
            </w:r>
            <w:r>
              <w:rPr>
                <w:sz w:val="20"/>
                <w:szCs w:val="20"/>
              </w:rPr>
              <w:t>Th/U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Wetterich et al.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color w:val="366091"/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L14-10, L14-11 (TSD model)</w:t>
            </w:r>
          </w:p>
        </w:tc>
      </w:tr>
      <w:tr>
        <w:trPr/>
        <w:tc>
          <w:tcPr>
            <w:tcW w:w="2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± 3</w:t>
            </w:r>
          </w:p>
        </w:tc>
        <w:tc>
          <w:tcPr>
            <w:tcW w:w="1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230</w:t>
            </w:r>
            <w:r>
              <w:rPr>
                <w:sz w:val="20"/>
                <w:szCs w:val="20"/>
              </w:rPr>
              <w:t>Th/U</w:t>
            </w:r>
          </w:p>
        </w:tc>
        <w:tc>
          <w:tcPr>
            <w:tcW w:w="2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Schirrmeister et al.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color w:val="366091"/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LO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R8+50</w:t>
            </w:r>
          </w:p>
        </w:tc>
      </w:tr>
    </w:tbl>
    <w:p>
      <w:pPr>
        <w:pStyle w:val="LOnormal"/>
        <w:spacing w:lineRule="auto" w:line="360" w:before="0" w:after="0"/>
        <w:rPr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2240" w:h="15840"/>
      <w:pgMar w:left="1282" w:right="1181" w:header="720" w:top="1138" w:footer="720" w:bottom="113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240"/>
      <w:rPr>
        <w:color w:val="C00000"/>
        <w:szCs w:val="24"/>
      </w:rPr>
    </w:pPr>
    <w:r>
      <w:rPr>
        <w:color w:val="C00000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3" wp14:anchorId="382EAD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09395" cy="433705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4330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0" w:after="240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Cs w:val="40"/>
                              <w:color w:val="000000"/>
                            </w:rPr>
                            <w:instrText> PAGE \* ARABIC </w:instrText>
                          </w:r>
                          <w:r>
                            <w:rPr>
                              <w:szCs w:val="4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Cs w:val="40"/>
                              <w:color w:val="000000"/>
                            </w:rPr>
                            <w:t>2</w:t>
                          </w:r>
                          <w:r>
                            <w:rPr>
                              <w:szCs w:val="4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70pt;margin-top:0pt;width:118.75pt;height:34.05pt;mso-position-horizontal:right;mso-position-horizontal-relative:margin;mso-position-vertical:top" wp14:anchorId="382EAD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ahmeninhalt"/>
                      <w:spacing w:before="120" w:after="240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szCs w:val="40"/>
                        <w:color w:val="000000"/>
                      </w:rPr>
                      <w:instrText> PAGE \* ARABIC </w:instrText>
                    </w:r>
                    <w:r>
                      <w:rPr>
                        <w:szCs w:val="40"/>
                        <w:color w:val="000000"/>
                      </w:rPr>
                      <w:fldChar w:fldCharType="separate"/>
                    </w:r>
                    <w:r>
                      <w:rPr>
                        <w:szCs w:val="40"/>
                        <w:color w:val="000000"/>
                      </w:rPr>
                      <w:t>2</w:t>
                    </w:r>
                    <w:r>
                      <w:rPr>
                        <w:szCs w:val="40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240"/>
      <w:rPr>
        <w:b/>
        <w:b/>
        <w:sz w:val="20"/>
        <w:szCs w:val="24"/>
      </w:rPr>
    </w:pPr>
    <w:r>
      <w:rPr>
        <w:b/>
        <w:sz w:val="20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2" wp14:anchorId="70F9F55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09395" cy="433705"/>
              <wp:effectExtent l="0" t="0" r="0" b="0"/>
              <wp:wrapNone/>
              <wp:docPr id="4" name="Text Box 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4330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0" w:after="240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Cs w:val="40"/>
                              <w:color w:val="000000"/>
                            </w:rPr>
                            <w:instrText> PAGE \* ARABIC </w:instrText>
                          </w:r>
                          <w:r>
                            <w:rPr>
                              <w:szCs w:val="4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Cs w:val="40"/>
                              <w:color w:val="000000"/>
                            </w:rPr>
                            <w:t>3</w:t>
                          </w:r>
                          <w:r>
                            <w:rPr>
                              <w:szCs w:val="4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6" stroked="f" style="position:absolute;margin-left:370pt;margin-top:0pt;width:118.75pt;height:34.05pt;mso-position-horizontal:right;mso-position-horizontal-relative:margin;mso-position-vertical:top" wp14:anchorId="70F9F55F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ahmeninhalt"/>
                      <w:spacing w:before="120" w:after="240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szCs w:val="40"/>
                        <w:color w:val="000000"/>
                      </w:rPr>
                      <w:instrText> PAGE \* ARABIC </w:instrText>
                    </w:r>
                    <w:r>
                      <w:rPr>
                        <w:szCs w:val="40"/>
                        <w:color w:val="000000"/>
                      </w:rPr>
                      <w:fldChar w:fldCharType="separate"/>
                    </w:r>
                    <w:r>
                      <w:rPr>
                        <w:szCs w:val="40"/>
                        <w:color w:val="000000"/>
                      </w:rPr>
                      <w:t>3</w:t>
                    </w:r>
                    <w:r>
                      <w:rPr>
                        <w:szCs w:val="40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240"/>
      <w:rPr>
        <w:rFonts w:cs="Times New Roman"/>
      </w:rPr>
    </w:pPr>
    <w:r>
      <w:rPr>
        <w:rFonts w:cs="Times New Roman"/>
      </w:rPr>
      <w:tab/>
      <w:tab/>
      <w:t>Supplementary Material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120" w:after="24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40" w:before="120" w:after="240"/>
      <w:jc w:val="left"/>
      <w:rPr/>
    </w:pPr>
    <w:r>
      <w:rPr/>
      <w:drawing>
        <wp:inline distT="0" distB="0" distL="0" distR="0">
          <wp:extent cx="1382395" cy="497205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pStyle w:val="Berschrift2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pStyle w:val="Berschrift3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pStyle w:val="Berschrift4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pStyle w:val="Berschrift5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6715"/>
    <w:pPr>
      <w:widowControl/>
      <w:bidi w:val="0"/>
      <w:spacing w:lineRule="auto" w:line="240" w:before="120" w:after="24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Berschrift1">
    <w:name w:val="Heading 1"/>
    <w:basedOn w:val="ListParagraph"/>
    <w:next w:val="Normal"/>
    <w:link w:val="Heading1Char"/>
    <w:uiPriority w:val="2"/>
    <w:qFormat/>
    <w:rsid w:val="00ab6715"/>
    <w:pPr>
      <w:numPr>
        <w:ilvl w:val="0"/>
        <w:numId w:val="1"/>
      </w:numPr>
      <w:spacing w:before="240" w:after="120"/>
      <w:outlineLvl w:val="0"/>
    </w:pPr>
    <w:rPr>
      <w:b/>
    </w:rPr>
  </w:style>
  <w:style w:type="paragraph" w:styleId="Berschrift2">
    <w:name w:val="Heading 2"/>
    <w:basedOn w:val="Berschrift1"/>
    <w:next w:val="Normal"/>
    <w:link w:val="Heading2Char"/>
    <w:uiPriority w:val="2"/>
    <w:qFormat/>
    <w:rsid w:val="00ab6715"/>
    <w:pPr>
      <w:numPr>
        <w:ilvl w:val="1"/>
        <w:numId w:val="1"/>
      </w:numPr>
      <w:spacing w:before="240" w:after="200"/>
      <w:outlineLvl w:val="1"/>
    </w:pPr>
    <w:rPr/>
  </w:style>
  <w:style w:type="paragraph" w:styleId="Berschrift3">
    <w:name w:val="Heading 3"/>
    <w:basedOn w:val="Normal"/>
    <w:next w:val="Normal"/>
    <w:link w:val="Heading3Char"/>
    <w:uiPriority w:val="2"/>
    <w:qFormat/>
    <w:rsid w:val="00ab6715"/>
    <w:pPr>
      <w:keepNext w:val="true"/>
      <w:keepLines/>
      <w:numPr>
        <w:ilvl w:val="2"/>
        <w:numId w:val="1"/>
      </w:numPr>
      <w:spacing w:before="40" w:after="120"/>
      <w:outlineLvl w:val="2"/>
    </w:pPr>
    <w:rPr>
      <w:rFonts w:eastAsia="" w:cs="" w:cstheme="majorBidi" w:eastAsiaTheme="majorEastAsia"/>
      <w:b/>
      <w:szCs w:val="24"/>
    </w:rPr>
  </w:style>
  <w:style w:type="paragraph" w:styleId="Berschrift4">
    <w:name w:val="Heading 4"/>
    <w:basedOn w:val="Berschrift3"/>
    <w:next w:val="Normal"/>
    <w:link w:val="Heading4Char"/>
    <w:uiPriority w:val="2"/>
    <w:qFormat/>
    <w:rsid w:val="00ab6715"/>
    <w:pPr>
      <w:numPr>
        <w:ilvl w:val="3"/>
        <w:numId w:val="1"/>
      </w:numPr>
      <w:outlineLvl w:val="3"/>
    </w:pPr>
    <w:rPr>
      <w:iCs/>
    </w:rPr>
  </w:style>
  <w:style w:type="paragraph" w:styleId="Berschrift5">
    <w:name w:val="Heading 5"/>
    <w:basedOn w:val="Berschrift4"/>
    <w:next w:val="Normal"/>
    <w:link w:val="Heading5Char"/>
    <w:uiPriority w:val="2"/>
    <w:qFormat/>
    <w:rsid w:val="00ab6715"/>
    <w:pPr>
      <w:numPr>
        <w:ilvl w:val="4"/>
        <w:numId w:val="1"/>
      </w:numPr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qFormat/>
    <w:rsid w:val="00ab6715"/>
    <w:rPr>
      <w:rFonts w:ascii="Times New Roman" w:hAnsi="Times New Roman" w:cs="Times New Roman"/>
      <w:b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671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b6715"/>
    <w:rPr>
      <w:rFonts w:ascii="Times New Roman" w:hAnsi="Times New Roman"/>
      <w:b/>
      <w:bCs/>
      <w:sz w:val="20"/>
      <w:szCs w:val="20"/>
    </w:rPr>
  </w:style>
  <w:style w:type="character" w:styleId="Betont">
    <w:name w:val="Betont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6715"/>
    <w:rPr>
      <w:rFonts w:ascii="Times New Roman" w:hAnsi="Times New Roman"/>
      <w:sz w:val="24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b6715"/>
    <w:rPr>
      <w:rFonts w:ascii="Times New Roman" w:hAnsi="Times New Roman"/>
      <w:b/>
      <w:sz w:val="24"/>
    </w:rPr>
  </w:style>
  <w:style w:type="character" w:styleId="Internetverknpfung">
    <w:name w:val="Internetverknüpfung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qFormat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ab6715"/>
    <w:rPr/>
  </w:style>
  <w:style w:type="character" w:styleId="Heading3Char" w:customStyle="1">
    <w:name w:val="Heading 3 Char"/>
    <w:basedOn w:val="DefaultParagraphFont"/>
    <w:link w:val="Heading3"/>
    <w:uiPriority w:val="2"/>
    <w:qFormat/>
    <w:rsid w:val="00ab6715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qFormat/>
    <w:rsid w:val="00ab6715"/>
    <w:rPr>
      <w:rFonts w:ascii="Times New Roman" w:hAnsi="Times New Roman" w:eastAsia="" w:cs="" w:cstheme="majorBidi" w:eastAsiaTheme="majorEastAsia"/>
      <w:b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2"/>
    <w:qFormat/>
    <w:rsid w:val="00ab6715"/>
    <w:rPr>
      <w:rFonts w:ascii="Times New Roman" w:hAnsi="Times New Roman" w:eastAsia="" w:cs="" w:cstheme="majorBidi" w:eastAsiaTheme="majorEastAsia"/>
      <w:b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qFormat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character" w:styleId="TitleChar" w:customStyle="1">
    <w:name w:val="Title Char"/>
    <w:basedOn w:val="DefaultParagraphFont"/>
    <w:link w:val="Title"/>
    <w:qFormat/>
    <w:rsid w:val="00ab6715"/>
    <w:rPr>
      <w:rFonts w:ascii="Times New Roman" w:hAnsi="Times New Roman" w:cs="Times New Roman"/>
      <w:b/>
      <w:sz w:val="32"/>
      <w:szCs w:val="3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Untertitel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cs="Times New Roman"/>
      <w:b/>
      <w:szCs w:val="24"/>
    </w:rPr>
  </w:style>
  <w:style w:type="paragraph" w:styleId="AuthorList" w:customStyle="1">
    <w:name w:val="Author List"/>
    <w:basedOn w:val="Untertitel"/>
    <w:next w:val="Normal"/>
    <w:uiPriority w:val="1"/>
    <w:qFormat/>
    <w:rsid w:val="00ab6715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6715"/>
    <w:pPr>
      <w:spacing w:before="12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 w:val="true"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b67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b6715"/>
    <w:pPr/>
    <w:rPr>
      <w:b/>
      <w:bCs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link w:val="FooterChar"/>
    <w:uiPriority w:val="99"/>
    <w:unhideWhenUsed/>
    <w:rsid w:val="00ab6715"/>
    <w:pPr>
      <w:tabs>
        <w:tab w:val="clear" w:pos="720"/>
        <w:tab w:val="center" w:pos="4844" w:leader="none"/>
        <w:tab w:val="right" w:pos="9689" w:leader="none"/>
      </w:tabs>
      <w:spacing w:before="120" w:after="0"/>
    </w:pPr>
    <w:rPr/>
  </w:style>
  <w:style w:type="paragraph" w:styleId="Funote">
    <w:name w:val="Footnote Text"/>
    <w:basedOn w:val="Normal"/>
    <w:link w:val="Foot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Kopfzeile">
    <w:name w:val="Header"/>
    <w:basedOn w:val="Normal"/>
    <w:link w:val="HeaderChar"/>
    <w:uiPriority w:val="99"/>
    <w:unhideWhenUsed/>
    <w:rsid w:val="00ab6715"/>
    <w:pPr>
      <w:tabs>
        <w:tab w:val="clear" w:pos="720"/>
        <w:tab w:val="center" w:pos="4844" w:leader="none"/>
        <w:tab w:val="right" w:pos="9689" w:leader="none"/>
      </w:tabs>
    </w:pPr>
    <w:rPr>
      <w:b/>
    </w:rPr>
  </w:style>
  <w:style w:type="paragraph" w:styleId="ListParagraph">
    <w:name w:val="List Paragraph"/>
    <w:basedOn w:val="Normal"/>
    <w:uiPriority w:val="3"/>
    <w:qFormat/>
    <w:rsid w:val="00ab6715"/>
    <w:pPr>
      <w:spacing w:before="120" w:after="240"/>
      <w:contextualSpacing/>
    </w:pPr>
    <w:rPr>
      <w:rFonts w:eastAsia="Cambria" w:cs="Times New Roman"/>
      <w:szCs w:val="24"/>
    </w:rPr>
  </w:style>
  <w:style w:type="paragraph" w:styleId="NormalWeb">
    <w:name w:val="Normal (Web)"/>
    <w:basedOn w:val="Normal"/>
    <w:uiPriority w:val="99"/>
    <w:unhideWhenUsed/>
    <w:qFormat/>
    <w:rsid w:val="00ab6715"/>
    <w:pPr>
      <w:spacing w:beforeAutospacing="1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Titel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SupplementaryMaterial" w:customStyle="1">
    <w:name w:val="Supplementary Material"/>
    <w:basedOn w:val="Titel"/>
    <w:next w:val="Titel"/>
    <w:qFormat/>
    <w:rsid w:val="0001436a"/>
    <w:pPr>
      <w:spacing w:before="240" w:after="120"/>
    </w:pPr>
    <w:rPr>
      <w:i/>
    </w:rPr>
  </w:style>
  <w:style w:type="paragraph" w:styleId="Rahmeninhalt">
    <w:name w:val="Rahmeninhalt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lineRule="auto" w:line="240" w:before="120" w:after="24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Headings" w:customStyle="1">
    <w:name w:val="Headings"/>
    <w:uiPriority w:val="99"/>
    <w:qFormat/>
    <w:rsid w:val="00ab67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Application>LibreOffice/6.4.7.2$Linux_X86_64 LibreOffice_project/40$Build-2</Application>
  <Pages>1</Pages>
  <Words>245</Words>
  <Characters>1183</Characters>
  <CharactersWithSpaces>1369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dc:description/>
  <dc:language>de-DE</dc:language>
  <cp:lastModifiedBy/>
  <cp:lastPrinted>2013-10-03T12:51:00Z</cp:lastPrinted>
  <dcterms:modified xsi:type="dcterms:W3CDTF">2022-01-19T09:59:56Z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