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4" w:rsidRPr="003A0CB4" w:rsidRDefault="003A0CB4" w:rsidP="003A0CB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  <w:r w:rsidRPr="003A0CB4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>The Trend of 10-year Cardiovascular Risk among diabetic and non-diabetic participants in Tehran Lipid and Glucose Study: 1999-2018</w:t>
      </w:r>
    </w:p>
    <w:p w:rsidR="003A0CB4" w:rsidRPr="003A0CB4" w:rsidRDefault="003A0CB4" w:rsidP="003A0C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Fatemeh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Koohi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A0CB4">
        <w:rPr>
          <w:rFonts w:ascii="Times New Roman" w:eastAsia="Calibri" w:hAnsi="Times New Roman" w:cs="Times New Roman"/>
          <w:sz w:val="28"/>
          <w:szCs w:val="28"/>
        </w:rPr>
        <w:t>, Karim Kohansal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Marzieh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Saei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Ghare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Naz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Somayeh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Derakhshan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3A0CB4">
        <w:rPr>
          <w:rFonts w:ascii="Times New Roman" w:eastAsia="Calibri" w:hAnsi="Times New Roman" w:cs="Times New Roman"/>
          <w:sz w:val="28"/>
          <w:szCs w:val="28"/>
        </w:rPr>
        <w:t>,</w:t>
      </w:r>
      <w:r w:rsidRPr="003A0CB4">
        <w:rPr>
          <w:rFonts w:ascii="Calibri" w:eastAsia="Calibri" w:hAnsi="Calibri" w:cs="Arial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Fereidoun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Azizi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0CB4">
        <w:rPr>
          <w:rFonts w:ascii="Times New Roman" w:eastAsia="Calibri" w:hAnsi="Times New Roman" w:cs="Times New Roman"/>
          <w:sz w:val="28"/>
          <w:szCs w:val="28"/>
        </w:rPr>
        <w:t>Davood</w:t>
      </w:r>
      <w:proofErr w:type="spellEnd"/>
      <w:r w:rsidRPr="003A0CB4">
        <w:rPr>
          <w:rFonts w:ascii="Times New Roman" w:eastAsia="Calibri" w:hAnsi="Times New Roman" w:cs="Times New Roman"/>
          <w:sz w:val="28"/>
          <w:szCs w:val="28"/>
        </w:rPr>
        <w:t xml:space="preserve"> Khalili</w:t>
      </w:r>
      <w:r w:rsidRPr="003A0CB4">
        <w:rPr>
          <w:rFonts w:ascii="Times New Roman" w:eastAsia="Calibri" w:hAnsi="Times New Roman" w:cs="Times New Roman"/>
          <w:sz w:val="28"/>
          <w:szCs w:val="28"/>
          <w:vertAlign w:val="superscript"/>
        </w:rPr>
        <w:t>2*</w:t>
      </w:r>
    </w:p>
    <w:p w:rsidR="003A0CB4" w:rsidRPr="003A0CB4" w:rsidRDefault="003A0CB4" w:rsidP="003A0CB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Obesity Research Center, Research Institute for Endocrine Sciences,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Prevention of Metabolic Disorders Research Center, Research Institute for Endocrine Sciences,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Reproductive Endocrinology Research Center, Research Institute for Endocrine Sciences,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Department of Epidemiology, School of Public Health and Safety,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Endocrine Research Center, Research Institute for Endocrine Sciences,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CB4" w:rsidRPr="003A0CB4" w:rsidRDefault="003A0CB4" w:rsidP="003A0CB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CB4">
        <w:rPr>
          <w:rFonts w:ascii="Times New Roman" w:eastAsia="Calibri" w:hAnsi="Times New Roman" w:cs="Times New Roman"/>
          <w:b/>
          <w:bCs/>
          <w:sz w:val="24"/>
          <w:szCs w:val="24"/>
        </w:rPr>
        <w:t>*Corresponding address:</w:t>
      </w:r>
    </w:p>
    <w:p w:rsidR="003A0CB4" w:rsidRPr="003A0CB4" w:rsidRDefault="003A0CB4" w:rsidP="003A0CB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Davood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Khalili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>, MD</w:t>
      </w:r>
      <w:r w:rsidRPr="003A0CB4">
        <w:rPr>
          <w:rFonts w:ascii="Calibri" w:eastAsia="Calibri" w:hAnsi="Calibri" w:cs="Arial"/>
          <w:sz w:val="20"/>
          <w:szCs w:val="20"/>
        </w:rPr>
        <w:t xml:space="preserve"> </w:t>
      </w: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MPH PhD </w:t>
      </w:r>
    </w:p>
    <w:p w:rsidR="003A0CB4" w:rsidRPr="003A0CB4" w:rsidRDefault="003A0CB4" w:rsidP="003A0CB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Prevention of Metabolic Disorders Research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Center</w:t>
      </w:r>
      <w:proofErr w:type="gramStart"/>
      <w:r w:rsidRPr="003A0CB4">
        <w:rPr>
          <w:rFonts w:ascii="Times New Roman" w:eastAsia="Calibri" w:hAnsi="Times New Roman" w:cs="Times New Roman"/>
          <w:sz w:val="24"/>
          <w:szCs w:val="24"/>
        </w:rPr>
        <w:t>,Research</w:t>
      </w:r>
      <w:proofErr w:type="spellEnd"/>
      <w:proofErr w:type="gram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Institute for Endocrine Sciences,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CB4">
        <w:rPr>
          <w:rFonts w:ascii="Times New Roman" w:eastAsia="Calibri" w:hAnsi="Times New Roman" w:cs="Times New Roman"/>
          <w:sz w:val="24"/>
          <w:szCs w:val="24"/>
        </w:rPr>
        <w:t>Beheshti</w:t>
      </w:r>
      <w:proofErr w:type="spellEnd"/>
      <w:r w:rsidRPr="003A0CB4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Tehran, Iran.</w:t>
      </w:r>
    </w:p>
    <w:p w:rsidR="003A0CB4" w:rsidRPr="003A0CB4" w:rsidRDefault="003A0CB4" w:rsidP="003A0CB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0CB4">
        <w:rPr>
          <w:rFonts w:ascii="Times New Roman" w:eastAsia="Calibri" w:hAnsi="Times New Roman" w:cs="Times New Roman"/>
          <w:sz w:val="24"/>
          <w:szCs w:val="24"/>
        </w:rPr>
        <w:t>Email address:</w:t>
      </w:r>
      <w:r w:rsidRPr="003A0CB4">
        <w:rPr>
          <w:rFonts w:ascii="Calibri" w:eastAsia="Calibri" w:hAnsi="Calibri" w:cs="Arial"/>
        </w:rPr>
        <w:t xml:space="preserve"> </w:t>
      </w:r>
      <w:hyperlink r:id="rId5" w:history="1">
        <w:r w:rsidRPr="003A0CB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dkhalili@endocrine.ac.ir</w:t>
        </w:r>
      </w:hyperlink>
    </w:p>
    <w:p w:rsidR="003A0CB4" w:rsidRDefault="003A0CB4">
      <w:r>
        <w:br w:type="page"/>
      </w:r>
    </w:p>
    <w:p w:rsidR="003A0CB4" w:rsidRPr="00FC5563" w:rsidRDefault="003A0CB4" w:rsidP="003A0CB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5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Additional file 1: Table S1 </w:t>
      </w:r>
    </w:p>
    <w:p w:rsidR="003A0CB4" w:rsidRPr="003A0CB4" w:rsidRDefault="003A0CB4" w:rsidP="003A0CB4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3A0CB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Table S1.</w:t>
      </w:r>
      <w:r w:rsidRPr="003A0CB4">
        <w:rPr>
          <w:rFonts w:ascii="Times New Roman" w:eastAsia="Calibri" w:hAnsi="Times New Roman" w:cs="Times New Roman"/>
          <w:noProof/>
          <w:sz w:val="24"/>
          <w:szCs w:val="24"/>
        </w:rPr>
        <w:t xml:space="preserve"> Age-adjusted marginal means of the ACC/AHA CVD risk score and risk factors among diabetic and non-diabetic adults aged 40-79 separated by sex; Teheran Lipid and Glucose Study (1999 - 2018)</w:t>
      </w:r>
    </w:p>
    <w:tbl>
      <w:tblPr>
        <w:tblStyle w:val="PlainTable2"/>
        <w:tblW w:w="11207" w:type="dxa"/>
        <w:jc w:val="center"/>
        <w:tblLook w:val="04A0" w:firstRow="1" w:lastRow="0" w:firstColumn="1" w:lastColumn="0" w:noHBand="0" w:noVBand="1"/>
      </w:tblPr>
      <w:tblGrid>
        <w:gridCol w:w="1414"/>
        <w:gridCol w:w="1016"/>
        <w:gridCol w:w="1617"/>
        <w:gridCol w:w="876"/>
        <w:gridCol w:w="876"/>
        <w:gridCol w:w="876"/>
        <w:gridCol w:w="876"/>
        <w:gridCol w:w="876"/>
        <w:gridCol w:w="876"/>
        <w:gridCol w:w="892"/>
        <w:gridCol w:w="1012"/>
      </w:tblGrid>
      <w:tr w:rsidR="003A0CB4" w:rsidRPr="003A0CB4" w:rsidTr="0060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Sex</w:t>
            </w:r>
          </w:p>
        </w:tc>
        <w:tc>
          <w:tcPr>
            <w:tcW w:w="1617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Diabetes status</w:t>
            </w:r>
          </w:p>
        </w:tc>
        <w:tc>
          <w:tcPr>
            <w:tcW w:w="5256" w:type="dxa"/>
            <w:gridSpan w:val="6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Examination cycles</w:t>
            </w:r>
          </w:p>
        </w:tc>
        <w:tc>
          <w:tcPr>
            <w:tcW w:w="892" w:type="dxa"/>
            <w:vMerge w:val="restart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bidi="fa-IR"/>
              </w:rPr>
            </w:pPr>
            <w:r w:rsidRPr="003A0CB4">
              <w:rPr>
                <w:rFonts w:ascii="Optima LT Std" w:eastAsia="Calibri" w:hAnsi="Optima LT Std" w:cs="Optima LT Std"/>
                <w:color w:val="000000"/>
                <w:sz w:val="24"/>
                <w:szCs w:val="24"/>
              </w:rPr>
              <w:t>P</w:t>
            </w:r>
            <w:r w:rsidRPr="003A0CB4">
              <w:rPr>
                <w:rFonts w:ascii="Optima LT Std" w:eastAsia="Calibri" w:hAnsi="Optima LT Std" w:cs="Optima LT Std"/>
                <w:color w:val="000000"/>
                <w:sz w:val="16"/>
                <w:szCs w:val="16"/>
              </w:rPr>
              <w:t xml:space="preserve"> </w:t>
            </w:r>
            <w:r w:rsidRPr="003A0CB4">
              <w:rPr>
                <w:rFonts w:ascii="Optima LT Std" w:eastAsia="Calibri" w:hAnsi="Optima LT Std" w:cs="Optima LT Std"/>
                <w:color w:val="000000"/>
                <w:sz w:val="20"/>
                <w:szCs w:val="20"/>
                <w:vertAlign w:val="subscript"/>
              </w:rPr>
              <w:t xml:space="preserve">trend 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bidi="fa-IR"/>
              </w:rPr>
            </w:pPr>
            <w:r w:rsidRPr="003A0CB4">
              <w:rPr>
                <w:rFonts w:ascii="Optima LT Std" w:eastAsia="Calibri" w:hAnsi="Optima LT Std" w:cs="Optima LT Std"/>
                <w:color w:val="000000"/>
                <w:sz w:val="24"/>
                <w:szCs w:val="24"/>
              </w:rPr>
              <w:t>P</w:t>
            </w:r>
            <w:r w:rsidRPr="003A0CB4">
              <w:rPr>
                <w:rFonts w:ascii="Optima LT Std" w:eastAsia="Calibri" w:hAnsi="Optima LT Std" w:cs="Optima LT Std"/>
                <w:color w:val="000000"/>
                <w:sz w:val="16"/>
                <w:szCs w:val="16"/>
              </w:rPr>
              <w:t xml:space="preserve"> </w:t>
            </w:r>
            <w:r w:rsidRPr="003A0CB4">
              <w:rPr>
                <w:rFonts w:ascii="Optima LT Std" w:eastAsia="Calibri" w:hAnsi="Optima LT Std" w:cs="Optima LT Std"/>
                <w:color w:val="000000"/>
                <w:sz w:val="20"/>
                <w:szCs w:val="20"/>
                <w:vertAlign w:val="subscript"/>
              </w:rPr>
              <w:t>interaction</w:t>
            </w:r>
            <w:r w:rsidRPr="003A0CB4">
              <w:rPr>
                <w:rFonts w:ascii="Optima LT Std" w:eastAsia="Calibri" w:hAnsi="Optima LT Std" w:cs="Optima LT St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Ⅰ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Ⅱ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Ⅲ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Ⅳ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Ⅴ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Ⅵ</w:t>
            </w:r>
          </w:p>
        </w:tc>
        <w:tc>
          <w:tcPr>
            <w:tcW w:w="892" w:type="dxa"/>
            <w:vMerge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 LT Std" w:eastAsia="Calibri" w:hAnsi="Optima LT Std" w:cs="Optima LT Std"/>
                <w:color w:val="000000"/>
                <w:sz w:val="8"/>
                <w:szCs w:val="8"/>
              </w:rPr>
            </w:pP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 LT Std" w:eastAsia="Calibri" w:hAnsi="Optima LT Std" w:cs="Optima LT Std"/>
                <w:color w:val="000000"/>
                <w:sz w:val="8"/>
                <w:szCs w:val="8"/>
              </w:rPr>
            </w:pPr>
          </w:p>
        </w:tc>
      </w:tr>
      <w:tr w:rsidR="003A0CB4" w:rsidRPr="003A0CB4" w:rsidTr="00603167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ACC/AHA risk score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13.79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14.31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13.30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12.29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11.76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11.54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0.115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6.85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6.80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6.53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5.95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5.74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5.01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5.32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5.72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5.00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5.26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5.63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5.50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3.20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2.94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2.65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2.52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2.30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1.61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SBP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131.05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126.65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125.78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125.18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123.40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121.62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0.003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124.87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122.34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121.76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121.40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121.79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119.80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133.27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127.77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124.34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123.86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122.71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117.65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126.82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121.85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118.62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119.85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119.64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114.40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TC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219.61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201.57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197.24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195.49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191.21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182.63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212.32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194.75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192.93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193.75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197.38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194.99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241.94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218.84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212.79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202.78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193.32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184.00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231.98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209.16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205.16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204.40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206.26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202.09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HDL-C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37.69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34.64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37.02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41.94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43.13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41.82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0.375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39.23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35.68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38.08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42.65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43.91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42.62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45.28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41.06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43.46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48.74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50.75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49.41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45.73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41.72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44.53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51.21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53.25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51.32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FPG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152.53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159.77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150.41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156.01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149.11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148.42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0.067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93.53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93.87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92.71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97.38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97.46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95.04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164.17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156.54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152.03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150.61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143.30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134.20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93.35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93.89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92.94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97.11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96.44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92.56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&lt;0.001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Current Smoking</w:t>
            </w: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, %</w:t>
            </w: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19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25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0.573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0.456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21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24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0.890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3A0CB4" w:rsidRPr="003A0CB4" w:rsidTr="006031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Women</w:t>
            </w: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2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4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0.206</w:t>
            </w:r>
          </w:p>
        </w:tc>
        <w:tc>
          <w:tcPr>
            <w:tcW w:w="1012" w:type="dxa"/>
            <w:vMerge w:val="restart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0.706</w:t>
            </w:r>
          </w:p>
        </w:tc>
      </w:tr>
      <w:tr w:rsidR="003A0CB4" w:rsidRPr="003A0CB4" w:rsidTr="0060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16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17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Non-Diabetics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76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892" w:type="dxa"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 w:rsidRPr="003A0CB4"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  <w:t>0.643</w:t>
            </w:r>
          </w:p>
        </w:tc>
        <w:tc>
          <w:tcPr>
            <w:tcW w:w="1012" w:type="dxa"/>
            <w:vMerge/>
          </w:tcPr>
          <w:p w:rsidR="003A0CB4" w:rsidRPr="003A0CB4" w:rsidRDefault="003A0CB4" w:rsidP="00ED6C66">
            <w:pPr>
              <w:tabs>
                <w:tab w:val="left" w:pos="616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C75EAD" w:rsidRPr="003A0CB4" w:rsidRDefault="003A0CB4" w:rsidP="0044162D">
      <w:pPr>
        <w:tabs>
          <w:tab w:val="left" w:pos="6165"/>
        </w:tabs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0CB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SBP, Systolic Blood Pressure; TC, Total Cholesterol; HDL-C, High-Density Lipoprotein Cholesterol; FPG, Fasting Plasma Glucose.</w:t>
      </w:r>
      <w:r w:rsidR="00C75E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4162D" w:rsidRPr="004416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Models for assessment of time trend </w:t>
      </w:r>
      <w:proofErr w:type="gramStart"/>
      <w:r w:rsidR="0044162D" w:rsidRPr="0044162D">
        <w:rPr>
          <w:rFonts w:ascii="Times New Roman" w:eastAsia="Calibri" w:hAnsi="Times New Roman" w:cs="Times New Roman"/>
          <w:color w:val="FF0000"/>
          <w:sz w:val="24"/>
          <w:szCs w:val="24"/>
        </w:rPr>
        <w:t>were fitted</w:t>
      </w:r>
      <w:proofErr w:type="gramEnd"/>
      <w:r w:rsidR="0044162D" w:rsidRPr="004416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separately for diabetic and non-diabetic subjects, and age-adjusted marginal means and p-values for trend were reported. Meanwhile, the interaction of diabetes status with time was assessed by fitting a model including diabetes status, the follow-up time and their </w:t>
      </w:r>
      <w:proofErr w:type="gramStart"/>
      <w:r w:rsidR="0044162D" w:rsidRPr="0044162D">
        <w:rPr>
          <w:rFonts w:ascii="Times New Roman" w:eastAsia="Calibri" w:hAnsi="Times New Roman" w:cs="Times New Roman"/>
          <w:color w:val="FF0000"/>
          <w:sz w:val="24"/>
          <w:szCs w:val="24"/>
        </w:rPr>
        <w:t>cross-product</w:t>
      </w:r>
      <w:proofErr w:type="gramEnd"/>
      <w:r w:rsidR="0044162D" w:rsidRPr="004416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in a pooled model including both diabetic and non-diabetic participants, and p-values for the cross-product term were reported as p for trend.</w:t>
      </w:r>
      <w:bookmarkStart w:id="0" w:name="_GoBack"/>
      <w:bookmarkEnd w:id="0"/>
    </w:p>
    <w:p w:rsidR="00472B6E" w:rsidRDefault="00472B6E"/>
    <w:sectPr w:rsidR="0047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4D95"/>
    <w:multiLevelType w:val="hybridMultilevel"/>
    <w:tmpl w:val="6F7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4"/>
    <w:rsid w:val="003A0CB4"/>
    <w:rsid w:val="0044162D"/>
    <w:rsid w:val="00472B6E"/>
    <w:rsid w:val="00603167"/>
    <w:rsid w:val="00C75EAD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40BA-1E5A-4C62-828E-C9FF6FF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03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halili@endocrine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2022-02-23T07:21:00Z</dcterms:created>
  <dcterms:modified xsi:type="dcterms:W3CDTF">2022-02-25T03:49:00Z</dcterms:modified>
</cp:coreProperties>
</file>