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54FC1" w14:textId="77777777" w:rsidR="00736383" w:rsidRPr="00A21125" w:rsidRDefault="00736383" w:rsidP="00736383">
      <w:pPr>
        <w:pStyle w:val="berschrift1"/>
        <w:rPr>
          <w:lang w:val="en-GB"/>
        </w:rPr>
      </w:pPr>
      <w:r w:rsidRPr="00A21125">
        <w:rPr>
          <w:lang w:val="en-GB"/>
        </w:rPr>
        <w:t>Supplementary Figures</w:t>
      </w:r>
    </w:p>
    <w:p w14:paraId="3B216FE3"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noProof/>
          <w:lang w:val="de-DE" w:eastAsia="de-DE"/>
        </w:rPr>
        <w:drawing>
          <wp:inline distT="0" distB="0" distL="0" distR="0" wp14:anchorId="1D87FEB1" wp14:editId="05429223">
            <wp:extent cx="5741670" cy="2405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1670" cy="2405380"/>
                    </a:xfrm>
                    <a:prstGeom prst="rect">
                      <a:avLst/>
                    </a:prstGeom>
                    <a:noFill/>
                    <a:ln>
                      <a:noFill/>
                    </a:ln>
                  </pic:spPr>
                </pic:pic>
              </a:graphicData>
            </a:graphic>
          </wp:inline>
        </w:drawing>
      </w:r>
    </w:p>
    <w:p w14:paraId="0CCE29F7"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b/>
          <w:lang w:val="en-GB"/>
        </w:rPr>
        <w:t>Supplementary Figure 1 - Distribution and coverage of detected polymorphisms over the barley chromosomes.</w:t>
      </w:r>
      <w:r>
        <w:rPr>
          <w:rFonts w:ascii="Times New Roman" w:hAnsi="Times New Roman" w:cs="Times New Roman"/>
          <w:b/>
          <w:lang w:val="en-GB"/>
        </w:rPr>
        <w:t xml:space="preserve"> </w:t>
      </w:r>
      <w:r w:rsidRPr="00A21125">
        <w:rPr>
          <w:rFonts w:ascii="Times New Roman" w:hAnsi="Times New Roman" w:cs="Times New Roman"/>
          <w:b/>
          <w:lang w:val="en-GB"/>
        </w:rPr>
        <w:t>A</w:t>
      </w:r>
      <w:r w:rsidRPr="00A21125">
        <w:rPr>
          <w:rFonts w:ascii="Times New Roman" w:hAnsi="Times New Roman" w:cs="Times New Roman"/>
          <w:lang w:val="en-GB"/>
        </w:rPr>
        <w:t>– whole</w:t>
      </w:r>
      <w:r>
        <w:rPr>
          <w:rFonts w:ascii="Times New Roman" w:hAnsi="Times New Roman" w:cs="Times New Roman"/>
          <w:lang w:val="en-GB"/>
        </w:rPr>
        <w:t>-</w:t>
      </w:r>
      <w:r w:rsidRPr="00A21125">
        <w:rPr>
          <w:rFonts w:ascii="Times New Roman" w:hAnsi="Times New Roman" w:cs="Times New Roman"/>
          <w:lang w:val="en-GB"/>
        </w:rPr>
        <w:t xml:space="preserve">genome sequencing; </w:t>
      </w:r>
      <w:r w:rsidRPr="00A21125">
        <w:rPr>
          <w:rFonts w:ascii="Times New Roman" w:hAnsi="Times New Roman" w:cs="Times New Roman"/>
          <w:b/>
          <w:lang w:val="en-GB"/>
        </w:rPr>
        <w:t>B</w:t>
      </w:r>
      <w:r w:rsidRPr="00A21125">
        <w:rPr>
          <w:rFonts w:ascii="Times New Roman" w:hAnsi="Times New Roman" w:cs="Times New Roman"/>
          <w:lang w:val="en-GB"/>
        </w:rPr>
        <w:t xml:space="preserve"> – MACE transcriptome sequencing; </w:t>
      </w:r>
      <w:r w:rsidRPr="00A21125">
        <w:rPr>
          <w:rFonts w:ascii="Times New Roman" w:hAnsi="Times New Roman" w:cs="Times New Roman"/>
          <w:b/>
          <w:lang w:val="en-GB"/>
        </w:rPr>
        <w:t>C</w:t>
      </w:r>
      <w:r w:rsidRPr="00A21125">
        <w:rPr>
          <w:rFonts w:ascii="Times New Roman" w:hAnsi="Times New Roman" w:cs="Times New Roman"/>
          <w:lang w:val="en-GB"/>
        </w:rPr>
        <w:t xml:space="preserve"> – Genotyping by sequencing.</w:t>
      </w:r>
      <w:r>
        <w:rPr>
          <w:rFonts w:ascii="Times New Roman" w:hAnsi="Times New Roman" w:cs="Times New Roman"/>
          <w:lang w:val="en-GB"/>
        </w:rPr>
        <w:t xml:space="preserve"> Values illustrate the average across the replicates (P1-P3).</w:t>
      </w:r>
    </w:p>
    <w:p w14:paraId="5C2C9BAE"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noProof/>
          <w:lang w:val="de-DE" w:eastAsia="de-DE"/>
        </w:rPr>
        <w:drawing>
          <wp:inline distT="0" distB="0" distL="0" distR="0" wp14:anchorId="65ED0747" wp14:editId="513D2255">
            <wp:extent cx="5760720" cy="3240405"/>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noChangeArrowheads="1"/>
                    </pic:cNvPicPr>
                  </pic:nvPicPr>
                  <pic:blipFill>
                    <a:blip r:embed="rId5"/>
                    <a:stretch>
                      <a:fillRect/>
                    </a:stretch>
                  </pic:blipFill>
                  <pic:spPr bwMode="auto">
                    <a:xfrm>
                      <a:off x="0" y="0"/>
                      <a:ext cx="5760720" cy="3240405"/>
                    </a:xfrm>
                    <a:prstGeom prst="rect">
                      <a:avLst/>
                    </a:prstGeom>
                  </pic:spPr>
                </pic:pic>
              </a:graphicData>
            </a:graphic>
          </wp:inline>
        </w:drawing>
      </w:r>
    </w:p>
    <w:p w14:paraId="365D4FD5" w14:textId="77777777" w:rsidR="00736383" w:rsidRPr="00A21125" w:rsidRDefault="00736383" w:rsidP="00736383">
      <w:pPr>
        <w:pStyle w:val="Beschriftung"/>
        <w:spacing w:line="276" w:lineRule="auto"/>
        <w:jc w:val="both"/>
        <w:rPr>
          <w:rFonts w:ascii="Times New Roman" w:hAnsi="Times New Roman" w:cs="Times New Roman"/>
          <w:i w:val="0"/>
          <w:color w:val="auto"/>
          <w:sz w:val="22"/>
          <w:szCs w:val="22"/>
          <w:lang w:val="en-GB"/>
        </w:rPr>
      </w:pPr>
      <w:bookmarkStart w:id="0" w:name="_Hlk62561287"/>
      <w:r w:rsidRPr="00A21125">
        <w:rPr>
          <w:rFonts w:ascii="Times New Roman" w:hAnsi="Times New Roman" w:cs="Times New Roman"/>
          <w:b/>
          <w:i w:val="0"/>
          <w:color w:val="auto"/>
          <w:sz w:val="22"/>
          <w:szCs w:val="22"/>
          <w:lang w:val="en-GB"/>
        </w:rPr>
        <w:t xml:space="preserve">Supplementary Figure 2 - </w:t>
      </w:r>
      <w:proofErr w:type="spellStart"/>
      <w:r w:rsidRPr="00A21125">
        <w:rPr>
          <w:rFonts w:ascii="Times New Roman" w:hAnsi="Times New Roman" w:cs="Times New Roman"/>
          <w:b/>
          <w:i w:val="0"/>
          <w:color w:val="auto"/>
          <w:sz w:val="22"/>
          <w:szCs w:val="22"/>
          <w:lang w:val="en-GB"/>
        </w:rPr>
        <w:t>KASPar</w:t>
      </w:r>
      <w:proofErr w:type="spellEnd"/>
      <w:r w:rsidRPr="00A21125">
        <w:rPr>
          <w:rFonts w:ascii="Times New Roman" w:hAnsi="Times New Roman" w:cs="Times New Roman"/>
          <w:b/>
          <w:i w:val="0"/>
          <w:color w:val="auto"/>
          <w:sz w:val="22"/>
          <w:szCs w:val="22"/>
          <w:lang w:val="en-GB"/>
        </w:rPr>
        <w:t xml:space="preserve"> individual genotyping allele frequency</w:t>
      </w:r>
      <w:bookmarkEnd w:id="0"/>
      <w:r w:rsidRPr="00A21125">
        <w:rPr>
          <w:rFonts w:ascii="Times New Roman" w:hAnsi="Times New Roman" w:cs="Times New Roman"/>
          <w:b/>
          <w:i w:val="0"/>
          <w:color w:val="auto"/>
          <w:sz w:val="22"/>
          <w:szCs w:val="22"/>
          <w:lang w:val="en-GB"/>
        </w:rPr>
        <w:t xml:space="preserve"> results against the measured allele frequency in </w:t>
      </w:r>
      <w:r>
        <w:rPr>
          <w:rFonts w:ascii="Times New Roman" w:hAnsi="Times New Roman" w:cs="Times New Roman"/>
          <w:b/>
          <w:i w:val="0"/>
          <w:color w:val="auto"/>
          <w:sz w:val="22"/>
          <w:szCs w:val="22"/>
          <w:lang w:val="en-GB"/>
        </w:rPr>
        <w:t xml:space="preserve">P1 </w:t>
      </w:r>
      <w:r w:rsidRPr="00A21125">
        <w:rPr>
          <w:rFonts w:ascii="Times New Roman" w:hAnsi="Times New Roman" w:cs="Times New Roman"/>
          <w:b/>
          <w:i w:val="0"/>
          <w:color w:val="auto"/>
          <w:sz w:val="22"/>
          <w:szCs w:val="22"/>
          <w:lang w:val="en-GB"/>
        </w:rPr>
        <w:t xml:space="preserve">pool sample for the </w:t>
      </w:r>
      <w:r w:rsidRPr="00A21125">
        <w:rPr>
          <w:rFonts w:ascii="Times New Roman" w:hAnsi="Times New Roman" w:cs="Times New Roman"/>
          <w:b/>
          <w:bCs/>
          <w:i w:val="0"/>
          <w:color w:val="auto"/>
          <w:sz w:val="22"/>
          <w:szCs w:val="22"/>
          <w:lang w:val="en-GB"/>
        </w:rPr>
        <w:t>MACE transcriptome</w:t>
      </w:r>
      <w:r w:rsidRPr="00A21125">
        <w:rPr>
          <w:rFonts w:ascii="Times New Roman" w:hAnsi="Times New Roman" w:cs="Times New Roman"/>
          <w:b/>
          <w:i w:val="0"/>
          <w:color w:val="auto"/>
          <w:sz w:val="22"/>
          <w:szCs w:val="22"/>
          <w:lang w:val="en-GB"/>
        </w:rPr>
        <w:t>.</w:t>
      </w:r>
      <w:r w:rsidRPr="00A21125">
        <w:rPr>
          <w:rFonts w:ascii="Times New Roman" w:hAnsi="Times New Roman" w:cs="Times New Roman"/>
          <w:i w:val="0"/>
          <w:color w:val="auto"/>
          <w:sz w:val="22"/>
          <w:szCs w:val="22"/>
          <w:lang w:val="en-GB"/>
        </w:rPr>
        <w:t xml:space="preserve"> The dashed line indicates the optimal match, where pool obtained values match the individual genotyping ideally. The read curve is a regression smooth curve using all points. The </w:t>
      </w:r>
      <w:proofErr w:type="spellStart"/>
      <w:r w:rsidRPr="00A21125">
        <w:rPr>
          <w:rFonts w:ascii="Times New Roman" w:hAnsi="Times New Roman" w:cs="Times New Roman"/>
          <w:i w:val="0"/>
          <w:color w:val="auto"/>
          <w:sz w:val="22"/>
          <w:szCs w:val="22"/>
          <w:lang w:val="en-GB"/>
        </w:rPr>
        <w:t>color</w:t>
      </w:r>
      <w:proofErr w:type="spellEnd"/>
      <w:r w:rsidRPr="00A21125">
        <w:rPr>
          <w:rFonts w:ascii="Times New Roman" w:hAnsi="Times New Roman" w:cs="Times New Roman"/>
          <w:i w:val="0"/>
          <w:color w:val="auto"/>
          <w:sz w:val="22"/>
          <w:szCs w:val="22"/>
          <w:lang w:val="en-GB"/>
        </w:rPr>
        <w:t xml:space="preserve"> of the points indicates the coverage per locus, which ranges from 1 to several thousand. Error bars highlight the entire margin of single SNP allele frequency that contributed to the overall allele frequency of the haplotype. If no error bar is visible, there is only one SNP contribution information to the haplotype. </w:t>
      </w:r>
      <w:r w:rsidRPr="00A21125">
        <w:rPr>
          <w:rFonts w:ascii="Times New Roman" w:hAnsi="Times New Roman" w:cs="Times New Roman"/>
          <w:b/>
          <w:bCs/>
          <w:i w:val="0"/>
          <w:color w:val="auto"/>
          <w:sz w:val="22"/>
          <w:szCs w:val="22"/>
          <w:lang w:val="en-GB"/>
        </w:rPr>
        <w:t xml:space="preserve">A – </w:t>
      </w:r>
      <w:r w:rsidRPr="00A21125">
        <w:rPr>
          <w:rFonts w:ascii="Times New Roman" w:hAnsi="Times New Roman" w:cs="Times New Roman"/>
          <w:i w:val="0"/>
          <w:color w:val="auto"/>
          <w:sz w:val="22"/>
          <w:szCs w:val="22"/>
          <w:lang w:val="en-GB"/>
        </w:rPr>
        <w:t xml:space="preserve">the single SNP comparison. Only one SNP is detected having the exact same position as the KASP markers. </w:t>
      </w:r>
      <w:r w:rsidRPr="00A21125">
        <w:rPr>
          <w:rFonts w:ascii="Times New Roman" w:hAnsi="Times New Roman" w:cs="Times New Roman"/>
          <w:b/>
          <w:bCs/>
          <w:i w:val="0"/>
          <w:color w:val="auto"/>
          <w:sz w:val="22"/>
          <w:szCs w:val="22"/>
          <w:lang w:val="en-GB"/>
        </w:rPr>
        <w:t>B –</w:t>
      </w:r>
      <w:r w:rsidRPr="00A21125">
        <w:rPr>
          <w:rFonts w:ascii="Times New Roman" w:hAnsi="Times New Roman" w:cs="Times New Roman"/>
          <w:i w:val="0"/>
          <w:color w:val="auto"/>
          <w:sz w:val="22"/>
          <w:szCs w:val="22"/>
          <w:lang w:val="en-GB"/>
        </w:rPr>
        <w:t xml:space="preserve"> the gene-based haplotype allele frequency compared to the individual genotyping. </w:t>
      </w:r>
      <w:r w:rsidRPr="00A21125">
        <w:rPr>
          <w:rFonts w:ascii="Times New Roman" w:hAnsi="Times New Roman" w:cs="Times New Roman"/>
          <w:b/>
          <w:bCs/>
          <w:i w:val="0"/>
          <w:color w:val="auto"/>
          <w:sz w:val="22"/>
          <w:szCs w:val="22"/>
          <w:lang w:val="en-GB"/>
        </w:rPr>
        <w:t xml:space="preserve">C – </w:t>
      </w:r>
      <w:r w:rsidRPr="00A21125">
        <w:rPr>
          <w:rFonts w:ascii="Times New Roman" w:hAnsi="Times New Roman" w:cs="Times New Roman"/>
          <w:i w:val="0"/>
          <w:color w:val="auto"/>
          <w:sz w:val="22"/>
          <w:szCs w:val="22"/>
          <w:lang w:val="en-GB"/>
        </w:rPr>
        <w:t>marker-based haplotype pool allele frequency in comparison to true allele frequency (m</w:t>
      </w:r>
      <w:r>
        <w:rPr>
          <w:rFonts w:ascii="Times New Roman" w:hAnsi="Times New Roman" w:cs="Times New Roman"/>
          <w:i w:val="0"/>
          <w:color w:val="auto"/>
          <w:sz w:val="22"/>
          <w:szCs w:val="22"/>
          <w:lang w:val="en-GB"/>
        </w:rPr>
        <w:t>e</w:t>
      </w:r>
      <w:r w:rsidRPr="00A21125">
        <w:rPr>
          <w:rFonts w:ascii="Times New Roman" w:hAnsi="Times New Roman" w:cs="Times New Roman"/>
          <w:i w:val="0"/>
          <w:color w:val="auto"/>
          <w:sz w:val="22"/>
          <w:szCs w:val="22"/>
          <w:lang w:val="en-GB"/>
        </w:rPr>
        <w:t xml:space="preserve">asured by KASP). </w:t>
      </w:r>
      <w:r w:rsidRPr="00A21125">
        <w:rPr>
          <w:rFonts w:ascii="Times New Roman" w:hAnsi="Times New Roman" w:cs="Times New Roman"/>
          <w:b/>
          <w:bCs/>
          <w:i w:val="0"/>
          <w:color w:val="auto"/>
          <w:sz w:val="22"/>
          <w:szCs w:val="22"/>
          <w:lang w:val="en-GB"/>
        </w:rPr>
        <w:t xml:space="preserve">D – </w:t>
      </w:r>
      <w:r w:rsidRPr="00A21125">
        <w:rPr>
          <w:rFonts w:ascii="Times New Roman" w:hAnsi="Times New Roman" w:cs="Times New Roman"/>
          <w:i w:val="0"/>
          <w:color w:val="auto"/>
          <w:sz w:val="22"/>
          <w:szCs w:val="22"/>
          <w:lang w:val="en-GB"/>
        </w:rPr>
        <w:t xml:space="preserve">contig haplotype-based comparison to the individual genotyping. The pool sequenced sample contains the same 288 genotypes </w:t>
      </w:r>
      <w:r w:rsidRPr="00A21125">
        <w:rPr>
          <w:rFonts w:ascii="Times New Roman" w:hAnsi="Times New Roman" w:cs="Times New Roman"/>
          <w:i w:val="0"/>
          <w:color w:val="auto"/>
          <w:sz w:val="22"/>
          <w:szCs w:val="22"/>
          <w:lang w:val="en-GB"/>
        </w:rPr>
        <w:lastRenderedPageBreak/>
        <w:t>that have been tested individually for the 21 KASP loci. As two KASP marker</w:t>
      </w:r>
      <w:r>
        <w:rPr>
          <w:rFonts w:ascii="Times New Roman" w:hAnsi="Times New Roman" w:cs="Times New Roman"/>
          <w:i w:val="0"/>
          <w:color w:val="auto"/>
          <w:sz w:val="22"/>
          <w:szCs w:val="22"/>
          <w:lang w:val="en-GB"/>
        </w:rPr>
        <w:t>s</w:t>
      </w:r>
      <w:r w:rsidRPr="00A21125">
        <w:rPr>
          <w:rFonts w:ascii="Times New Roman" w:hAnsi="Times New Roman" w:cs="Times New Roman"/>
          <w:i w:val="0"/>
          <w:color w:val="auto"/>
          <w:sz w:val="22"/>
          <w:szCs w:val="22"/>
          <w:lang w:val="en-GB"/>
        </w:rPr>
        <w:t xml:space="preserve"> did not meet the quality threshold, they were omitted from the analysis.</w:t>
      </w:r>
      <w:bookmarkStart w:id="1" w:name="_Hlk44243591"/>
      <w:bookmarkEnd w:id="1"/>
    </w:p>
    <w:p w14:paraId="34CC6E41"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noProof/>
          <w:lang w:val="de-DE" w:eastAsia="de-DE"/>
        </w:rPr>
        <w:drawing>
          <wp:inline distT="0" distB="0" distL="0" distR="0" wp14:anchorId="315AF42A" wp14:editId="0955CE92">
            <wp:extent cx="5760720" cy="324040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noChangeArrowheads="1"/>
                    </pic:cNvPicPr>
                  </pic:nvPicPr>
                  <pic:blipFill>
                    <a:blip r:embed="rId6"/>
                    <a:stretch>
                      <a:fillRect/>
                    </a:stretch>
                  </pic:blipFill>
                  <pic:spPr bwMode="auto">
                    <a:xfrm>
                      <a:off x="0" y="0"/>
                      <a:ext cx="5760720" cy="3240405"/>
                    </a:xfrm>
                    <a:prstGeom prst="rect">
                      <a:avLst/>
                    </a:prstGeom>
                  </pic:spPr>
                </pic:pic>
              </a:graphicData>
            </a:graphic>
          </wp:inline>
        </w:drawing>
      </w:r>
    </w:p>
    <w:p w14:paraId="21AE7F38" w14:textId="77777777" w:rsidR="00736383" w:rsidRPr="00A21125" w:rsidRDefault="00736383" w:rsidP="00736383">
      <w:pPr>
        <w:pStyle w:val="Beschriftung"/>
        <w:spacing w:line="276" w:lineRule="auto"/>
        <w:jc w:val="both"/>
        <w:rPr>
          <w:rFonts w:ascii="Times New Roman" w:hAnsi="Times New Roman" w:cs="Times New Roman"/>
          <w:i w:val="0"/>
          <w:color w:val="auto"/>
          <w:sz w:val="22"/>
          <w:szCs w:val="22"/>
          <w:lang w:val="en-GB"/>
        </w:rPr>
      </w:pPr>
      <w:bookmarkStart w:id="2" w:name="_Hlk62561036"/>
      <w:r w:rsidRPr="00A21125">
        <w:rPr>
          <w:rFonts w:ascii="Times New Roman" w:hAnsi="Times New Roman" w:cs="Times New Roman"/>
          <w:b/>
          <w:i w:val="0"/>
          <w:color w:val="auto"/>
          <w:sz w:val="22"/>
          <w:szCs w:val="22"/>
          <w:lang w:val="en-GB"/>
        </w:rPr>
        <w:t xml:space="preserve">Supplementary Figure 3 - </w:t>
      </w:r>
      <w:bookmarkStart w:id="3" w:name="_Hlk44068183"/>
      <w:r w:rsidRPr="00A21125">
        <w:rPr>
          <w:rFonts w:ascii="Times New Roman" w:hAnsi="Times New Roman" w:cs="Times New Roman"/>
          <w:b/>
          <w:i w:val="0"/>
          <w:color w:val="auto"/>
          <w:sz w:val="22"/>
          <w:szCs w:val="22"/>
          <w:lang w:val="en-GB"/>
        </w:rPr>
        <w:t>KASP individual genotyping allele frequency results</w:t>
      </w:r>
      <w:bookmarkEnd w:id="2"/>
      <w:r w:rsidRPr="00A21125">
        <w:rPr>
          <w:rFonts w:ascii="Times New Roman" w:hAnsi="Times New Roman" w:cs="Times New Roman"/>
          <w:b/>
          <w:i w:val="0"/>
          <w:color w:val="auto"/>
          <w:sz w:val="22"/>
          <w:szCs w:val="22"/>
          <w:lang w:val="en-GB"/>
        </w:rPr>
        <w:t xml:space="preserve"> against the measured allele frequency in </w:t>
      </w:r>
      <w:r>
        <w:rPr>
          <w:rFonts w:ascii="Times New Roman" w:hAnsi="Times New Roman" w:cs="Times New Roman"/>
          <w:b/>
          <w:i w:val="0"/>
          <w:color w:val="auto"/>
          <w:sz w:val="22"/>
          <w:szCs w:val="22"/>
          <w:lang w:val="en-GB"/>
        </w:rPr>
        <w:t>P</w:t>
      </w:r>
      <w:proofErr w:type="gramStart"/>
      <w:r>
        <w:rPr>
          <w:rFonts w:ascii="Times New Roman" w:hAnsi="Times New Roman" w:cs="Times New Roman"/>
          <w:b/>
          <w:i w:val="0"/>
          <w:color w:val="auto"/>
          <w:sz w:val="22"/>
          <w:szCs w:val="22"/>
          <w:lang w:val="en-GB"/>
        </w:rPr>
        <w:t xml:space="preserve">1 </w:t>
      </w:r>
      <w:r w:rsidRPr="00A21125">
        <w:rPr>
          <w:rFonts w:ascii="Times New Roman" w:hAnsi="Times New Roman" w:cs="Times New Roman"/>
          <w:b/>
          <w:i w:val="0"/>
          <w:color w:val="auto"/>
          <w:sz w:val="22"/>
          <w:szCs w:val="22"/>
          <w:lang w:val="en-GB"/>
        </w:rPr>
        <w:t xml:space="preserve"> pool</w:t>
      </w:r>
      <w:proofErr w:type="gramEnd"/>
      <w:r w:rsidRPr="00A21125">
        <w:rPr>
          <w:rFonts w:ascii="Times New Roman" w:hAnsi="Times New Roman" w:cs="Times New Roman"/>
          <w:b/>
          <w:i w:val="0"/>
          <w:color w:val="auto"/>
          <w:sz w:val="22"/>
          <w:szCs w:val="22"/>
          <w:lang w:val="en-GB"/>
        </w:rPr>
        <w:t xml:space="preserve"> sample for the </w:t>
      </w:r>
      <w:r w:rsidRPr="00A21125">
        <w:rPr>
          <w:rFonts w:ascii="Times New Roman" w:hAnsi="Times New Roman" w:cs="Times New Roman"/>
          <w:b/>
          <w:bCs/>
          <w:i w:val="0"/>
          <w:color w:val="auto"/>
          <w:sz w:val="22"/>
          <w:szCs w:val="22"/>
          <w:lang w:val="en-GB"/>
        </w:rPr>
        <w:t>GBS</w:t>
      </w:r>
      <w:r w:rsidRPr="00A21125">
        <w:rPr>
          <w:rFonts w:ascii="Times New Roman" w:hAnsi="Times New Roman" w:cs="Times New Roman"/>
          <w:b/>
          <w:i w:val="0"/>
          <w:color w:val="auto"/>
          <w:sz w:val="22"/>
          <w:szCs w:val="22"/>
          <w:lang w:val="en-GB"/>
        </w:rPr>
        <w:t xml:space="preserve"> data.</w:t>
      </w:r>
      <w:r w:rsidRPr="00A21125">
        <w:rPr>
          <w:rFonts w:ascii="Times New Roman" w:hAnsi="Times New Roman" w:cs="Times New Roman"/>
          <w:i w:val="0"/>
          <w:color w:val="auto"/>
          <w:sz w:val="22"/>
          <w:szCs w:val="22"/>
          <w:lang w:val="en-GB"/>
        </w:rPr>
        <w:t xml:space="preserve"> The dashed line indicates the optimal match, where pool obtained values match the individual genotyping ideally. The red curve is a regression smooth curve using all points. The </w:t>
      </w:r>
      <w:proofErr w:type="spellStart"/>
      <w:r w:rsidRPr="00A21125">
        <w:rPr>
          <w:rFonts w:ascii="Times New Roman" w:hAnsi="Times New Roman" w:cs="Times New Roman"/>
          <w:i w:val="0"/>
          <w:color w:val="auto"/>
          <w:sz w:val="22"/>
          <w:szCs w:val="22"/>
          <w:lang w:val="en-GB"/>
        </w:rPr>
        <w:t>color</w:t>
      </w:r>
      <w:proofErr w:type="spellEnd"/>
      <w:r w:rsidRPr="00A21125">
        <w:rPr>
          <w:rFonts w:ascii="Times New Roman" w:hAnsi="Times New Roman" w:cs="Times New Roman"/>
          <w:i w:val="0"/>
          <w:color w:val="auto"/>
          <w:sz w:val="22"/>
          <w:szCs w:val="22"/>
          <w:lang w:val="en-GB"/>
        </w:rPr>
        <w:t xml:space="preserve"> of the points indicates the coverage per locus, which ranges from 1 to several thousand. Error bars highlight the entire margin of single SNP allele frequency that contributed to the overall allele frequency of the haplotype. If no error bar is visible, there is only one SNP contribution information to the haplotype. </w:t>
      </w:r>
      <w:r w:rsidRPr="00A21125">
        <w:rPr>
          <w:rFonts w:ascii="Times New Roman" w:hAnsi="Times New Roman" w:cs="Times New Roman"/>
          <w:b/>
          <w:bCs/>
          <w:i w:val="0"/>
          <w:color w:val="auto"/>
          <w:sz w:val="22"/>
          <w:szCs w:val="22"/>
          <w:lang w:val="en-GB"/>
        </w:rPr>
        <w:t xml:space="preserve">A – </w:t>
      </w:r>
      <w:r w:rsidRPr="00A21125">
        <w:rPr>
          <w:rFonts w:ascii="Times New Roman" w:hAnsi="Times New Roman" w:cs="Times New Roman"/>
          <w:i w:val="0"/>
          <w:color w:val="auto"/>
          <w:sz w:val="22"/>
          <w:szCs w:val="22"/>
          <w:lang w:val="en-GB"/>
        </w:rPr>
        <w:t xml:space="preserve">the single SNP comparison. Only one SNP was detected having the exact same position as the KASP markers. </w:t>
      </w:r>
      <w:r w:rsidRPr="00A21125">
        <w:rPr>
          <w:rFonts w:ascii="Times New Roman" w:hAnsi="Times New Roman" w:cs="Times New Roman"/>
          <w:b/>
          <w:bCs/>
          <w:i w:val="0"/>
          <w:color w:val="auto"/>
          <w:sz w:val="22"/>
          <w:szCs w:val="22"/>
          <w:lang w:val="en-GB"/>
        </w:rPr>
        <w:t>B –</w:t>
      </w:r>
      <w:r w:rsidRPr="00A21125">
        <w:rPr>
          <w:rFonts w:ascii="Times New Roman" w:hAnsi="Times New Roman" w:cs="Times New Roman"/>
          <w:i w:val="0"/>
          <w:color w:val="auto"/>
          <w:sz w:val="22"/>
          <w:szCs w:val="22"/>
          <w:lang w:val="en-GB"/>
        </w:rPr>
        <w:t xml:space="preserve"> the gene-based haplotype allele frequency compared to the individual genotyping. </w:t>
      </w:r>
      <w:r w:rsidRPr="00A21125">
        <w:rPr>
          <w:rFonts w:ascii="Times New Roman" w:hAnsi="Times New Roman" w:cs="Times New Roman"/>
          <w:b/>
          <w:bCs/>
          <w:i w:val="0"/>
          <w:color w:val="auto"/>
          <w:sz w:val="22"/>
          <w:szCs w:val="22"/>
          <w:lang w:val="en-GB"/>
        </w:rPr>
        <w:t xml:space="preserve">C – </w:t>
      </w:r>
      <w:r w:rsidRPr="00A21125">
        <w:rPr>
          <w:rFonts w:ascii="Times New Roman" w:hAnsi="Times New Roman" w:cs="Times New Roman"/>
          <w:i w:val="0"/>
          <w:color w:val="auto"/>
          <w:sz w:val="22"/>
          <w:szCs w:val="22"/>
          <w:lang w:val="en-GB"/>
        </w:rPr>
        <w:t xml:space="preserve">marker-based allele frequency. </w:t>
      </w:r>
      <w:r w:rsidRPr="00A21125">
        <w:rPr>
          <w:rFonts w:ascii="Times New Roman" w:hAnsi="Times New Roman" w:cs="Times New Roman"/>
          <w:b/>
          <w:bCs/>
          <w:i w:val="0"/>
          <w:color w:val="auto"/>
          <w:sz w:val="22"/>
          <w:szCs w:val="22"/>
          <w:lang w:val="en-GB"/>
        </w:rPr>
        <w:t xml:space="preserve">D – </w:t>
      </w:r>
      <w:r w:rsidRPr="00A21125">
        <w:rPr>
          <w:rFonts w:ascii="Times New Roman" w:hAnsi="Times New Roman" w:cs="Times New Roman"/>
          <w:i w:val="0"/>
          <w:color w:val="auto"/>
          <w:sz w:val="22"/>
          <w:szCs w:val="22"/>
          <w:lang w:val="en-GB"/>
        </w:rPr>
        <w:t>contig haplotype-based comparison to the individual genotyping. The pool sequenced sample contains the exact same 288 genotypes that have been tested individually for the 21 KASP loci. As two KASP marker did not meet the quality threshold, they were omitted from the analysis.</w:t>
      </w:r>
      <w:bookmarkEnd w:id="3"/>
    </w:p>
    <w:p w14:paraId="3E534563"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noProof/>
          <w:lang w:val="de-DE" w:eastAsia="de-DE"/>
        </w:rPr>
        <w:lastRenderedPageBreak/>
        <w:drawing>
          <wp:inline distT="0" distB="0" distL="0" distR="0" wp14:anchorId="3BE26C50" wp14:editId="78621885">
            <wp:extent cx="5760720" cy="3240405"/>
            <wp:effectExtent l="0" t="0" r="0"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7"/>
                    <pic:cNvPicPr>
                      <a:picLocks noChangeAspect="1" noChangeArrowheads="1"/>
                    </pic:cNvPicPr>
                  </pic:nvPicPr>
                  <pic:blipFill>
                    <a:blip r:embed="rId7"/>
                    <a:stretch>
                      <a:fillRect/>
                    </a:stretch>
                  </pic:blipFill>
                  <pic:spPr bwMode="auto">
                    <a:xfrm>
                      <a:off x="0" y="0"/>
                      <a:ext cx="5760720" cy="3240405"/>
                    </a:xfrm>
                    <a:prstGeom prst="rect">
                      <a:avLst/>
                    </a:prstGeom>
                  </pic:spPr>
                </pic:pic>
              </a:graphicData>
            </a:graphic>
          </wp:inline>
        </w:drawing>
      </w:r>
    </w:p>
    <w:p w14:paraId="1B99A9BA" w14:textId="77777777" w:rsidR="00736383" w:rsidRPr="00A21125" w:rsidRDefault="00736383" w:rsidP="00736383">
      <w:pPr>
        <w:pStyle w:val="Beschriftung"/>
        <w:spacing w:line="276" w:lineRule="auto"/>
        <w:jc w:val="both"/>
        <w:rPr>
          <w:rFonts w:ascii="Times New Roman" w:hAnsi="Times New Roman" w:cs="Times New Roman"/>
          <w:i w:val="0"/>
          <w:color w:val="auto"/>
          <w:sz w:val="22"/>
          <w:szCs w:val="22"/>
          <w:lang w:val="en-GB"/>
        </w:rPr>
      </w:pPr>
      <w:bookmarkStart w:id="4" w:name="_Hlk62561515"/>
      <w:r w:rsidRPr="00A21125">
        <w:rPr>
          <w:rFonts w:ascii="Times New Roman" w:hAnsi="Times New Roman" w:cs="Times New Roman"/>
          <w:b/>
          <w:i w:val="0"/>
          <w:color w:val="auto"/>
          <w:sz w:val="22"/>
          <w:szCs w:val="22"/>
          <w:lang w:val="en-GB"/>
        </w:rPr>
        <w:t xml:space="preserve">Supplementary Figure 4 - KASP individual genotyping allele frequency </w:t>
      </w:r>
      <w:bookmarkEnd w:id="4"/>
      <w:r w:rsidRPr="00A21125">
        <w:rPr>
          <w:rFonts w:ascii="Times New Roman" w:hAnsi="Times New Roman" w:cs="Times New Roman"/>
          <w:b/>
          <w:i w:val="0"/>
          <w:color w:val="auto"/>
          <w:sz w:val="22"/>
          <w:szCs w:val="22"/>
          <w:lang w:val="en-GB"/>
        </w:rPr>
        <w:t xml:space="preserve">results against the measured allele frequency in </w:t>
      </w:r>
      <w:r>
        <w:rPr>
          <w:rFonts w:ascii="Times New Roman" w:hAnsi="Times New Roman" w:cs="Times New Roman"/>
          <w:b/>
          <w:i w:val="0"/>
          <w:color w:val="auto"/>
          <w:sz w:val="22"/>
          <w:szCs w:val="22"/>
          <w:lang w:val="en-GB"/>
        </w:rPr>
        <w:t>P1</w:t>
      </w:r>
      <w:r w:rsidRPr="00A21125">
        <w:rPr>
          <w:rFonts w:ascii="Times New Roman" w:hAnsi="Times New Roman" w:cs="Times New Roman"/>
          <w:b/>
          <w:i w:val="0"/>
          <w:color w:val="auto"/>
          <w:sz w:val="22"/>
          <w:szCs w:val="22"/>
          <w:lang w:val="en-GB"/>
        </w:rPr>
        <w:t xml:space="preserve"> pool sample for the WGS data</w:t>
      </w:r>
      <w:r w:rsidRPr="00A21125">
        <w:rPr>
          <w:rFonts w:ascii="Times New Roman" w:hAnsi="Times New Roman" w:cs="Times New Roman"/>
          <w:i w:val="0"/>
          <w:color w:val="auto"/>
          <w:sz w:val="22"/>
          <w:szCs w:val="22"/>
          <w:lang w:val="en-GB"/>
        </w:rPr>
        <w:t xml:space="preserve">. The dashed line indicates the optimal match, where pool obtained values match the individual genotyping ideally. The read curve is a regression smooth curve using all points. The </w:t>
      </w:r>
      <w:proofErr w:type="spellStart"/>
      <w:r w:rsidRPr="00A21125">
        <w:rPr>
          <w:rFonts w:ascii="Times New Roman" w:hAnsi="Times New Roman" w:cs="Times New Roman"/>
          <w:i w:val="0"/>
          <w:color w:val="auto"/>
          <w:sz w:val="22"/>
          <w:szCs w:val="22"/>
          <w:lang w:val="en-GB"/>
        </w:rPr>
        <w:t>color</w:t>
      </w:r>
      <w:proofErr w:type="spellEnd"/>
      <w:r w:rsidRPr="00A21125">
        <w:rPr>
          <w:rFonts w:ascii="Times New Roman" w:hAnsi="Times New Roman" w:cs="Times New Roman"/>
          <w:i w:val="0"/>
          <w:color w:val="auto"/>
          <w:sz w:val="22"/>
          <w:szCs w:val="22"/>
          <w:lang w:val="en-GB"/>
        </w:rPr>
        <w:t xml:space="preserve"> of the points indicates the coverage per locus, which ranges from 1 to several thousand. Error bars highlight the entire margin of single SNP allele frequencies that contributed to the overall allele frequency of the haplotype. If no error bar is visible, there is only one SNP contribution information to the haplotype. </w:t>
      </w:r>
      <w:r w:rsidRPr="00A21125">
        <w:rPr>
          <w:rFonts w:ascii="Times New Roman" w:hAnsi="Times New Roman" w:cs="Times New Roman"/>
          <w:b/>
          <w:bCs/>
          <w:i w:val="0"/>
          <w:color w:val="auto"/>
          <w:sz w:val="22"/>
          <w:szCs w:val="22"/>
          <w:lang w:val="en-GB"/>
        </w:rPr>
        <w:t xml:space="preserve">A – </w:t>
      </w:r>
      <w:r w:rsidRPr="00A21125">
        <w:rPr>
          <w:rFonts w:ascii="Times New Roman" w:hAnsi="Times New Roman" w:cs="Times New Roman"/>
          <w:i w:val="0"/>
          <w:color w:val="auto"/>
          <w:sz w:val="22"/>
          <w:szCs w:val="22"/>
          <w:lang w:val="en-GB"/>
        </w:rPr>
        <w:t xml:space="preserve">the single SNP comparison. 10 SNP are detected to have the exact same position as the KASP markers. </w:t>
      </w:r>
      <w:r w:rsidRPr="00A21125">
        <w:rPr>
          <w:rFonts w:ascii="Times New Roman" w:hAnsi="Times New Roman" w:cs="Times New Roman"/>
          <w:b/>
          <w:bCs/>
          <w:i w:val="0"/>
          <w:color w:val="auto"/>
          <w:sz w:val="22"/>
          <w:szCs w:val="22"/>
          <w:lang w:val="en-GB"/>
        </w:rPr>
        <w:t>B –</w:t>
      </w:r>
      <w:r w:rsidRPr="00A21125">
        <w:rPr>
          <w:rFonts w:ascii="Times New Roman" w:hAnsi="Times New Roman" w:cs="Times New Roman"/>
          <w:i w:val="0"/>
          <w:color w:val="auto"/>
          <w:sz w:val="22"/>
          <w:szCs w:val="22"/>
          <w:lang w:val="en-GB"/>
        </w:rPr>
        <w:t xml:space="preserve"> the gene-based haplotype allele frequency compared to the individual genotyping. </w:t>
      </w:r>
      <w:r w:rsidRPr="00A21125">
        <w:rPr>
          <w:rFonts w:ascii="Times New Roman" w:hAnsi="Times New Roman" w:cs="Times New Roman"/>
          <w:b/>
          <w:bCs/>
          <w:i w:val="0"/>
          <w:color w:val="auto"/>
          <w:sz w:val="22"/>
          <w:szCs w:val="22"/>
          <w:lang w:val="en-GB"/>
        </w:rPr>
        <w:t xml:space="preserve">C – </w:t>
      </w:r>
      <w:r w:rsidRPr="00A21125">
        <w:rPr>
          <w:rFonts w:ascii="Times New Roman" w:hAnsi="Times New Roman" w:cs="Times New Roman"/>
          <w:i w:val="0"/>
          <w:color w:val="auto"/>
          <w:sz w:val="22"/>
          <w:szCs w:val="22"/>
          <w:lang w:val="en-GB"/>
        </w:rPr>
        <w:t xml:space="preserve">marker-based haplotype pool allele frequency comparison to true allele frequency. </w:t>
      </w:r>
      <w:r w:rsidRPr="00A21125">
        <w:rPr>
          <w:rFonts w:ascii="Times New Roman" w:hAnsi="Times New Roman" w:cs="Times New Roman"/>
          <w:b/>
          <w:bCs/>
          <w:i w:val="0"/>
          <w:color w:val="auto"/>
          <w:sz w:val="22"/>
          <w:szCs w:val="22"/>
          <w:lang w:val="en-GB"/>
        </w:rPr>
        <w:t xml:space="preserve">D – </w:t>
      </w:r>
      <w:r w:rsidRPr="00A21125">
        <w:rPr>
          <w:rFonts w:ascii="Times New Roman" w:hAnsi="Times New Roman" w:cs="Times New Roman"/>
          <w:i w:val="0"/>
          <w:color w:val="auto"/>
          <w:sz w:val="22"/>
          <w:szCs w:val="22"/>
          <w:lang w:val="en-GB"/>
        </w:rPr>
        <w:t>contig haplotype-based comparison to the individual genotyping. The pool sequenced sample contains the exact same 288 genotypes that have been tested individually for the 21 KASP loci. As two KASP marker</w:t>
      </w:r>
      <w:r>
        <w:rPr>
          <w:rFonts w:ascii="Times New Roman" w:hAnsi="Times New Roman" w:cs="Times New Roman"/>
          <w:i w:val="0"/>
          <w:color w:val="auto"/>
          <w:sz w:val="22"/>
          <w:szCs w:val="22"/>
          <w:lang w:val="en-GB"/>
        </w:rPr>
        <w:t>s</w:t>
      </w:r>
      <w:r w:rsidRPr="00A21125">
        <w:rPr>
          <w:rFonts w:ascii="Times New Roman" w:hAnsi="Times New Roman" w:cs="Times New Roman"/>
          <w:i w:val="0"/>
          <w:color w:val="auto"/>
          <w:sz w:val="22"/>
          <w:szCs w:val="22"/>
          <w:lang w:val="en-GB"/>
        </w:rPr>
        <w:t xml:space="preserve"> did not meet the quality threshold, they were omitted from the analysis.</w:t>
      </w:r>
      <w:bookmarkStart w:id="5" w:name="_Toc53041217"/>
      <w:bookmarkStart w:id="6" w:name="_Toc53041297"/>
      <w:bookmarkStart w:id="7" w:name="_Toc53041226"/>
      <w:bookmarkStart w:id="8" w:name="_Toc53041306"/>
      <w:bookmarkEnd w:id="5"/>
      <w:bookmarkEnd w:id="6"/>
      <w:bookmarkEnd w:id="7"/>
      <w:bookmarkEnd w:id="8"/>
    </w:p>
    <w:p w14:paraId="71111856" w14:textId="77777777" w:rsidR="00736383" w:rsidRPr="00A21125" w:rsidRDefault="00736383" w:rsidP="00736383">
      <w:pPr>
        <w:jc w:val="both"/>
        <w:rPr>
          <w:rFonts w:ascii="Times New Roman" w:hAnsi="Times New Roman" w:cs="Times New Roman"/>
          <w:lang w:val="en-GB"/>
        </w:rPr>
      </w:pPr>
    </w:p>
    <w:p w14:paraId="37DF9E4B"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noProof/>
          <w:lang w:val="de-DE" w:eastAsia="de-DE"/>
        </w:rPr>
        <w:lastRenderedPageBreak/>
        <w:drawing>
          <wp:inline distT="0" distB="0" distL="0" distR="0" wp14:anchorId="66538FE3" wp14:editId="2EC3F51F">
            <wp:extent cx="5760085" cy="3837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837940"/>
                    </a:xfrm>
                    <a:prstGeom prst="rect">
                      <a:avLst/>
                    </a:prstGeom>
                    <a:noFill/>
                    <a:ln>
                      <a:noFill/>
                    </a:ln>
                  </pic:spPr>
                </pic:pic>
              </a:graphicData>
            </a:graphic>
          </wp:inline>
        </w:drawing>
      </w:r>
    </w:p>
    <w:p w14:paraId="18C87140" w14:textId="77777777" w:rsidR="00736383" w:rsidRPr="00A21125" w:rsidRDefault="00736383" w:rsidP="00736383">
      <w:pPr>
        <w:jc w:val="both"/>
        <w:rPr>
          <w:rFonts w:ascii="Times New Roman" w:hAnsi="Times New Roman" w:cs="Times New Roman"/>
          <w:lang w:val="en-GB"/>
        </w:rPr>
        <w:sectPr w:rsidR="00736383" w:rsidRPr="00A21125" w:rsidSect="008A61A3">
          <w:pgSz w:w="11906" w:h="16838"/>
          <w:pgMar w:top="1417" w:right="1417" w:bottom="1134" w:left="1417" w:header="708" w:footer="708" w:gutter="0"/>
          <w:cols w:space="708"/>
          <w:docGrid w:linePitch="360"/>
        </w:sectPr>
      </w:pPr>
      <w:r w:rsidRPr="00A21125">
        <w:rPr>
          <w:rFonts w:ascii="Times New Roman" w:hAnsi="Times New Roman" w:cs="Times New Roman"/>
          <w:b/>
          <w:lang w:val="en-GB"/>
        </w:rPr>
        <w:t xml:space="preserve">Supplementary Figure </w:t>
      </w:r>
      <w:proofErr w:type="gramStart"/>
      <w:r w:rsidRPr="00A21125">
        <w:rPr>
          <w:rFonts w:ascii="Times New Roman" w:hAnsi="Times New Roman" w:cs="Times New Roman"/>
          <w:b/>
          <w:lang w:val="en-GB"/>
        </w:rPr>
        <w:t>5:</w:t>
      </w:r>
      <w:r w:rsidRPr="00A21125">
        <w:rPr>
          <w:rFonts w:ascii="Times New Roman" w:hAnsi="Times New Roman" w:cs="Times New Roman"/>
          <w:lang w:val="en-GB"/>
        </w:rPr>
        <w:t>Median</w:t>
      </w:r>
      <w:proofErr w:type="gramEnd"/>
      <w:r w:rsidRPr="00A21125">
        <w:rPr>
          <w:rFonts w:ascii="Times New Roman" w:hAnsi="Times New Roman" w:cs="Times New Roman"/>
          <w:lang w:val="en-GB"/>
        </w:rPr>
        <w:t xml:space="preserve"> haplotype allele frequency (HAF) difference of two neighbouring haplotypes (blue) and the share of haplotypes being highly different to their physical neighbours (&gt;5 times median, yellow). All tested pool genotyping approaches are illustrated with their replicates.</w:t>
      </w:r>
    </w:p>
    <w:p w14:paraId="5CAD5B19" w14:textId="77777777" w:rsidR="00736383" w:rsidRPr="00A21125" w:rsidRDefault="00736383" w:rsidP="00736383">
      <w:pPr>
        <w:pStyle w:val="Beschriftung"/>
        <w:spacing w:line="276" w:lineRule="auto"/>
        <w:jc w:val="both"/>
        <w:rPr>
          <w:rFonts w:ascii="Times New Roman" w:hAnsi="Times New Roman" w:cs="Times New Roman"/>
          <w:color w:val="auto"/>
          <w:sz w:val="22"/>
          <w:szCs w:val="22"/>
          <w:lang w:val="en-GB"/>
        </w:rPr>
      </w:pPr>
    </w:p>
    <w:p w14:paraId="018CA66D" w14:textId="77777777" w:rsidR="00736383" w:rsidRPr="00A21125" w:rsidRDefault="00736383" w:rsidP="00736383">
      <w:pPr>
        <w:jc w:val="both"/>
        <w:rPr>
          <w:rFonts w:ascii="Times New Roman" w:hAnsi="Times New Roman" w:cs="Times New Roman"/>
          <w:lang w:val="en-GB"/>
        </w:rPr>
      </w:pPr>
    </w:p>
    <w:p w14:paraId="0BD95CFF"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noProof/>
          <w:lang w:val="de-DE" w:eastAsia="de-DE"/>
        </w:rPr>
        <w:drawing>
          <wp:inline distT="0" distB="0" distL="0" distR="0" wp14:anchorId="2E9F7131" wp14:editId="35C630DB">
            <wp:extent cx="9069705" cy="43580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69705" cy="4358005"/>
                    </a:xfrm>
                    <a:prstGeom prst="rect">
                      <a:avLst/>
                    </a:prstGeom>
                    <a:noFill/>
                    <a:ln>
                      <a:noFill/>
                    </a:ln>
                  </pic:spPr>
                </pic:pic>
              </a:graphicData>
            </a:graphic>
          </wp:inline>
        </w:drawing>
      </w:r>
    </w:p>
    <w:p w14:paraId="2CD15B5C" w14:textId="77777777" w:rsidR="00736383" w:rsidRPr="00A21125" w:rsidRDefault="00736383" w:rsidP="00736383">
      <w:pPr>
        <w:jc w:val="both"/>
        <w:rPr>
          <w:rFonts w:ascii="Times New Roman" w:hAnsi="Times New Roman" w:cs="Times New Roman"/>
          <w:lang w:val="en-GB"/>
        </w:rPr>
        <w:sectPr w:rsidR="00736383" w:rsidRPr="00A21125" w:rsidSect="00FD587E">
          <w:pgSz w:w="16838" w:h="11906" w:orient="landscape"/>
          <w:pgMar w:top="1417" w:right="1417" w:bottom="1417" w:left="1134" w:header="708" w:footer="708" w:gutter="0"/>
          <w:cols w:space="708"/>
          <w:docGrid w:linePitch="360"/>
        </w:sectPr>
      </w:pPr>
      <w:bookmarkStart w:id="9" w:name="_Hlk62561694"/>
      <w:r w:rsidRPr="00A21125">
        <w:rPr>
          <w:rFonts w:ascii="Times New Roman" w:hAnsi="Times New Roman" w:cs="Times New Roman"/>
          <w:b/>
          <w:lang w:val="en-GB"/>
        </w:rPr>
        <w:t>Supplementary Figure 6 - Genome wide allele frequency on a physical map for gene-based haplotypes</w:t>
      </w:r>
      <w:bookmarkEnd w:id="9"/>
      <w:r w:rsidRPr="00A21125">
        <w:rPr>
          <w:rFonts w:ascii="Times New Roman" w:hAnsi="Times New Roman" w:cs="Times New Roman"/>
          <w:b/>
          <w:lang w:val="en-GB"/>
        </w:rPr>
        <w:t>.</w:t>
      </w:r>
      <w:r w:rsidRPr="00A21125">
        <w:rPr>
          <w:rFonts w:ascii="Times New Roman" w:hAnsi="Times New Roman" w:cs="Times New Roman"/>
          <w:lang w:val="en-GB"/>
        </w:rPr>
        <w:t xml:space="preserve"> The donor allele frequency is plotted in % (y-axis) against the genomic position (x-axis), split by chromosome and illustrated in base pairs. Each dot represents a gene haplotype and the </w:t>
      </w:r>
      <w:proofErr w:type="spellStart"/>
      <w:r w:rsidRPr="00A21125">
        <w:rPr>
          <w:rFonts w:ascii="Times New Roman" w:hAnsi="Times New Roman" w:cs="Times New Roman"/>
          <w:lang w:val="en-GB"/>
        </w:rPr>
        <w:t>color</w:t>
      </w:r>
      <w:proofErr w:type="spellEnd"/>
      <w:r w:rsidRPr="00A21125">
        <w:rPr>
          <w:rFonts w:ascii="Times New Roman" w:hAnsi="Times New Roman" w:cs="Times New Roman"/>
          <w:lang w:val="en-GB"/>
        </w:rPr>
        <w:t xml:space="preserve"> is related to the read coverage. The orange line indicates the expected allele frequency in the BC</w:t>
      </w:r>
      <w:r w:rsidRPr="00A21125">
        <w:rPr>
          <w:rFonts w:ascii="Times New Roman" w:hAnsi="Times New Roman" w:cs="Times New Roman"/>
          <w:vertAlign w:val="subscript"/>
          <w:lang w:val="en-GB"/>
        </w:rPr>
        <w:t>2</w:t>
      </w:r>
      <w:r w:rsidRPr="00A21125">
        <w:rPr>
          <w:rFonts w:ascii="Times New Roman" w:hAnsi="Times New Roman" w:cs="Times New Roman"/>
          <w:lang w:val="en-GB"/>
        </w:rPr>
        <w:t>F</w:t>
      </w:r>
      <w:r w:rsidRPr="00A21125">
        <w:rPr>
          <w:rFonts w:ascii="Times New Roman" w:hAnsi="Times New Roman" w:cs="Times New Roman"/>
          <w:vertAlign w:val="subscript"/>
          <w:lang w:val="en-GB"/>
        </w:rPr>
        <w:t>1</w:t>
      </w:r>
      <w:r w:rsidRPr="00A21125">
        <w:rPr>
          <w:rFonts w:ascii="Times New Roman" w:hAnsi="Times New Roman" w:cs="Times New Roman"/>
          <w:lang w:val="en-GB"/>
        </w:rPr>
        <w:t xml:space="preserve">. </w:t>
      </w:r>
      <w:r w:rsidRPr="00A21125">
        <w:rPr>
          <w:rFonts w:ascii="Times New Roman" w:hAnsi="Times New Roman" w:cs="Times New Roman"/>
          <w:b/>
          <w:lang w:val="en-GB"/>
        </w:rPr>
        <w:t>A</w:t>
      </w:r>
      <w:r w:rsidRPr="00A21125">
        <w:rPr>
          <w:rFonts w:ascii="Times New Roman" w:hAnsi="Times New Roman" w:cs="Times New Roman"/>
          <w:lang w:val="en-GB"/>
        </w:rPr>
        <w:t xml:space="preserve"> – MACE RNA sequencing output, </w:t>
      </w:r>
      <w:r w:rsidRPr="00A21125">
        <w:rPr>
          <w:rFonts w:ascii="Times New Roman" w:hAnsi="Times New Roman" w:cs="Times New Roman"/>
          <w:b/>
          <w:lang w:val="en-GB"/>
        </w:rPr>
        <w:t>B</w:t>
      </w:r>
      <w:r w:rsidRPr="00A21125">
        <w:rPr>
          <w:rFonts w:ascii="Times New Roman" w:hAnsi="Times New Roman" w:cs="Times New Roman"/>
          <w:lang w:val="en-GB"/>
        </w:rPr>
        <w:t xml:space="preserve"> – </w:t>
      </w:r>
      <w:proofErr w:type="spellStart"/>
      <w:r w:rsidRPr="00A21125">
        <w:rPr>
          <w:rFonts w:ascii="Times New Roman" w:hAnsi="Times New Roman" w:cs="Times New Roman"/>
          <w:lang w:val="en-GB"/>
        </w:rPr>
        <w:t>WGreS</w:t>
      </w:r>
      <w:proofErr w:type="spellEnd"/>
      <w:r w:rsidRPr="00A21125">
        <w:rPr>
          <w:rFonts w:ascii="Times New Roman" w:hAnsi="Times New Roman" w:cs="Times New Roman"/>
          <w:lang w:val="en-GB"/>
        </w:rPr>
        <w:t xml:space="preserve">, </w:t>
      </w:r>
      <w:r w:rsidRPr="00A21125">
        <w:rPr>
          <w:rFonts w:ascii="Times New Roman" w:hAnsi="Times New Roman" w:cs="Times New Roman"/>
          <w:b/>
          <w:lang w:val="en-GB"/>
        </w:rPr>
        <w:t>C</w:t>
      </w:r>
      <w:r w:rsidRPr="00A21125">
        <w:rPr>
          <w:rFonts w:ascii="Times New Roman" w:hAnsi="Times New Roman" w:cs="Times New Roman"/>
          <w:lang w:val="en-GB"/>
        </w:rPr>
        <w:t xml:space="preserve"> – GBS</w:t>
      </w:r>
      <w:r>
        <w:rPr>
          <w:rFonts w:ascii="Times New Roman" w:hAnsi="Times New Roman" w:cs="Times New Roman"/>
          <w:lang w:val="en-GB"/>
        </w:rPr>
        <w:t>. Values are the average across all replicates.</w:t>
      </w:r>
    </w:p>
    <w:p w14:paraId="76AAAAA7"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noProof/>
          <w:lang w:val="de-DE" w:eastAsia="de-DE"/>
        </w:rPr>
        <w:lastRenderedPageBreak/>
        <w:drawing>
          <wp:inline distT="0" distB="0" distL="0" distR="0" wp14:anchorId="0F4D030D" wp14:editId="187AB3C3">
            <wp:extent cx="5760085" cy="3837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837940"/>
                    </a:xfrm>
                    <a:prstGeom prst="rect">
                      <a:avLst/>
                    </a:prstGeom>
                    <a:noFill/>
                    <a:ln>
                      <a:noFill/>
                    </a:ln>
                  </pic:spPr>
                </pic:pic>
              </a:graphicData>
            </a:graphic>
          </wp:inline>
        </w:drawing>
      </w:r>
    </w:p>
    <w:p w14:paraId="0C61C324" w14:textId="77777777" w:rsidR="00736383" w:rsidRPr="00A21125" w:rsidRDefault="00736383" w:rsidP="00736383">
      <w:pPr>
        <w:jc w:val="both"/>
        <w:rPr>
          <w:rFonts w:ascii="Times New Roman" w:hAnsi="Times New Roman" w:cs="Times New Roman"/>
          <w:lang w:val="en-GB"/>
        </w:rPr>
      </w:pPr>
      <w:r w:rsidRPr="00A21125">
        <w:rPr>
          <w:rFonts w:ascii="Times New Roman" w:hAnsi="Times New Roman" w:cs="Times New Roman"/>
          <w:b/>
          <w:lang w:val="en-GB"/>
        </w:rPr>
        <w:t xml:space="preserve">Supplementary Figure 7: Donor allele frequency in the region of </w:t>
      </w:r>
      <w:r w:rsidRPr="00A21125">
        <w:rPr>
          <w:rFonts w:ascii="Times New Roman" w:hAnsi="Times New Roman" w:cs="Times New Roman"/>
          <w:b/>
          <w:i/>
          <w:lang w:val="en-GB"/>
        </w:rPr>
        <w:t>brt1</w:t>
      </w:r>
      <w:r w:rsidRPr="00A21125">
        <w:rPr>
          <w:rFonts w:ascii="Times New Roman" w:hAnsi="Times New Roman" w:cs="Times New Roman"/>
          <w:b/>
          <w:lang w:val="en-GB"/>
        </w:rPr>
        <w:t xml:space="preserve"> and </w:t>
      </w:r>
      <w:r w:rsidRPr="00A21125">
        <w:rPr>
          <w:rFonts w:ascii="Times New Roman" w:hAnsi="Times New Roman" w:cs="Times New Roman"/>
          <w:b/>
          <w:i/>
          <w:lang w:val="en-GB"/>
        </w:rPr>
        <w:t>brt2</w:t>
      </w:r>
      <w:r w:rsidRPr="00A21125">
        <w:rPr>
          <w:rFonts w:ascii="Times New Roman" w:hAnsi="Times New Roman" w:cs="Times New Roman"/>
          <w:b/>
          <w:lang w:val="en-GB"/>
        </w:rPr>
        <w:t xml:space="preserve"> brittleness genes.</w:t>
      </w:r>
      <w:r w:rsidRPr="00A21125">
        <w:rPr>
          <w:rFonts w:ascii="Times New Roman" w:hAnsi="Times New Roman" w:cs="Times New Roman"/>
          <w:lang w:val="en-GB"/>
        </w:rPr>
        <w:t xml:space="preserve"> The donor allele frequency is illustrated for each gene-based haplotype. The </w:t>
      </w:r>
      <w:proofErr w:type="spellStart"/>
      <w:r w:rsidRPr="00A21125">
        <w:rPr>
          <w:rFonts w:ascii="Times New Roman" w:hAnsi="Times New Roman" w:cs="Times New Roman"/>
          <w:lang w:val="en-GB"/>
        </w:rPr>
        <w:t>color</w:t>
      </w:r>
      <w:proofErr w:type="spellEnd"/>
      <w:r w:rsidRPr="00A21125">
        <w:rPr>
          <w:rFonts w:ascii="Times New Roman" w:hAnsi="Times New Roman" w:cs="Times New Roman"/>
          <w:lang w:val="en-GB"/>
        </w:rPr>
        <w:t xml:space="preserve"> illustrated the coverage per haplotype, while the shape separated the pool genotyping approaches. For each pool genotyping approach, all pools sequenced are illustrated. Phenotypic data of the population indicates unmeasurable levels of brittleness alleles in the population. All three pool genotyping approaches highlight similar observations on haplotype allele frequency levels.</w:t>
      </w:r>
    </w:p>
    <w:p w14:paraId="0F52337D" w14:textId="77777777" w:rsidR="00A2594F" w:rsidRDefault="00A2594F"/>
    <w:sectPr w:rsidR="00A2594F" w:rsidSect="004711E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xtTAwNDA3Nzc1MDRW0lEKTi0uzszPAykwrAUA30Q7VCwAAAA="/>
  </w:docVars>
  <w:rsids>
    <w:rsidRoot w:val="00736383"/>
    <w:rsid w:val="00193085"/>
    <w:rsid w:val="00680AEB"/>
    <w:rsid w:val="00736383"/>
    <w:rsid w:val="00A2594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C0D05"/>
  <w15:chartTrackingRefBased/>
  <w15:docId w15:val="{82BB2909-762C-4689-990A-A16B0AF0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6383"/>
  </w:style>
  <w:style w:type="paragraph" w:styleId="berschrift1">
    <w:name w:val="heading 1"/>
    <w:basedOn w:val="Standard"/>
    <w:next w:val="Standard"/>
    <w:link w:val="berschrift1Zchn"/>
    <w:uiPriority w:val="9"/>
    <w:qFormat/>
    <w:rsid w:val="007363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6383"/>
    <w:rPr>
      <w:rFonts w:asciiTheme="majorHAnsi" w:eastAsiaTheme="majorEastAsia" w:hAnsiTheme="majorHAnsi" w:cstheme="majorBidi"/>
      <w:color w:val="365F91" w:themeColor="accent1" w:themeShade="BF"/>
      <w:sz w:val="32"/>
      <w:szCs w:val="32"/>
    </w:rPr>
  </w:style>
  <w:style w:type="paragraph" w:styleId="Beschriftung">
    <w:name w:val="caption"/>
    <w:basedOn w:val="Standard"/>
    <w:next w:val="Standard"/>
    <w:unhideWhenUsed/>
    <w:qFormat/>
    <w:rsid w:val="00736383"/>
    <w:pPr>
      <w:spacing w:after="200" w:line="240" w:lineRule="auto"/>
    </w:pPr>
    <w:rPr>
      <w:i/>
      <w:iCs/>
      <w:color w:val="1F497D" w:themeColor="text2"/>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722</Words>
  <Characters>4552</Characters>
  <Application>Microsoft Office Word</Application>
  <DocSecurity>0</DocSecurity>
  <Lines>37</Lines>
  <Paragraphs>10</Paragraphs>
  <ScaleCrop>false</ScaleCrop>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Michael-Uni</dc:creator>
  <cp:keywords/>
  <dc:description/>
  <cp:lastModifiedBy>Jens Léon</cp:lastModifiedBy>
  <cp:revision>2</cp:revision>
  <dcterms:created xsi:type="dcterms:W3CDTF">2022-03-11T10:50:00Z</dcterms:created>
  <dcterms:modified xsi:type="dcterms:W3CDTF">2022-03-11T10:50:00Z</dcterms:modified>
</cp:coreProperties>
</file>