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991D" w14:textId="21231D8F" w:rsidR="00CE5C2F" w:rsidRPr="00653556" w:rsidRDefault="00CE5C2F" w:rsidP="00CE5C2F">
      <w:pPr>
        <w:pStyle w:val="Heading1"/>
        <w:spacing w:after="240" w:line="480" w:lineRule="auto"/>
      </w:pPr>
      <w:r>
        <w:t>Additional file 1</w:t>
      </w:r>
      <w:r w:rsidRPr="00653556">
        <w:t xml:space="preserve"> </w:t>
      </w:r>
    </w:p>
    <w:p w14:paraId="1B0E99CB" w14:textId="403A4219" w:rsidR="000F7158" w:rsidRPr="00B12480" w:rsidRDefault="00CE5C2F" w:rsidP="000F7158">
      <w:pPr>
        <w:rPr>
          <w:rFonts w:ascii="Times New Roman" w:hAnsi="Times New Roman" w:cs="Times New Roman"/>
          <w:sz w:val="20"/>
          <w:szCs w:val="20"/>
        </w:rPr>
      </w:pPr>
      <w:r w:rsidRPr="00B12480">
        <w:rPr>
          <w:rFonts w:ascii="Times New Roman" w:hAnsi="Times New Roman" w:cs="Times New Roman"/>
          <w:b/>
          <w:bCs/>
          <w:sz w:val="20"/>
          <w:szCs w:val="20"/>
        </w:rPr>
        <w:t>Table Additional file 1</w:t>
      </w:r>
      <w:r w:rsidRPr="00B12480">
        <w:rPr>
          <w:rFonts w:ascii="Times New Roman" w:hAnsi="Times New Roman" w:cs="Times New Roman"/>
          <w:sz w:val="20"/>
          <w:szCs w:val="20"/>
        </w:rPr>
        <w:t xml:space="preserve">: </w:t>
      </w:r>
      <w:r w:rsidR="00F81634" w:rsidRPr="00B12480">
        <w:rPr>
          <w:rFonts w:ascii="Times New Roman" w:hAnsi="Times New Roman" w:cs="Times New Roman"/>
          <w:sz w:val="20"/>
          <w:szCs w:val="20"/>
        </w:rPr>
        <w:t>Efficacy (m</w:t>
      </w:r>
      <w:r w:rsidR="006E227F">
        <w:rPr>
          <w:rFonts w:ascii="Times New Roman" w:hAnsi="Times New Roman" w:cs="Times New Roman"/>
          <w:sz w:val="20"/>
          <w:szCs w:val="20"/>
        </w:rPr>
        <w:t xml:space="preserve">edian </w:t>
      </w:r>
      <w:r w:rsidR="00F81634" w:rsidRPr="00B12480">
        <w:rPr>
          <w:rFonts w:ascii="Times New Roman" w:hAnsi="Times New Roman" w:cs="Times New Roman"/>
          <w:sz w:val="20"/>
          <w:szCs w:val="20"/>
        </w:rPr>
        <w:t xml:space="preserve">PFS </w:t>
      </w:r>
      <w:r w:rsidR="006E227F">
        <w:rPr>
          <w:rFonts w:ascii="Times New Roman" w:hAnsi="Times New Roman" w:cs="Times New Roman"/>
          <w:sz w:val="20"/>
          <w:szCs w:val="20"/>
        </w:rPr>
        <w:t xml:space="preserve">and median </w:t>
      </w:r>
      <w:r w:rsidR="00F81634" w:rsidRPr="00B12480">
        <w:rPr>
          <w:rFonts w:ascii="Times New Roman" w:hAnsi="Times New Roman" w:cs="Times New Roman"/>
          <w:sz w:val="20"/>
          <w:szCs w:val="20"/>
        </w:rPr>
        <w:t>OS) and costs associated with each first</w:t>
      </w:r>
      <w:r w:rsidR="006E227F">
        <w:rPr>
          <w:rFonts w:ascii="Times New Roman" w:hAnsi="Times New Roman" w:cs="Times New Roman"/>
          <w:sz w:val="20"/>
          <w:szCs w:val="20"/>
        </w:rPr>
        <w:t>-</w:t>
      </w:r>
      <w:r w:rsidR="00F81634" w:rsidRPr="00B12480">
        <w:rPr>
          <w:rFonts w:ascii="Times New Roman" w:hAnsi="Times New Roman" w:cs="Times New Roman"/>
          <w:sz w:val="20"/>
          <w:szCs w:val="20"/>
        </w:rPr>
        <w:t>line treatments</w:t>
      </w:r>
    </w:p>
    <w:tbl>
      <w:tblPr>
        <w:tblStyle w:val="TableGrid"/>
        <w:tblW w:w="12947" w:type="dxa"/>
        <w:tblLayout w:type="fixed"/>
        <w:tblLook w:val="04A0" w:firstRow="1" w:lastRow="0" w:firstColumn="1" w:lastColumn="0" w:noHBand="0" w:noVBand="1"/>
      </w:tblPr>
      <w:tblGrid>
        <w:gridCol w:w="1290"/>
        <w:gridCol w:w="3491"/>
        <w:gridCol w:w="976"/>
        <w:gridCol w:w="1610"/>
        <w:gridCol w:w="10"/>
        <w:gridCol w:w="881"/>
        <w:gridCol w:w="1494"/>
        <w:gridCol w:w="14"/>
        <w:gridCol w:w="3167"/>
        <w:gridCol w:w="14"/>
      </w:tblGrid>
      <w:tr w:rsidR="008E779E" w:rsidRPr="006E227F" w14:paraId="654F9858" w14:textId="77777777" w:rsidTr="008E779E">
        <w:trPr>
          <w:trHeight w:val="195"/>
        </w:trPr>
        <w:tc>
          <w:tcPr>
            <w:tcW w:w="1290" w:type="dxa"/>
            <w:vMerge w:val="restart"/>
            <w:vAlign w:val="center"/>
          </w:tcPr>
          <w:p w14:paraId="575094E5" w14:textId="77777777" w:rsidR="000F7158" w:rsidRPr="006E227F" w:rsidRDefault="000F7158" w:rsidP="00DB0064">
            <w:pPr>
              <w:spacing w:line="276" w:lineRule="auto"/>
              <w:jc w:val="center"/>
              <w:rPr>
                <w:rFonts w:ascii="Times New Roman" w:eastAsia="SimSun" w:hAnsi="Times New Roman" w:cs="Times New Roman"/>
                <w:b/>
                <w:bCs/>
                <w:sz w:val="20"/>
                <w:szCs w:val="20"/>
                <w:lang w:eastAsia="es-ES_tradnl"/>
              </w:rPr>
            </w:pPr>
          </w:p>
        </w:tc>
        <w:tc>
          <w:tcPr>
            <w:tcW w:w="3491" w:type="dxa"/>
            <w:vMerge w:val="restart"/>
            <w:vAlign w:val="center"/>
          </w:tcPr>
          <w:p w14:paraId="496CE8D0" w14:textId="77777777" w:rsidR="000F7158" w:rsidRPr="006E227F" w:rsidRDefault="000F7158" w:rsidP="00DB0064">
            <w:pPr>
              <w:spacing w:line="276" w:lineRule="auto"/>
              <w:jc w:val="center"/>
              <w:rPr>
                <w:rFonts w:ascii="Times New Roman" w:eastAsia="SimSun" w:hAnsi="Times New Roman" w:cs="Times New Roman"/>
                <w:b/>
                <w:bCs/>
                <w:sz w:val="20"/>
                <w:szCs w:val="20"/>
                <w:lang w:eastAsia="es-ES_tradnl"/>
              </w:rPr>
            </w:pPr>
            <w:r w:rsidRPr="006E227F">
              <w:rPr>
                <w:rFonts w:ascii="Times New Roman" w:eastAsia="SimSun" w:hAnsi="Times New Roman" w:cs="Times New Roman"/>
                <w:b/>
                <w:bCs/>
                <w:sz w:val="20"/>
                <w:szCs w:val="20"/>
                <w:lang w:eastAsia="es-ES_tradnl"/>
              </w:rPr>
              <w:t>Treatments</w:t>
            </w:r>
          </w:p>
        </w:tc>
        <w:tc>
          <w:tcPr>
            <w:tcW w:w="2596" w:type="dxa"/>
            <w:gridSpan w:val="3"/>
            <w:vAlign w:val="center"/>
          </w:tcPr>
          <w:p w14:paraId="722C424F" w14:textId="7AD91CAE" w:rsidR="000F7158" w:rsidRPr="006E227F" w:rsidRDefault="008E779E" w:rsidP="00DB0064">
            <w:pPr>
              <w:spacing w:line="276" w:lineRule="auto"/>
              <w:jc w:val="center"/>
              <w:rPr>
                <w:rFonts w:ascii="Times New Roman" w:eastAsia="SimSun" w:hAnsi="Times New Roman" w:cs="Times New Roman"/>
                <w:b/>
                <w:bCs/>
                <w:sz w:val="20"/>
                <w:szCs w:val="20"/>
                <w:lang w:eastAsia="es-ES_tradnl"/>
              </w:rPr>
            </w:pPr>
            <w:r>
              <w:rPr>
                <w:rFonts w:ascii="Times New Roman" w:eastAsia="SimSun" w:hAnsi="Times New Roman" w:cs="Times New Roman"/>
                <w:b/>
                <w:bCs/>
                <w:sz w:val="20"/>
                <w:szCs w:val="20"/>
                <w:lang w:eastAsia="es-ES_tradnl"/>
              </w:rPr>
              <w:t xml:space="preserve">Progression-free survival </w:t>
            </w:r>
          </w:p>
        </w:tc>
        <w:tc>
          <w:tcPr>
            <w:tcW w:w="2389" w:type="dxa"/>
            <w:gridSpan w:val="3"/>
            <w:vAlign w:val="center"/>
          </w:tcPr>
          <w:p w14:paraId="26F8CD3B" w14:textId="2046AA36" w:rsidR="000F7158" w:rsidRPr="006E227F" w:rsidRDefault="008E779E" w:rsidP="00DB0064">
            <w:pPr>
              <w:spacing w:line="276" w:lineRule="auto"/>
              <w:jc w:val="center"/>
              <w:rPr>
                <w:rFonts w:ascii="Times New Roman" w:eastAsia="SimSun" w:hAnsi="Times New Roman" w:cs="Times New Roman"/>
                <w:b/>
                <w:bCs/>
                <w:sz w:val="20"/>
                <w:szCs w:val="20"/>
                <w:lang w:eastAsia="es-ES_tradnl"/>
              </w:rPr>
            </w:pPr>
            <w:r>
              <w:rPr>
                <w:rFonts w:ascii="Times New Roman" w:eastAsia="SimSun" w:hAnsi="Times New Roman" w:cs="Times New Roman"/>
                <w:b/>
                <w:bCs/>
                <w:sz w:val="20"/>
                <w:szCs w:val="20"/>
                <w:lang w:eastAsia="es-ES_tradnl"/>
              </w:rPr>
              <w:t>Overall survival</w:t>
            </w:r>
          </w:p>
        </w:tc>
        <w:tc>
          <w:tcPr>
            <w:tcW w:w="3181" w:type="dxa"/>
            <w:gridSpan w:val="2"/>
            <w:vAlign w:val="center"/>
          </w:tcPr>
          <w:p w14:paraId="31E62614" w14:textId="5021357A" w:rsidR="000F7158" w:rsidRPr="006E227F" w:rsidRDefault="000F7158" w:rsidP="00DB0064">
            <w:pPr>
              <w:spacing w:line="276" w:lineRule="auto"/>
              <w:jc w:val="center"/>
              <w:rPr>
                <w:rFonts w:ascii="Times New Roman" w:eastAsia="SimSun" w:hAnsi="Times New Roman" w:cs="Times New Roman"/>
                <w:b/>
                <w:bCs/>
                <w:sz w:val="20"/>
                <w:szCs w:val="20"/>
                <w:lang w:eastAsia="es-ES_tradnl"/>
              </w:rPr>
            </w:pPr>
            <w:r w:rsidRPr="006E227F">
              <w:rPr>
                <w:rFonts w:ascii="Times New Roman" w:eastAsia="SimSun" w:hAnsi="Times New Roman" w:cs="Times New Roman"/>
                <w:b/>
                <w:bCs/>
                <w:sz w:val="20"/>
                <w:szCs w:val="20"/>
                <w:lang w:eastAsia="es-ES_tradnl"/>
              </w:rPr>
              <w:t>Cost/week (</w:t>
            </w:r>
            <w:proofErr w:type="gramStart"/>
            <w:r w:rsidRPr="006E227F">
              <w:rPr>
                <w:rFonts w:ascii="Times New Roman" w:eastAsia="SimSun" w:hAnsi="Times New Roman" w:cs="Times New Roman"/>
                <w:b/>
                <w:bCs/>
                <w:sz w:val="20"/>
                <w:szCs w:val="20"/>
                <w:lang w:eastAsia="es-ES_tradnl"/>
              </w:rPr>
              <w:t>€)</w:t>
            </w:r>
            <w:r w:rsidR="00CE5C2F" w:rsidRPr="006E227F">
              <w:rPr>
                <w:rFonts w:ascii="Times New Roman" w:hAnsi="Times New Roman" w:cs="Times New Roman"/>
                <w:i/>
                <w:iCs/>
                <w:sz w:val="20"/>
                <w:szCs w:val="20"/>
                <w:lang w:val="en-GB"/>
              </w:rPr>
              <w:t>‡</w:t>
            </w:r>
            <w:proofErr w:type="gramEnd"/>
          </w:p>
        </w:tc>
      </w:tr>
      <w:tr w:rsidR="008E779E" w:rsidRPr="006E227F" w14:paraId="601D1781" w14:textId="77777777" w:rsidTr="008E779E">
        <w:trPr>
          <w:gridAfter w:val="1"/>
          <w:wAfter w:w="14" w:type="dxa"/>
          <w:trHeight w:val="60"/>
        </w:trPr>
        <w:tc>
          <w:tcPr>
            <w:tcW w:w="1290" w:type="dxa"/>
            <w:vMerge/>
            <w:vAlign w:val="center"/>
            <w:hideMark/>
          </w:tcPr>
          <w:p w14:paraId="399441F5" w14:textId="77777777" w:rsidR="000F7158" w:rsidRPr="006E227F" w:rsidRDefault="000F7158" w:rsidP="00DB0064">
            <w:pPr>
              <w:spacing w:line="276" w:lineRule="auto"/>
              <w:jc w:val="both"/>
              <w:rPr>
                <w:rFonts w:ascii="Times New Roman" w:eastAsia="SimSun" w:hAnsi="Times New Roman" w:cs="Times New Roman"/>
                <w:bCs/>
                <w:sz w:val="20"/>
                <w:szCs w:val="20"/>
                <w:lang w:eastAsia="es-ES_tradnl"/>
              </w:rPr>
            </w:pPr>
          </w:p>
        </w:tc>
        <w:tc>
          <w:tcPr>
            <w:tcW w:w="3491" w:type="dxa"/>
            <w:vMerge/>
            <w:vAlign w:val="center"/>
            <w:hideMark/>
          </w:tcPr>
          <w:p w14:paraId="07B3339E"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
        </w:tc>
        <w:tc>
          <w:tcPr>
            <w:tcW w:w="976" w:type="dxa"/>
            <w:vAlign w:val="center"/>
            <w:hideMark/>
          </w:tcPr>
          <w:p w14:paraId="00CFDF30"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
                <w:bCs/>
                <w:sz w:val="20"/>
                <w:szCs w:val="20"/>
                <w:lang w:eastAsia="es-ES_tradnl"/>
              </w:rPr>
              <w:t>mPFS</w:t>
            </w:r>
            <w:proofErr w:type="spellEnd"/>
          </w:p>
        </w:tc>
        <w:tc>
          <w:tcPr>
            <w:tcW w:w="1610" w:type="dxa"/>
            <w:vAlign w:val="center"/>
            <w:hideMark/>
          </w:tcPr>
          <w:p w14:paraId="41B1DD0D" w14:textId="2BC1995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
                <w:bCs/>
                <w:sz w:val="20"/>
                <w:szCs w:val="20"/>
                <w:lang w:eastAsia="es-ES_tradnl"/>
              </w:rPr>
              <w:t>Referenc</w:t>
            </w:r>
            <w:r w:rsidR="00CC4D34">
              <w:rPr>
                <w:rFonts w:ascii="Times New Roman" w:eastAsia="SimSun" w:hAnsi="Times New Roman" w:cs="Times New Roman"/>
                <w:b/>
                <w:bCs/>
                <w:sz w:val="20"/>
                <w:szCs w:val="20"/>
                <w:lang w:eastAsia="es-ES_tradnl"/>
              </w:rPr>
              <w:t>e</w:t>
            </w:r>
          </w:p>
        </w:tc>
        <w:tc>
          <w:tcPr>
            <w:tcW w:w="891" w:type="dxa"/>
            <w:gridSpan w:val="2"/>
            <w:vAlign w:val="center"/>
            <w:hideMark/>
          </w:tcPr>
          <w:p w14:paraId="5F7A006E"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
                <w:bCs/>
                <w:sz w:val="20"/>
                <w:szCs w:val="20"/>
                <w:lang w:eastAsia="es-ES_tradnl"/>
              </w:rPr>
              <w:t>mOS</w:t>
            </w:r>
            <w:proofErr w:type="spellEnd"/>
          </w:p>
        </w:tc>
        <w:tc>
          <w:tcPr>
            <w:tcW w:w="1494" w:type="dxa"/>
            <w:vAlign w:val="center"/>
            <w:hideMark/>
          </w:tcPr>
          <w:p w14:paraId="666F76EB" w14:textId="1383D531"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
                <w:bCs/>
                <w:sz w:val="20"/>
                <w:szCs w:val="20"/>
                <w:lang w:eastAsia="es-ES_tradnl"/>
              </w:rPr>
              <w:t>Referenc</w:t>
            </w:r>
            <w:r w:rsidR="00CC4D34">
              <w:rPr>
                <w:rFonts w:ascii="Times New Roman" w:eastAsia="SimSun" w:hAnsi="Times New Roman" w:cs="Times New Roman"/>
                <w:b/>
                <w:bCs/>
                <w:sz w:val="20"/>
                <w:szCs w:val="20"/>
                <w:lang w:eastAsia="es-ES_tradnl"/>
              </w:rPr>
              <w:t>e</w:t>
            </w:r>
          </w:p>
        </w:tc>
        <w:tc>
          <w:tcPr>
            <w:tcW w:w="3181" w:type="dxa"/>
            <w:gridSpan w:val="2"/>
            <w:vAlign w:val="center"/>
          </w:tcPr>
          <w:p w14:paraId="5D31F1FB" w14:textId="77777777" w:rsidR="000F7158" w:rsidRPr="006E227F" w:rsidRDefault="000F7158" w:rsidP="00DB0064">
            <w:pPr>
              <w:spacing w:line="276" w:lineRule="auto"/>
              <w:jc w:val="center"/>
              <w:rPr>
                <w:rFonts w:ascii="Times New Roman" w:eastAsia="SimSun" w:hAnsi="Times New Roman" w:cs="Times New Roman"/>
                <w:b/>
                <w:bCs/>
                <w:sz w:val="20"/>
                <w:szCs w:val="20"/>
                <w:lang w:eastAsia="es-ES_tradnl"/>
              </w:rPr>
            </w:pPr>
          </w:p>
        </w:tc>
      </w:tr>
      <w:tr w:rsidR="008E779E" w:rsidRPr="006E227F" w14:paraId="1A4F4524" w14:textId="77777777" w:rsidTr="008E779E">
        <w:trPr>
          <w:gridAfter w:val="1"/>
          <w:wAfter w:w="14" w:type="dxa"/>
          <w:trHeight w:val="195"/>
        </w:trPr>
        <w:tc>
          <w:tcPr>
            <w:tcW w:w="1290" w:type="dxa"/>
            <w:vMerge w:val="restart"/>
            <w:vAlign w:val="center"/>
            <w:hideMark/>
          </w:tcPr>
          <w:p w14:paraId="571B8A3A"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ALK+</w:t>
            </w:r>
          </w:p>
        </w:tc>
        <w:tc>
          <w:tcPr>
            <w:tcW w:w="3491" w:type="dxa"/>
            <w:vAlign w:val="center"/>
            <w:hideMark/>
          </w:tcPr>
          <w:p w14:paraId="5692AF28"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Alectinib</w:t>
            </w:r>
          </w:p>
        </w:tc>
        <w:tc>
          <w:tcPr>
            <w:tcW w:w="976" w:type="dxa"/>
            <w:vAlign w:val="center"/>
            <w:hideMark/>
          </w:tcPr>
          <w:p w14:paraId="54567470" w14:textId="5A657623"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34</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8</w:t>
            </w:r>
          </w:p>
        </w:tc>
        <w:tc>
          <w:tcPr>
            <w:tcW w:w="1610" w:type="dxa"/>
            <w:vAlign w:val="center"/>
            <w:hideMark/>
          </w:tcPr>
          <w:p w14:paraId="13BDBD8A" w14:textId="0F888D1C"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{"citationItems":[{"id":"ITEM-1","itemData":{"DOI":"10.1016/j.annonc.2020.04.478","ISSN":"1569-8041 (Electronic)","PMID":"32418886","abstract":"BACKGROUND: The ALEX study demonstrated significantly improved progression-free  survival (PFS) with alectinib versus crizotinib in treatment-naive ALK-positive non-small-cell lung cancer (NSCLC) at the primary data cut-off (9 February 2017). We report mature PFS (cut-off: 30 November 2018) and overall survival (OS) data up to 5 years (cut-off: 29 November 2019). PATIENTS AND METHODS: Patients with stage III/IV ALK-positive NSCLC were randomized to receive twice-daily alectinib 600 mg (n = 152) or crizotinib 250 mg (n = 151) until disease progression, toxicity, withdrawal or death. Primary end point: investigator-assessed PFS. Secondary end points included objective response rate, OS and safety. RESULTS: Mature PFS data showed significantly prolonged investigator-assessed PFS with alectinib [hazard ratio (HR) 0.43, 95% confidence interval (CI) 0.32-0.58; median PFS 34.8 versus 10.9 months crizotinib]. Median duration of OS follow-up: 48.2 months alectinib, 23.3 months crizotinib. OS data remain immature (37% of events). Median OS was not reached with alectinib versus 57.4 months with crizotinib (stratified HR 0.67, 95% CI 0.46-0.98). The 5-year OS rate was 62.5% (95% CI 54.3-70.8) with alectinib and 45.5% (95% CI 33.6-57.4) with crizotinib, with 34.9% and 8.6% of patients still on study treatment, respectively. The OS benefit of alectinib was seen in patients with central nervous system metastases at baseline [HR 0.58 (95% CI 0.34-1.00)] and those without [HR 0.76 (95% CI 0.45-1.26)]. Median treatment duration was longer with alectinib (28.1 versus 10.8 months), and no new safety signals were observed. CONCLUSIONS: Mature PFS data from ALEX confirmed significant improvement in PFS for alectinib over crizotinib in ALK-positive NSCLC. OS data remain immature, with a higher 5-year OS rate with alectinib versus crizotinib. This is the first global randomized study to show clinically meaningful improvement in OS for a next-generation tyrosine kinase inhibitor versus crizotinib in treatment-naive ALK-positive NSCLC. CLINICAL TRIALS NUMBER: NCT02075840.","author":[{"dropping-particle":"","family":"Mok","given":"T","non-dropping-particle":"","parse-names":false,"suffix":""},{"dropping-particle":"","family":"Camidge","given":"D R","non-dropping-particle":"","parse-names":false,"suffix":""},{"dropping-particle":"","family":"Gadgeel","given":"S M","non-dropping-particle":"","parse-names":false,"suffix":""},{"dropping-particle":"","family":"Rosell","given":"R","non-dropping-particle":"","parse-names":false,"suffix":""},{"dropping-particle":"","family":"Dziadziuszko","given":"R","non-dropping-particle":"","parse-names":false,"suffix":""},{"dropping-particle":"","family":"Kim","given":"D-W","non-dropping-particle":"","parse-names":false,"suffix":""},{"dropping-particle":"","family":"Pérol","given":"M","non-dropping-particle":"","parse-names":false,"suffix":""},{"dropping-particle":"","family":"Ou","given":"S-H I","non-dropping-particle":"","parse-names":false,"suffix":""},{"dropping-particle":"","family":"Ahn","given":"J S","non-dropping-particle":"","parse-names":false,"suffix":""},{"dropping-particle":"","family":"Shaw","given":"A T","non-dropping-particle":"","parse-names":false,"suffix":""},{"dropping-particle":"","family":"Bordogna","given":"W","non-dropping-particle":"","parse-names":false,"suffix":""},{"dropping-particle":"","family":"Smoljanović","given":"V","non-dropping-particle":"","parse-names":false,"suffix":""},{"dropping-particle":"","family":"Hilton","given":"M","non-dropping-particle":"","parse-names":false,"suffix":""},{"dropping-particle":"","family":"Ruf","given":"T","non-dropping-particle":"","parse-names":false,"suffix":""},{"dropping-particle":"","family":"Noé","given":"J","non-dropping-particle":"","parse-names":false,"suffix":""},{"dropping-particle":"","family":"Peters","given":"S","non-dropping-particle":"","parse-names":false,"suffix":""}],"container-title":"Annals of oncology : official journal of the European Society for Medical Oncology","id":"ITEM-1","issue":"8","issued":{"date-parts":[["2020","8"]]},"language":"eng","page":"1056-1064","publisher-place":"England","title":"Updated overall survival and final progression-free survival data for patients with  treatment-naive advanced ALK-positive non-small-cell lung cancer in the ALEX study.","type":"article-journal","volume":"31"},"uris":["http://www.mendeley.com/documents/?uuid=c050268d-cecc-43e5-a31b-0e9be9b28b1e"]}],"mendeley":{"formattedCitation":"(30)","plainTextFormattedCitation":"(30)","previouslyFormattedCitation":"(30)"},"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(30)</w:t>
            </w:r>
            <w:r w:rsidRPr="006E227F">
              <w:rPr>
                <w:rFonts w:ascii="Times New Roman" w:hAnsi="Times New Roman" w:cs="Times New Roman"/>
                <w:sz w:val="20"/>
                <w:szCs w:val="20"/>
              </w:rPr>
              <w:fldChar w:fldCharType="end"/>
            </w:r>
          </w:p>
        </w:tc>
        <w:tc>
          <w:tcPr>
            <w:tcW w:w="891" w:type="dxa"/>
            <w:gridSpan w:val="2"/>
            <w:vAlign w:val="center"/>
            <w:hideMark/>
          </w:tcPr>
          <w:p w14:paraId="711D0A3B" w14:textId="096AF9A1" w:rsidR="000F7158" w:rsidRPr="006E227F" w:rsidRDefault="0075391E" w:rsidP="00DB0064">
            <w:pPr>
              <w:spacing w:line="276" w:lineRule="auto"/>
              <w:jc w:val="center"/>
              <w:rPr>
                <w:rFonts w:ascii="Times New Roman" w:eastAsia="SimSun" w:hAnsi="Times New Roman" w:cs="Times New Roman"/>
                <w:bCs/>
                <w:sz w:val="20"/>
                <w:szCs w:val="20"/>
                <w:lang w:eastAsia="es-ES_tradnl"/>
              </w:rPr>
            </w:pPr>
            <w:proofErr w:type="spellStart"/>
            <w:proofErr w:type="gramStart"/>
            <w:r w:rsidRPr="006E227F">
              <w:rPr>
                <w:rFonts w:ascii="Times New Roman" w:eastAsia="SimSun" w:hAnsi="Times New Roman" w:cs="Times New Roman"/>
                <w:bCs/>
                <w:sz w:val="20"/>
                <w:szCs w:val="20"/>
                <w:lang w:eastAsia="es-ES_tradnl"/>
              </w:rPr>
              <w:t>n.r</w:t>
            </w:r>
            <w:proofErr w:type="spellEnd"/>
            <w:proofErr w:type="gramEnd"/>
          </w:p>
        </w:tc>
        <w:tc>
          <w:tcPr>
            <w:tcW w:w="1494" w:type="dxa"/>
            <w:vAlign w:val="center"/>
            <w:hideMark/>
          </w:tcPr>
          <w:p w14:paraId="021E74FF" w14:textId="22C42418"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Data on file</w:t>
            </w:r>
          </w:p>
        </w:tc>
        <w:tc>
          <w:tcPr>
            <w:tcW w:w="3181" w:type="dxa"/>
            <w:gridSpan w:val="2"/>
            <w:vAlign w:val="center"/>
          </w:tcPr>
          <w:p w14:paraId="657AFBFA" w14:textId="7AD7FFF6"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1.298 </w:t>
            </w:r>
          </w:p>
        </w:tc>
      </w:tr>
      <w:tr w:rsidR="008E779E" w:rsidRPr="006E227F" w14:paraId="7DC23664" w14:textId="77777777" w:rsidTr="008E779E">
        <w:trPr>
          <w:gridAfter w:val="1"/>
          <w:wAfter w:w="14" w:type="dxa"/>
          <w:trHeight w:val="203"/>
        </w:trPr>
        <w:tc>
          <w:tcPr>
            <w:tcW w:w="1290" w:type="dxa"/>
            <w:vMerge/>
            <w:vAlign w:val="center"/>
            <w:hideMark/>
          </w:tcPr>
          <w:p w14:paraId="36F1081B"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57D0D165"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Crizotinib</w:t>
            </w:r>
          </w:p>
        </w:tc>
        <w:tc>
          <w:tcPr>
            <w:tcW w:w="976" w:type="dxa"/>
            <w:vAlign w:val="center"/>
            <w:hideMark/>
          </w:tcPr>
          <w:p w14:paraId="00FDE484" w14:textId="4B837554"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10</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9</w:t>
            </w:r>
          </w:p>
        </w:tc>
        <w:tc>
          <w:tcPr>
            <w:tcW w:w="1610" w:type="dxa"/>
            <w:vAlign w:val="center"/>
            <w:hideMark/>
          </w:tcPr>
          <w:p w14:paraId="273440BF" w14:textId="6CC026FB"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{"citationItems":[{"id":"ITEM-1","itemData":{"DOI":"10.1016/j.annonc.2020.04.478","ISSN":"1569-8041 (Electronic)","PMID":"32418886","abstract":"BACKGROUND: The ALEX study demonstrated significantly improved progression-free  survival (PFS) with alectinib versus crizotinib in treatment-naive ALK-positive non-small-cell lung cancer (NSCLC) at the primary data cut-off (9 February 2017). We report mature PFS (cut-off: 30 November 2018) and overall survival (OS) data up to 5 years (cut-off: 29 November 2019). PATIENTS AND METHODS: Patients with stage III/IV ALK-positive NSCLC were randomized to receive twice-daily alectinib 600 mg (n = 152) or crizotinib 250 mg (n = 151) until disease progression, toxicity, withdrawal or death. Primary end point: investigator-assessed PFS. Secondary end points included objective response rate, OS and safety. RESULTS: Mature PFS data showed significantly prolonged investigator-assessed PFS with alectinib [hazard ratio (HR) 0.43, 95% confidence interval (CI) 0.32-0.58; median PFS 34.8 versus 10.9 months crizotinib]. Median duration of OS follow-up: 48.2 months alectinib, 23.3 months crizotinib. OS data remain immature (37% of events). Median OS was not reached with alectinib versus 57.4 months with crizotinib (stratified HR 0.67, 95% CI 0.46-0.98). The 5-year OS rate was 62.5% (95% CI 54.3-70.8) with alectinib and 45.5% (95% CI 33.6-57.4) with crizotinib, with 34.9% and 8.6% of patients still on study treatment, respectively. The OS benefit of alectinib was seen in patients with central nervous system metastases at baseline [HR 0.58 (95% CI 0.34-1.00)] and those without [HR 0.76 (95% CI 0.45-1.26)]. Median treatment duration was longer with alectinib (28.1 versus 10.8 months), and no new safety signals were observed. CONCLUSIONS: Mature PFS data from ALEX confirmed significant improvement in PFS for alectinib over crizotinib in ALK-positive NSCLC. OS data remain immature, with a higher 5-year OS rate with alectinib versus crizotinib. This is the first global randomized study to show clinically meaningful improvement in OS for a next-generation tyrosine kinase inhibitor versus crizotinib in treatment-naive ALK-positive NSCLC. CLINICAL TRIALS NUMBER: NCT02075840.","author":[{"dropping-particle":"","family":"Mok","given":"T","non-dropping-particle":"","parse-names":false,"suffix":""},{"dropping-particle":"","family":"Camidge","given":"D R","non-dropping-particle":"","parse-names":false,"suffix":""},{"dropping-particle":"","family":"Gadgeel","given":"S M","non-dropping-particle":"","parse-names":false,"suffix":""},{"dropping-particle":"","family":"Rosell","given":"R","non-dropping-particle":"","parse-names":false,"suffix":""},{"dropping-particle":"","family":"Dziadziuszko","given":"R","non-dropping-particle":"","parse-names":false,"suffix":""},{"dropping-particle":"","family":"Kim","given":"D-W","non-dropping-particle":"","parse-names":false,"suffix":""},{"dropping-particle":"","family":"Pérol","given":"M","non-dropping-particle":"","parse-names":false,"suffix":""},{"dropping-particle":"","family":"Ou","given":"S-H I","non-dropping-particle":"","parse-names":false,"suffix":""},{"dropping-particle":"","family":"Ahn","given":"J S","non-dropping-particle":"","parse-names":false,"suffix":""},{"dropping-particle":"","family":"Shaw","given":"A T","non-dropping-particle":"","parse-names":false,"suffix":""},{"dropping-particle":"","family":"Bordogna","given":"W","non-dropping-particle":"","parse-names":false,"suffix":""},{"dropping-particle":"","family":"Smoljanović","given":"V","non-dropping-particle":"","parse-names":false,"suffix":""},{"dropping-particle":"","family":"Hilton","given":"M","non-dropping-particle":"","parse-names":false,"suffix":""},{"dropping-particle":"","family":"Ruf","given":"T","non-dropping-particle":"","parse-names":false,"suffix":""},{"dropping-particle":"","family":"Noé","given":"J","non-dropping-particle":"","parse-names":false,"suffix":""},{"dropping-particle":"","family":"Peters","given":"S","non-dropping-particle":"","parse-names":false,"suffix":""}],"container-title":"Annals of oncology : official journal of the European Society for Medical Oncology","id":"ITEM-1","issue":"8","issued":{"date-parts":[["2020","8"]]},"language":"eng","page":"1056-1064","publisher-place":"England","title":"Updated overall survival and final progression-free survival data for patients with  treatment-naive advanced ALK-positive non-small-cell lung cancer in the ALEX study.","type":"article-journal","volume":"31"},"uris":["http://www.mendeley.com/documents/?uuid=c050268d-cecc-43e5-a31b-0e9be9b28b1e"]}],"mendeley":{"formattedCitation":"(30)","plainTextFormattedCitation":"(30)","previouslyFormattedCitation":"(30)"},"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(30)</w:t>
            </w:r>
            <w:r w:rsidRPr="006E227F">
              <w:rPr>
                <w:rFonts w:ascii="Times New Roman" w:hAnsi="Times New Roman" w:cs="Times New Roman"/>
                <w:sz w:val="20"/>
                <w:szCs w:val="20"/>
              </w:rPr>
              <w:fldChar w:fldCharType="end"/>
            </w:r>
          </w:p>
        </w:tc>
        <w:tc>
          <w:tcPr>
            <w:tcW w:w="891" w:type="dxa"/>
            <w:gridSpan w:val="2"/>
            <w:vAlign w:val="center"/>
            <w:hideMark/>
          </w:tcPr>
          <w:p w14:paraId="1AA499FC" w14:textId="4B4C3512"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57</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4</w:t>
            </w:r>
          </w:p>
        </w:tc>
        <w:tc>
          <w:tcPr>
            <w:tcW w:w="1494" w:type="dxa"/>
            <w:vAlign w:val="center"/>
            <w:hideMark/>
          </w:tcPr>
          <w:p w14:paraId="37B4192C" w14:textId="692AD9D0"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{"citationItems":[{"id":"ITEM-1","itemData":{"DOI":"10.1016/j.annonc.2020.04.478","ISSN":"1569-8041 (Electronic)","PMID":"32418886","abstract":"BACKGROUND: The ALEX study demonstrated significantly improved progression-free  survival (PFS) with alectinib versus crizotinib in treatment-naive ALK-positive non-small-cell lung cancer (NSCLC) at the primary data cut-off (9 February 2017). We report mature PFS (cut-off: 30 November 2018) and overall survival (OS) data up to 5 years (cut-off: 29 November 2019). PATIENTS AND METHODS: Patients with stage III/IV ALK-positive NSCLC were randomized to receive twice-daily alectinib 600 mg (n = 152) or crizotinib 250 mg (n = 151) until disease progression, toxicity, withdrawal or death. Primary end point: investigator-assessed PFS. Secondary end points included objective response rate, OS and safety. RESULTS: Mature PFS data showed significantly prolonged investigator-assessed PFS with alectinib [hazard ratio (HR) 0.43, 95% confidence interval (CI) 0.32-0.58; median PFS 34.8 versus 10.9 months crizotinib]. Median duration of OS follow-up: 48.2 months alectinib, 23.3 months crizotinib. OS data remain immature (37% of events). Median OS was not reached with alectinib versus 57.4 months with crizotinib (stratified HR 0.67, 95% CI 0.46-0.98). The 5-year OS rate was 62.5% (95% CI 54.3-70.8) with alectinib and 45.5% (95% CI 33.6-57.4) with crizotinib, with 34.9% and 8.6% of patients still on study treatment, respectively. The OS benefit of alectinib was seen in patients with central nervous system metastases at baseline [HR 0.58 (95% CI 0.34-1.00)] and those without [HR 0.76 (95% CI 0.45-1.26)]. Median treatment duration was longer with alectinib (28.1 versus 10.8 months), and no new safety signals were observed. CONCLUSIONS: Mature PFS data from ALEX confirmed significant improvement in PFS for alectinib over crizotinib in ALK-positive NSCLC. OS data remain immature, with a higher 5-year OS rate with alectinib versus crizotinib. This is the first global randomized study to show clinically meaningful improvement in OS for a next-generation tyrosine kinase inhibitor versus crizotinib in treatment-naive ALK-positive NSCLC. CLINICAL TRIALS NUMBER: NCT02075840.","author":[{"dropping-particle":"","family":"Mok","given":"T","non-dropping-particle":"","parse-names":false,"suffix":""},{"dropping-particle":"","family":"Camidge","given":"D R","non-dropping-particle":"","parse-names":false,"suffix":""},{"dropping-particle":"","family":"Gadgeel","given":"S M","non-dropping-particle":"","parse-names":false,"suffix":""},{"dropping-particle":"","family":"Rosell","given":"R","non-dropping-particle":"","parse-names":false,"suffix":""},{"dropping-particle":"","family":"Dziadziuszko","given":"R","non-dropping-particle":"","parse-names":false,"suffix":""},{"dropping-particle":"","family":"Kim","given":"D-W","non-dropping-particle":"","parse-names":false,"suffix":""},{"dropping-particle":"","family":"Pérol","given":"M","non-dropping-particle":"","parse-names":false,"suffix":""},{"dropping-particle":"","family":"Ou","given":"S-H I","non-dropping-particle":"","parse-names":false,"suffix":""},{"dropping-particle":"","family":"Ahn","given":"J S","non-dropping-particle":"","parse-names":false,"suffix":""},{"dropping-particle":"","family":"Shaw","given":"A T","non-dropping-particle":"","parse-names":false,"suffix":""},{"dropping-particle":"","family":"Bordogna","given":"W","non-dropping-particle":"","parse-names":false,"suffix":""},{"dropping-particle":"","family":"Smoljanović","given":"V","non-dropping-particle":"","parse-names":false,"suffix":""},{"dropping-particle":"","family":"Hilton","given":"M","non-dropping-particle":"","parse-names":false,"suffix":""},{"dropping-particle":"","family":"Ruf","given":"T","non-dropping-particle":"","parse-names":false,"suffix":""},{"dropping-particle":"","family":"Noé","given":"J","non-dropping-particle":"","parse-names":false,"suffix":""},{"dropping-particle":"","family":"Peters","given":"S","non-dropping-particle":"","parse-names":false,"suffix":""}],"container-title":"Annals of oncology : official journal of the European Society for Medical Oncology","id":"ITEM-1","issue":"8","issued":{"date-parts":[["2020","8"]]},"language":"eng","page":"1056-1064","publisher-place":"England","title":"Updated overall survival and final progression-free survival data for patients with  treatment-naive advanced ALK-positive non-small-cell lung cancer in the ALEX study.","type":"article-journal","volume":"31"},"uris":["http://www.mendeley.com/documents/?uuid=c050268d-cecc-43e5-a31b-0e9be9b28b1e"]}],"mendeley":{"formattedCitation":"(30)","plainTextFormattedCitation":"(30)","previouslyFormattedCitation":"(30)"},"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(30)</w:t>
            </w:r>
            <w:r w:rsidRPr="006E227F">
              <w:rPr>
                <w:rFonts w:ascii="Times New Roman" w:hAnsi="Times New Roman" w:cs="Times New Roman"/>
                <w:sz w:val="20"/>
                <w:szCs w:val="20"/>
              </w:rPr>
              <w:fldChar w:fldCharType="end"/>
            </w:r>
          </w:p>
        </w:tc>
        <w:tc>
          <w:tcPr>
            <w:tcW w:w="3181" w:type="dxa"/>
            <w:gridSpan w:val="2"/>
            <w:vAlign w:val="center"/>
          </w:tcPr>
          <w:p w14:paraId="13368D28" w14:textId="46583BA5"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1.129 </w:t>
            </w:r>
          </w:p>
        </w:tc>
      </w:tr>
      <w:tr w:rsidR="008E779E" w:rsidRPr="006E227F" w14:paraId="649BD458" w14:textId="77777777" w:rsidTr="008E779E">
        <w:trPr>
          <w:gridAfter w:val="1"/>
          <w:wAfter w:w="14" w:type="dxa"/>
          <w:trHeight w:val="195"/>
        </w:trPr>
        <w:tc>
          <w:tcPr>
            <w:tcW w:w="1290" w:type="dxa"/>
            <w:vMerge w:val="restart"/>
            <w:vAlign w:val="center"/>
            <w:hideMark/>
          </w:tcPr>
          <w:p w14:paraId="49D7B35E"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EGFR+</w:t>
            </w:r>
          </w:p>
        </w:tc>
        <w:tc>
          <w:tcPr>
            <w:tcW w:w="3491" w:type="dxa"/>
            <w:vAlign w:val="center"/>
            <w:hideMark/>
          </w:tcPr>
          <w:p w14:paraId="7308F9E8" w14:textId="6A0E6700"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Erlotinib</w:t>
            </w:r>
          </w:p>
        </w:tc>
        <w:tc>
          <w:tcPr>
            <w:tcW w:w="976" w:type="dxa"/>
            <w:vAlign w:val="center"/>
            <w:hideMark/>
          </w:tcPr>
          <w:p w14:paraId="3A68348A" w14:textId="41F505DA"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7</w:t>
            </w:r>
          </w:p>
        </w:tc>
        <w:tc>
          <w:tcPr>
            <w:tcW w:w="1610" w:type="dxa"/>
            <w:vAlign w:val="center"/>
            <w:hideMark/>
          </w:tcPr>
          <w:p w14:paraId="4AB46454" w14:textId="01CB2EA8"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891" w:type="dxa"/>
            <w:gridSpan w:val="2"/>
            <w:vAlign w:val="center"/>
            <w:hideMark/>
          </w:tcPr>
          <w:p w14:paraId="0579CE53" w14:textId="5DA98065"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31</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8</w:t>
            </w:r>
          </w:p>
        </w:tc>
        <w:tc>
          <w:tcPr>
            <w:tcW w:w="1494" w:type="dxa"/>
            <w:vAlign w:val="center"/>
            <w:hideMark/>
          </w:tcPr>
          <w:p w14:paraId="2CECF788" w14:textId="437E1907"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3181" w:type="dxa"/>
            <w:gridSpan w:val="2"/>
            <w:vAlign w:val="center"/>
          </w:tcPr>
          <w:p w14:paraId="19E0EAC9" w14:textId="137F937D"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275 </w:t>
            </w:r>
          </w:p>
        </w:tc>
      </w:tr>
      <w:tr w:rsidR="008E779E" w:rsidRPr="006E227F" w14:paraId="3FC3C4B3" w14:textId="77777777" w:rsidTr="008E779E">
        <w:trPr>
          <w:gridAfter w:val="1"/>
          <w:wAfter w:w="14" w:type="dxa"/>
          <w:trHeight w:val="195"/>
        </w:trPr>
        <w:tc>
          <w:tcPr>
            <w:tcW w:w="1290" w:type="dxa"/>
            <w:vMerge/>
            <w:vAlign w:val="center"/>
            <w:hideMark/>
          </w:tcPr>
          <w:p w14:paraId="492E1E11"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094453D0" w14:textId="53F9CB4A"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Gefitinib</w:t>
            </w:r>
          </w:p>
        </w:tc>
        <w:tc>
          <w:tcPr>
            <w:tcW w:w="976" w:type="dxa"/>
            <w:vAlign w:val="center"/>
            <w:hideMark/>
          </w:tcPr>
          <w:p w14:paraId="1D4FF9AD" w14:textId="2049DFDB"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7</w:t>
            </w:r>
          </w:p>
        </w:tc>
        <w:tc>
          <w:tcPr>
            <w:tcW w:w="1610" w:type="dxa"/>
            <w:vAlign w:val="center"/>
            <w:hideMark/>
          </w:tcPr>
          <w:p w14:paraId="202A34A5" w14:textId="2C632F6C"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891" w:type="dxa"/>
            <w:gridSpan w:val="2"/>
            <w:vAlign w:val="center"/>
            <w:hideMark/>
          </w:tcPr>
          <w:p w14:paraId="0E326CC5" w14:textId="7CB9E611"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31</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8</w:t>
            </w:r>
          </w:p>
        </w:tc>
        <w:tc>
          <w:tcPr>
            <w:tcW w:w="1494" w:type="dxa"/>
            <w:vAlign w:val="center"/>
            <w:hideMark/>
          </w:tcPr>
          <w:p w14:paraId="3F837857" w14:textId="44EA0CC7"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3181" w:type="dxa"/>
            <w:gridSpan w:val="2"/>
            <w:vAlign w:val="center"/>
          </w:tcPr>
          <w:p w14:paraId="31AC72FB" w14:textId="36E82065"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286 </w:t>
            </w:r>
          </w:p>
        </w:tc>
      </w:tr>
      <w:tr w:rsidR="008E779E" w:rsidRPr="006E227F" w14:paraId="4D4F59D2" w14:textId="77777777" w:rsidTr="008E779E">
        <w:trPr>
          <w:gridAfter w:val="1"/>
          <w:wAfter w:w="14" w:type="dxa"/>
          <w:trHeight w:val="195"/>
        </w:trPr>
        <w:tc>
          <w:tcPr>
            <w:tcW w:w="1290" w:type="dxa"/>
            <w:vMerge/>
            <w:vAlign w:val="center"/>
            <w:hideMark/>
          </w:tcPr>
          <w:p w14:paraId="545DE5BC"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31434DEA" w14:textId="3B57FE72"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Afatinib</w:t>
            </w:r>
          </w:p>
        </w:tc>
        <w:tc>
          <w:tcPr>
            <w:tcW w:w="976" w:type="dxa"/>
            <w:vAlign w:val="center"/>
            <w:hideMark/>
          </w:tcPr>
          <w:p w14:paraId="7E10E411" w14:textId="022F8AB4"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7</w:t>
            </w:r>
          </w:p>
        </w:tc>
        <w:tc>
          <w:tcPr>
            <w:tcW w:w="1610" w:type="dxa"/>
            <w:vAlign w:val="center"/>
          </w:tcPr>
          <w:p w14:paraId="690A6D1D" w14:textId="1B6A88E3" w:rsidR="000F7158" w:rsidRPr="006E227F" w:rsidRDefault="0075391E"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Assumption*</w:t>
            </w:r>
          </w:p>
        </w:tc>
        <w:tc>
          <w:tcPr>
            <w:tcW w:w="891" w:type="dxa"/>
            <w:gridSpan w:val="2"/>
            <w:vAlign w:val="center"/>
            <w:hideMark/>
          </w:tcPr>
          <w:p w14:paraId="5008E500" w14:textId="6F758CC8"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31</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8</w:t>
            </w:r>
          </w:p>
        </w:tc>
        <w:tc>
          <w:tcPr>
            <w:tcW w:w="1494" w:type="dxa"/>
            <w:vAlign w:val="center"/>
            <w:hideMark/>
          </w:tcPr>
          <w:p w14:paraId="00460752" w14:textId="428F3706"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3181" w:type="dxa"/>
            <w:gridSpan w:val="2"/>
            <w:vAlign w:val="center"/>
          </w:tcPr>
          <w:p w14:paraId="199391DC" w14:textId="07A8199C"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441 </w:t>
            </w:r>
          </w:p>
        </w:tc>
      </w:tr>
      <w:tr w:rsidR="008E779E" w:rsidRPr="006E227F" w14:paraId="12521D93" w14:textId="77777777" w:rsidTr="008E779E">
        <w:trPr>
          <w:gridAfter w:val="1"/>
          <w:wAfter w:w="14" w:type="dxa"/>
          <w:trHeight w:val="195"/>
        </w:trPr>
        <w:tc>
          <w:tcPr>
            <w:tcW w:w="1290" w:type="dxa"/>
            <w:vMerge/>
            <w:vAlign w:val="center"/>
            <w:hideMark/>
          </w:tcPr>
          <w:p w14:paraId="7835BEA2"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40DF4E1A"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Osimertinib</w:t>
            </w:r>
          </w:p>
        </w:tc>
        <w:tc>
          <w:tcPr>
            <w:tcW w:w="976" w:type="dxa"/>
            <w:vAlign w:val="center"/>
            <w:hideMark/>
          </w:tcPr>
          <w:p w14:paraId="51C42205" w14:textId="56EB2999"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17</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7</w:t>
            </w:r>
          </w:p>
        </w:tc>
        <w:tc>
          <w:tcPr>
            <w:tcW w:w="1610" w:type="dxa"/>
            <w:vAlign w:val="center"/>
            <w:hideMark/>
          </w:tcPr>
          <w:p w14:paraId="6C5A0D34" w14:textId="7AD40CA9"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891" w:type="dxa"/>
            <w:gridSpan w:val="2"/>
            <w:vAlign w:val="center"/>
            <w:hideMark/>
          </w:tcPr>
          <w:p w14:paraId="55B9799A" w14:textId="784B550F"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38</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6</w:t>
            </w:r>
          </w:p>
        </w:tc>
        <w:tc>
          <w:tcPr>
            <w:tcW w:w="1494" w:type="dxa"/>
            <w:vAlign w:val="center"/>
            <w:hideMark/>
          </w:tcPr>
          <w:p w14:paraId="477AF092" w14:textId="1E345C07" w:rsidR="000F7158" w:rsidRPr="006E227F" w:rsidRDefault="00F81634"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{"citationItems":[{"id":"ITEM-1","itemData":{"DOI":"10.1056/NEJMoa1713137","ISSN":"1533-4406 (Electronic)","PMID":"29151359","abstract":"BACKGROUND: Osimertinib is an oral, third-generation, irreversible epidermal growth  factor receptor tyrosine kinase inhibitor (EGFR-TKI) that selectively inhibits both EGFR-TKI-sensitizing and EGFR T790M resistance mutations. We compared osimertinib with standard EGFR-TKIs in patients with previously untreated, EGFR mutation-positive advanced non-small-cell lung cancer (NSCLC). METHODS: In this double-blind, phase 3 trial, we randomly assigned 556 patients with previously untreated, EGFR mutation-positive (exon 19 deletion or L858R) advanced NSCLC in a 1:1 ratio to receive either osimertinib (at a dose of 80 mg once daily) or a standard EGFR-TKI (gefitinib at a dose of 250 mg once daily or erlotinib at a dose of 150 mg once daily). The primary end point was investigator-assessed progression-free survival. RESULTS: The median progression-free survival was significantly longer with osimertinib than with standard EGFR-TKIs (18.9 months vs. 10.2 months; hazard ratio for disease progression or death, 0.46; 95% confidence interval [CI], 0.37 to 0.57; P&lt;0.001). The objective response rate was similar in the two groups: 80% with osimertinib and 76% with standard EGFR-TKIs (odds ratio, 1.27; 95% CI, 0.85 to 1.90; P=0.24). The median duration of response was 17.2 months (95% CI, 13.8 to 22.0) with osimertinib versus 8.5 months (95% CI, 7.3 to 9.8) with standard EGFR-TKIs. Data on overall survival were immature at the interim analysis (25% maturity). The survival rate at 18 months was 83% (95% CI, 78 to 87) with osimertinib and 71% (95% CI, 65 to 76) with standard EGFR-TKIs (hazard ratio for death, 0.63; 95% CI, 0.45 to 0.88; P=0.007 [nonsignificant in the interim analysis]). Adverse events of grade 3 or higher were less frequent with osimertinib than with standard EGFR-TKIs (34% vs. 45%). CONCLUSIONS: Osimertinib showed efficacy superior to that of standard EGFR-TKIs in the first-line treatment of EGFR mutation-positive advanced NSCLC, with a similar safety profile and lower rates of serious adverse events. (Funded by AstraZeneca; FLAURA ClinicalTrials.gov number, NCT02296125 .).","author":[{"dropping-particle":"","family":"Soria","given":"Jean-Charles","non-dropping-particle":"","parse-names":false,"suffix":""},{"dropping-particle":"","family":"Ohe","given":"Yuichiro","non-dropping-particle":"","parse-names":false,"suffix":""},{"dropping-particle":"","family":"Vansteenkiste","given":"Johan","non-dropping-particle":"","parse-names":false,"suffix":""},{"dropping-particle":"","family":"Reungwetwattana","given":"Thanyanan","non-dropping-particle":"","parse-names":false,"suffix":""},{"dropping-particle":"","family":"Chewaskulyong","given":"Busyamas","non-dropping-particle":"","parse-names":false,"suffix":""},{"dropping-particle":"","family":"Lee","given":"Ki Hyeong","non-dropping-particle":"","parse-names":false,"suffix":""},{"dropping-particle":"","family":"Dechaphunkul","given":"Arunee","non-dropping-particle":"","parse-names":false,"suffix":""},{"dropping-particle":"","family":"Imamura","given":"Fumio","non-dropping-particle":"","parse-names":false,"suffix":""},{"dropping-particle":"","family":"Nogami","given":"Naoyuki","non-dropping-particle":"","parse-names":false,"suffix":""},{"dropping-particle":"","family":"Kurata","given":"Takayasu","non-dropping-particle":"","parse-names":false,"suffix":""},{"dropping-particle":"","family":"Okamoto","given":"Isamu","non-dropping-particle":"","parse-names":false,"suffix":""},{"dropping-particle":"","family":"Zhou","given":"Caicun","non-dropping-particle":"","parse-names":false,"suffix":""},{"dropping-particle":"","family":"Cho","given":"Byoung Chul","non-dropping-particle":"","parse-names":false,"suffix":""},{"dropping-particle":"","family":"Cheng","given":"Ying","non-dropping-particle":"","parse-names":false,"suffix":""},{"dropping-particle":"","family":"Cho","given":"Eun Kyung","non-dropping-particle":"","parse-names":false,"suffix":""},{"dropping-particle":"","family":"Voon","given":"Pei Jye","non-dropping-particle":"","parse-names":false,"suffix":""},{"dropping-particle":"","family":"Planchard","given":"David","non-dropping-particle":"","parse-names":false,"suffix":""},{"dropping-particle":"","family":"Su","given":"Wu-Chou","non-dropping-particle":"","parse-names":false,"suffix":""},{"dropping-particle":"","family":"Gray","given":"Jhanelle E","non-dropping-particle":"","parse-names":false,"suffix":""},{"dropping-particle":"","family":"Lee","given":"Siow-Ming","non-dropping-particle":"","parse-names":false,"suffix":""},{"dropping-particle":"","family":"Hodge","given":"Rachel","non-dropping-particle":"","parse-names":false,"suffix":""},{"dropping-particle":"","family":"Marotti","given":"Marcelo","non-dropping-particle":"","parse-names":false,"suffix":""},{"dropping-particle":"","family":"Rukazenkov","given":"Yuri","non-dropping-particle":"","parse-names":false,"suffix":""},{"dropping-particle":"","family":"Ramalingam","given":"Suresh S","non-dropping-particle":"","parse-names":false,"suffix":""}],"container-title":"The New England journal of medicine","id":"ITEM-1","issue":"2","issued":{"date-parts":[["2018","1"]]},"language":"eng","page":"113-125","publisher-place":"United States","title":"Osimertinib in Untreated EGFR-Mutated Advanced Non-Small-Cell Lung Cancer.","type":"article-journal","volume":"378"},"uris":["http://www.mendeley.com/documents/?uuid=bc9d23c0-bb3c-4edd-ab89-52552fd032ec"]},{"id":"ITEM-2","itemData":{"DOI":"10.1056/NEJMoa1913662","ISSN":"1533-4406 (Electronic)","PMID":"31751012","abstract":"BACKGROUND: Osimertinib is a third-generation, irreversible tyrosine kinase  inhibitor of the epidermal growth factor receptor (EGFR-TKI) that selectively inhibits both EGFR-TKI-sensitizing and EGFR T790M resistance mutations. A phase 3 trial compared first-line osimertinib with other EGFR-TKIs in patients with EGFR mutation-positive advanced non-small-cell lung cancer (NSCLC). The trial showed longer progression-free survival with osimertinib than with the comparator EGFR-TKIs (hazard ratio for disease progression or death, 0.46). Data from the final analysis of overall survival have not been reported. METHODS: In this trial, we randomly assigned 556 patients with previously untreated advanced NSCLC with an EGFR mutation (exon 19 deletion or L858R allele) in a 1:1 ratio to receive either osimertinib (80 mg once daily) or one of two other EGFR-TKIs (gefitinib at a dose of 250 mg once daily or erlotinib at a dose of 150 mg once daily, with patients receiving these drugs combined in a single comparator group). Overall survival was a secondary end point. RESULTS: The median overall survival was 38.6 months (95% confidence interval [CI], 34.5 to 41.8) in the osimertinib group and 31.8 months (95% CI, 26.6 to 36.0) in the comparator group (hazard ratio for death, 0.80; 95.05% CI, 0.64 to 1.00; P = 0.046). At 3 years, 79 of 279 patients (28%) in the osimertinib group and 26 of 277 (9%) in the comparator group were continuing to receive a trial regimen; the median exposure was 20.7 months and 11.5 months, respectively. Adverse events of grade 3 or higher were reported in 42% of the patients in the osimertinib group and in 47% of those in the comparator group. CONCLUSIONS: Among patients with previously untreated advanced NSCLC with an EGFR mutation, those who received osimertinib had longer overall survival than those who received a comparator EGFR-TKI. The safety profile for osimertinib was similar to that of the comparator EGFR-TKIs, despite a longer duration of exposure in the osimertinib group. (Funded by AstraZeneca; FLAURA ClinicalTrials.gov number, NCT02296125.).","author":[{"dropping-particle":"","family":"Ramalingam","given":"Suresh S","non-dropping-particle":"","parse-names":false,"suffix":""},{"dropping-particle":"","family":"Vansteenkiste","given":"Johan","non-dropping-particle":"","parse-names":false,"suffix":""},{"dropping-particle":"","family":"Planchard","given":"David","non-dropping-particle":"","parse-names":false,"suffix":""},{"dropping-particle":"","family":"Cho","given":"Byoung Chul","non-dropping-particle":"","parse-names":false,"suffix":""},{"dropping-particle":"","family":"Gray","given":"Jhanelle E","non-dropping-particle":"","parse-names":false,"suffix":""},{"dropping-particle":"","family":"Ohe","given":"Yuichiro","non-dropping-particle":"","parse-names":false,"suffix":""},{"dropping-particle":"","family":"Zhou","given":"Caicun","non-dropping-particle":"","parse-names":false,"suffix":""},{"dropping-particle":"","family":"Reungwetwattana","given":"Thanyanan","non-dropping-particle":"","parse-names":false,"suffix":""},{"dropping-particle":"","family":"Cheng","given":"Ying","non-dropping-particle":"","parse-names":false,"suffix":""},{"dropping-particle":"","family":"Chewaskulyong","given":"Busyamas","non-dropping-particle":"","parse-names":false,"suffix":""},{"dropping-particle":"","family":"Shah","given":"Riyaz","non-dropping-particle":"","parse-names":false,"suffix":""},{"dropping-particle":"","family":"Cobo","given":"Manuel","non-dropping-particle":"","parse-names":false,"suffix":""},{"dropping-particle":"","family":"Lee","given":"Ki Hyeong","non-dropping-particle":"","parse-names":false,"suffix":""},{"dropping-particle":"","family":"Cheema","given":"Parneet","non-dropping-particle":"","parse-names":false,"suffix":""},{"dropping-particle":"","family":"Tiseo","given":"Marcello","non-dropping-particle":"","parse-names":false,"suffix":""},{"dropping-particle":"","family":"John","given":"Thomas","non-dropping-particle":"","parse-names":false,"suffix":""},{"dropping-particle":"","family":"Lin","given":"Meng-Chih","non-dropping-particle":"","parse-names":false,"suffix":""},{"dropping-particle":"","family":"Imamura","given":"Fumio","non-dropping-particle":"","parse-names":false,"suffix":""},{"dropping-particle":"","family":"Kurata","given":"Takayasu","non-dropping-particle":"","parse-names":false,"suffix":""},{"dropping-particle":"","family":"Todd","given":"Alexander","non-dropping-particle":"","parse-names":false,"suffix":""},{"dropping-particle":"","family":"Hodge","given":"Rachel","non-dropping-particle":"","parse-names":false,"suffix":""},{"dropping-particle":"","family":"Saggese","given":"Matilde","non-dropping-particle":"","parse-names":false,"suffix":""},{"dropping-particle":"","family":"Rukazenkov","given":"Yuri","non-dropping-particle":"","parse-names":false,"suffix":""},{"dropping-particle":"","family":"Soria","given":"Jean-Charles","non-dropping-particle":"","parse-names":false,"suffix":""}],"container-title":"The New England journal of medicine","id":"ITEM-2","issue":"1","issued":{"date-parts":[["2020","1"]]},"language":"eng","page":"41-50","publisher-place":"United States","title":"Overall Survival with Osimertinib in Untreated, EGFR-Mutated Advanced NSCLC.","type":"article-journal","volume":"382"},"uris":["http://www.mendeley.com/documents/?uuid=5e3595f0-b39d-4278-b4c6-32de580e68a3"]}],"mendeley":{"formattedCitation":"(31,32)","plainTextFormattedCitation":"(31,32)","previouslyFormattedCitation":"(31,32)"},"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(31,32)</w:t>
            </w:r>
            <w:r w:rsidRPr="006E227F">
              <w:rPr>
                <w:rFonts w:ascii="Times New Roman" w:hAnsi="Times New Roman" w:cs="Times New Roman"/>
                <w:sz w:val="20"/>
                <w:szCs w:val="20"/>
              </w:rPr>
              <w:fldChar w:fldCharType="end"/>
            </w:r>
          </w:p>
        </w:tc>
        <w:tc>
          <w:tcPr>
            <w:tcW w:w="3181" w:type="dxa"/>
            <w:gridSpan w:val="2"/>
            <w:vAlign w:val="center"/>
          </w:tcPr>
          <w:p w14:paraId="526BF2E5" w14:textId="76FD7138"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1.309 </w:t>
            </w:r>
          </w:p>
        </w:tc>
      </w:tr>
      <w:tr w:rsidR="008E779E" w:rsidRPr="006E227F" w14:paraId="13D4609D" w14:textId="77777777" w:rsidTr="008E779E">
        <w:trPr>
          <w:gridAfter w:val="1"/>
          <w:wAfter w:w="14" w:type="dxa"/>
          <w:trHeight w:val="195"/>
        </w:trPr>
        <w:tc>
          <w:tcPr>
            <w:tcW w:w="1290" w:type="dxa"/>
            <w:vMerge/>
            <w:vAlign w:val="center"/>
          </w:tcPr>
          <w:p w14:paraId="734556D5"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p>
        </w:tc>
        <w:tc>
          <w:tcPr>
            <w:tcW w:w="3491" w:type="dxa"/>
            <w:vAlign w:val="center"/>
          </w:tcPr>
          <w:p w14:paraId="46211FB1"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Dacomitinib</w:t>
            </w:r>
          </w:p>
        </w:tc>
        <w:tc>
          <w:tcPr>
            <w:tcW w:w="976" w:type="dxa"/>
            <w:vAlign w:val="center"/>
          </w:tcPr>
          <w:p w14:paraId="7FC99BF1" w14:textId="73ED65EE"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14</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7</w:t>
            </w:r>
          </w:p>
        </w:tc>
        <w:tc>
          <w:tcPr>
            <w:tcW w:w="1610" w:type="dxa"/>
            <w:vAlign w:val="center"/>
          </w:tcPr>
          <w:p w14:paraId="74707A2A" w14:textId="7E0411A1" w:rsidR="000F7158" w:rsidRPr="006E227F" w:rsidRDefault="00CE5C2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{"citationItems":[{"id":"ITEM-1","itemData":{"DOI":"10.1016/S1470-2045(17)30608-3","ISSN":"1474-5488 (Electronic)","PMID":"28958502","abstract":"BACKGROUND: Dacomitinib is a second-generation, irreversible EGFR tyrosine kinase  inhibitor. We compared its efficacy and safety with that of the reversible EGFR tyrosine kinase inhibitor gefitinib in the first-line treatment of patients with advanced EGFR-mutation-positive non-small-cell lung cancer (NSCLC). METHODS: In this international, multicentre, randomised, open-label, phase 3 study (ARCHER 1050), we enrolled adults (aged ≥18 years or ≥20 years in Japan and South Korea) with newly diagnosed advanced NSCLC and one EGFR mutation (exon 19 deletion or Leu858Arg) at 71 academic medical centres and university hospitals in seven countries or special administrative regions. We randomly assigned participants (1:1) to receive oral dacomitinib 45 mg/day (in 28-day cycles) or oral gefitinib 250 mg/day (in 28-day cycles) until disease progression or another discontinuation criterion was met. Randomisation, stratified by race and EGFR mutation type, was done with a computer-generated random code assigned by a central interactive web response system. The primary endpoint was progression-free survival assessed by masked independent review in the intention-to-treat population. Safety was assessed in all patients who received at least one dose of study treatment. This study is registered with ClinicalTrials.gov, number NCT01774721, and is ongoing but no longer recruiting patients. FINDINGS: Between May 9, 2013, and March 20, 2015, 452 eligible patients were randomly assigned to receive dacomitinib (n=227) or gefitinib (n=225). Median duration of follow-up for progression-free survival was 22·1 months (95% CI 20·3-23·9). Median progression-free survival according to masked independent review was 14·7 months (95% CI 11·1-16·6) in the dacomitinib group and 9·2 months (9·1-11·0) in the gefitinib group (hazard ratio 0·59, 95% CI 0·47-0·74; p&lt;0·0001). The most common grade 3-4 adverse events were dermatitis acneiform (31 [14%] of 227 patients given dacomitinib vs none of 224 patients given gefitinib), diarrhoea (19 [8%] vs two [1%]), and raised alanine aminotransferase levels (two [1%] vs 19 [8%]). Treatment-related serious adverse events were reported in 21 (9%) patients given dacomitinib and in ten (4%) patients given gefitinib. Two treatment-related deaths occurred in the dacomitinib group (one related to untreated diarrhoea and one to untreated cholelithases/liver disease) and one in the gefitinib group (related to sigmoid colon diverticulitis/rupture complicated …","author":[{"dropping-particle":"","family":"Wu","given":"Yi-Long","non-dropping-particle":"","parse-names":false,"suffix":""},{"dropping-particle":"","family":"Cheng","given":"Ying","non-dropping-particle":"","parse-names":false,"suffix":""},{"dropping-particle":"","family":"Zhou","given":"Xiangdong","non-dropping-particle":"","parse-names":false,"suffix":""},{"dropping-particle":"","family":"Lee","given":"Ki Hyeong","non-dropping-particle":"","parse-names":false,"suffix":""},{"dropping-particle":"","family":"Nakagawa","given":"Kazuhiko","non-dropping-particle":"","parse-names":false,"suffix":""},{"dropping-particle":"","family":"Niho","given":"Seiji","non-dropping-particle":"","parse-names":false,"suffix":""},{"dropping-particle":"","family":"Tsuji","given":"Fumito","non-dropping-particle":"","parse-names":false,"suffix":""},{"dropping-particle":"","family":"Linke","given":"Rolf","non-dropping-particle":"","parse-names":false,"suffix":""},{"dropping-particle":"","family":"Rosell","given":"Rafael","non-dropping-particle":"","parse-names":false,"suffix":""},{"dropping-particle":"","family":"Corral","given":"Jesus","non-dropping-particle":"","parse-names":false,"suffix":""},{"dropping-particle":"","family":"Migliorino","given":"Maria Rita","non-dropping-particle":"","parse-names":false,"suffix":""},{"dropping-particle":"","family":"Pluzanski","given":"Adam","non-dropping-particle":"","parse-names":false,"suffix":""},{"dropping-particle":"","family":"Sbar","given":"Eric I","non-dropping-particle":"","parse-names":false,"suffix":""},{"dropping-particle":"","family":"Wang","given":"Tao","non-dropping-particle":"","parse-names":false,"suffix":""},{"dropping-particle":"","family":"White","given":"Jane Liang","non-dropping-particle":"","parse-names":false,"suffix":""},{"dropping-particle":"","family":"Nadanaciva","given":"Sashi","non-dropping-particle":"","parse-names":false,"suffix":""},{"dropping-particle":"","family":"Sandin","given":"Rickard","non-dropping-particle":"","parse-names":false,"suffix":""},{"dropping-particle":"","family":"Mok","given":"Tony S","non-dropping-particle":"","parse-names":false,"suffix":""}],"container-title":"The Lancet. Oncology","id":"ITEM-1","issue":"11","issued":{"date-parts":[["2017","11"]]},"language":"eng","page":"1454-1466","publisher-place":"England","title":"Dacomitinib versus gefitinib as first-line treatment for patients with  EGFR-mutation-positive non-small-cell lung cancer (ARCHER 1050): a randomised, open-label, phase 3 trial.","type":"article-journal","volume":"18"},"uris":["http://www.mendeley.com/documents/?uuid=3a58f903-a324-4fad-9117-c985cabfdef6"]}],"mendeley":{"formattedCitation":"(33)","plainTextFormattedCitation":"(33)","previouslyFormattedCitation":"(33)"},"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(33)</w:t>
            </w:r>
            <w:r w:rsidRPr="006E227F">
              <w:rPr>
                <w:rFonts w:ascii="Times New Roman" w:hAnsi="Times New Roman" w:cs="Times New Roman"/>
                <w:sz w:val="20"/>
                <w:szCs w:val="20"/>
              </w:rPr>
              <w:fldChar w:fldCharType="end"/>
            </w:r>
          </w:p>
        </w:tc>
        <w:tc>
          <w:tcPr>
            <w:tcW w:w="891" w:type="dxa"/>
            <w:gridSpan w:val="2"/>
            <w:vAlign w:val="center"/>
          </w:tcPr>
          <w:p w14:paraId="1A0B82CA" w14:textId="30FE1916"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34</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10</w:t>
            </w:r>
          </w:p>
        </w:tc>
        <w:tc>
          <w:tcPr>
            <w:tcW w:w="1494" w:type="dxa"/>
            <w:vAlign w:val="center"/>
          </w:tcPr>
          <w:p w14:paraId="46A537A7" w14:textId="313A6FE8" w:rsidR="000F7158" w:rsidRPr="006E227F" w:rsidRDefault="00CE5C2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{"citationItems":[{"id":"ITEM-1","itemData":{"DOI":"10.1016/S1470-2045(17)30608-3","ISSN":"1474-5488 (Electronic)","PMID":"28958502","abstract":"BACKGROUND: Dacomitinib is a second-generation, irreversible EGFR tyrosine kinase  inhibitor. We compared its efficacy and safety with that of the reversible EGFR tyrosine kinase inhibitor gefitinib in the first-line treatment of patients with advanced EGFR-mutation-positive non-small-cell lung cancer (NSCLC). METHODS: In this international, multicentre, randomised, open-label, phase 3 study (ARCHER 1050), we enrolled adults (aged ≥18 years or ≥20 years in Japan and South Korea) with newly diagnosed advanced NSCLC and one EGFR mutation (exon 19 deletion or Leu858Arg) at 71 academic medical centres and university hospitals in seven countries or special administrative regions. We randomly assigned participants (1:1) to receive oral dacomitinib 45 mg/day (in 28-day cycles) or oral gefitinib 250 mg/day (in 28-day cycles) until disease progression or another discontinuation criterion was met. Randomisation, stratified by race and EGFR mutation type, was done with a computer-generated random code assigned by a central interactive web response system. The primary endpoint was progression-free survival assessed by masked independent review in the intention-to-treat population. Safety was assessed in all patients who received at least one dose of study treatment. This study is registered with ClinicalTrials.gov, number NCT01774721, and is ongoing but no longer recruiting patients. FINDINGS: Between May 9, 2013, and March 20, 2015, 452 eligible patients were randomly assigned to receive dacomitinib (n=227) or gefitinib (n=225). Median duration of follow-up for progression-free survival was 22·1 months (95% CI 20·3-23·9). Median progression-free survival according to masked independent review was 14·7 months (95% CI 11·1-16·6) in the dacomitinib group and 9·2 months (9·1-11·0) in the gefitinib group (hazard ratio 0·59, 95% CI 0·47-0·74; p&lt;0·0001). The most common grade 3-4 adverse events were dermatitis acneiform (31 [14%] of 227 patients given dacomitinib vs none of 224 patients given gefitinib), diarrhoea (19 [8%] vs two [1%]), and raised alanine aminotransferase levels (two [1%] vs 19 [8%]). Treatment-related serious adverse events were reported in 21 (9%) patients given dacomitinib and in ten (4%) patients given gefitinib. Two treatment-related deaths occurred in the dacomitinib group (one related to untreated diarrhoea and one to untreated cholelithases/liver disease) and one in the gefitinib group (related to sigmoid colon diverticulitis/rupture complicated …","author":[{"dropping-particle":"","family":"Wu","given":"Yi-Long","non-dropping-particle":"","parse-names":false,"suffix":""},{"dropping-particle":"","family":"Cheng","given":"Ying","non-dropping-particle":"","parse-names":false,"suffix":""},{"dropping-particle":"","family":"Zhou","given":"Xiangdong","non-dropping-particle":"","parse-names":false,"suffix":""},{"dropping-particle":"","family":"Lee","given":"Ki Hyeong","non-dropping-particle":"","parse-names":false,"suffix":""},{"dropping-particle":"","family":"Nakagawa","given":"Kazuhiko","non-dropping-particle":"","parse-names":false,"suffix":""},{"dropping-particle":"","family":"Niho","given":"Seiji","non-dropping-particle":"","parse-names":false,"suffix":""},{"dropping-particle":"","family":"Tsuji","given":"Fumito","non-dropping-particle":"","parse-names":false,"suffix":""},{"dropping-particle":"","family":"Linke","given":"Rolf","non-dropping-particle":"","parse-names":false,"suffix":""},{"dropping-particle":"","family":"Rosell","given":"Rafael","non-dropping-particle":"","parse-names":false,"suffix":""},{"dropping-particle":"","family":"Corral","given":"Jesus","non-dropping-particle":"","parse-names":false,"suffix":""},{"dropping-particle":"","family":"Migliorino","given":"Maria Rita","non-dropping-particle":"","parse-names":false,"suffix":""},{"dropping-particle":"","family":"Pluzanski","given":"Adam","non-dropping-particle":"","parse-names":false,"suffix":""},{"dropping-particle":"","family":"Sbar","given":"Eric I","non-dropping-particle":"","parse-names":false,"suffix":""},{"dropping-particle":"","family":"Wang","given":"Tao","non-dropping-particle":"","parse-names":false,"suffix":""},{"dropping-particle":"","family":"White","given":"Jane Liang","non-dropping-particle":"","parse-names":false,"suffix":""},{"dropping-particle":"","family":"Nadanaciva","given":"Sashi","non-dropping-particle":"","parse-names":false,"suffix":""},{"dropping-particle":"","family":"Sandin","given":"Rickard","non-dropping-particle":"","parse-names":false,"suffix":""},{"dropping-particle":"","family":"Mok","given":"Tony S","non-dropping-particle":"","parse-names":false,"suffix":""}],"container-title":"The Lancet. Oncology","id":"ITEM-1","issue":"11","issued":{"date-parts":[["2017","11"]]},"language":"eng","page":"1454-1466","publisher-place":"England","title":"Dacomitinib versus gefitinib as first-line treatment for patients with  EGFR-mutation-positive non-small-cell lung cancer (ARCHER 1050): a randomised, open-label, phase 3 trial.","type":"article-journal","volume":"18"},"uris":["http://www.mendeley.com/documents/?uuid=3a58f903-a324-4fad-9117-c985cabfdef6"]}],"mendeley":{"formattedCitation":"(33)","plainTextFormattedCitation":"(33)","previouslyFormattedCitation":"(33)"},"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(33)</w:t>
            </w:r>
            <w:r w:rsidRPr="006E227F">
              <w:rPr>
                <w:rFonts w:ascii="Times New Roman" w:hAnsi="Times New Roman" w:cs="Times New Roman"/>
                <w:sz w:val="20"/>
                <w:szCs w:val="20"/>
              </w:rPr>
              <w:fldChar w:fldCharType="end"/>
            </w:r>
          </w:p>
        </w:tc>
        <w:tc>
          <w:tcPr>
            <w:tcW w:w="3181" w:type="dxa"/>
            <w:gridSpan w:val="2"/>
            <w:vAlign w:val="center"/>
          </w:tcPr>
          <w:p w14:paraId="4B54EB51" w14:textId="0F6ABC7C"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583 </w:t>
            </w:r>
          </w:p>
        </w:tc>
      </w:tr>
      <w:tr w:rsidR="008E779E" w:rsidRPr="006E227F" w14:paraId="3FB69CEB" w14:textId="77777777" w:rsidTr="008E779E">
        <w:trPr>
          <w:gridAfter w:val="1"/>
          <w:wAfter w:w="14" w:type="dxa"/>
          <w:trHeight w:val="195"/>
        </w:trPr>
        <w:tc>
          <w:tcPr>
            <w:tcW w:w="1290" w:type="dxa"/>
            <w:vMerge w:val="restart"/>
            <w:vAlign w:val="center"/>
            <w:hideMark/>
          </w:tcPr>
          <w:p w14:paraId="558B26E0"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ROS</w:t>
            </w:r>
          </w:p>
        </w:tc>
        <w:tc>
          <w:tcPr>
            <w:tcW w:w="3491" w:type="dxa"/>
            <w:vAlign w:val="center"/>
            <w:hideMark/>
          </w:tcPr>
          <w:p w14:paraId="565F2FEC" w14:textId="77777777"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Crizotinib</w:t>
            </w:r>
          </w:p>
        </w:tc>
        <w:tc>
          <w:tcPr>
            <w:tcW w:w="976" w:type="dxa"/>
            <w:vAlign w:val="center"/>
            <w:hideMark/>
          </w:tcPr>
          <w:p w14:paraId="1CBE54B1" w14:textId="0CCD8D1C"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3</w:t>
            </w:r>
          </w:p>
        </w:tc>
        <w:tc>
          <w:tcPr>
            <w:tcW w:w="1610" w:type="dxa"/>
            <w:vAlign w:val="center"/>
            <w:hideMark/>
          </w:tcPr>
          <w:p w14:paraId="4CC3C99D" w14:textId="53EE96BD" w:rsidR="000F7158" w:rsidRPr="006E227F" w:rsidRDefault="00CE5C2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{"citationItems":[{"id":"ITEM-1","itemData":{"DOI":"10.1093/annonc/mdz131","ISSN":"1569-8041 (Electronic)","PMID":"30980071","abstract":"BACKGROUND: In the ongoing phase I PROFILE 1001 study, crizotinib showed antitumor  activity in patients with ROS1-rearranged advanced non-small-cell lung cancer (NSCLC). Here, we present updated antitumor activity, overall survival (OS) and safety data (additional 46.2 months follow-up) for patients with ROS1-rearranged advanced NSCLC from PROFILE 1001. PATIENTS AND METHODS: ROS1 status was determined by FISH or reverse transcriptase-polymerase chain reaction. All patients received crizotinib at a starting dose of 250 mg twice daily. RESULTS: Fifty-three patients received crizotinib, with a median duration of treatment of 22.4 months. At data cut-off, treatment was ongoing in 12 patients (23%). The objective response rate (ORR) was 72% [95% confidence interval (CI), 58% to 83%], including six confirmed complete responses and 32 confirmed partial responses; 10 patients had stable disease. Responses were durable (median duration of response 24.7 months; 95% CI, 15.2-45.3). ORRs were consistent across different patient subgroups. Median progression-free survival was 19.3 months (95% CI, 15.2-39.1). A total of 26 deaths (49%) occurred (median follow-up period of 62.6 months), and of the remaining 27 patients (51%), 14 (26%) were in follow-up at data cut-off. Median OS was 51.4 months (95% CI, 29.3 to not reached) and survival probabilities at 12, 24, 36, and 48 months were 79%, 67%, 53%, and 51%, respectively. No correlation was observed between OS and specific ROS1 fusion partner. Treatment-related adverse events (TRAEs) were mainly grade 1 or 2, per CTCAE v3.0. There were no grade ≥4 TRAEs and no TRAEs associated with permanent discontinuation. No new safety signals were reported with long-term crizotinib treatment. CONCLUSIONS: These findings serve as a new benchmark for OS in ROS1-rearranged advanced NSCLC, and continue to show the clinically meaningful benefit and safety of crizotinib in this molecular subgroup. TRIAL REGISTRATION NUMBER: ClinicalTrials.gov identifier NCT00585195.","author":[{"dropping-particle":"","family":"Shaw","given":"A T","non-dropping-particle":"","parse-names":false,"suffix":""},{"dropping-particle":"","family":"Riely","given":"G J","non-dropping-particle":"","parse-names":false,"suffix":""},{"dropping-particle":"","family":"Bang","given":"Y-J","non-dropping-particle":"","parse-names":false,"suffix":""},{"dropping-particle":"","family":"Kim","given":"D-W","non-dropping-particle":"","parse-names":false,"suffix":""},{"dropping-particle":"","family":"Camidge","given":"D R","non-dropping-particle":"","parse-names":false,"suffix":""},{"dropping-particle":"","family":"Solomon","given":"B J","non-dropping-particle":"","parse-names":false,"suffix":""},{"dropping-particle":"","family":"Varella-Garcia","given":"M","non-dropping-particle":"","parse-names":false,"suffix":""},{"dropping-particle":"","family":"Iafrate","given":"A J","non-dropping-particle":"","parse-names":false,"suffix":""},{"dropping-particle":"","family":"Shapiro","given":"G I","non-dropping-particle":"","parse-names":false,"suffix":""},{"dropping-particle":"","family":"Usari","given":"T","non-dropping-particle":"","parse-names":false,"suffix":""},{"dropping-particle":"","family":"Wang","given":"S C","non-dropping-particle":"","parse-names":false,"suffix":""},{"dropping-particle":"","family":"Wilner","given":"K D","non-dropping-particle":"","parse-names":false,"suffix":""},{"dropping-particle":"","family":"Clark","given":"J W","non-dropping-particle":"","parse-names":false,"suffix":""},{"dropping-particle":"","family":"Ou","given":"S-H I","non-dropping-particle":"","parse-names":false,"suffix":""}],"container-title":"Annals of oncology : official journal of the European Society for Medical Oncology","id":"ITEM-1","issue":"7","issued":{"date-parts":[["2019","7"]]},"language":"eng","page":"1121-1126","title":"Crizotinib in ROS1-rearranged advanced non-small-cell lung cancer (NSCLC): updated  results, including overall survival, from PROFILE 1001.","type":"article-journal","volume":"30"},"uris":["http://www.mendeley.com/documents/?uuid=7cd8587b-ce83-46a5-9d87-05c0ef5e505c"]}],"mendeley":{"formattedCitation":"(10)","plainTextFormattedCitation":"(10)","previouslyFormattedCitation":"(10)"},"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(10)</w:t>
            </w:r>
            <w:r w:rsidRPr="006E227F">
              <w:rPr>
                <w:rFonts w:ascii="Times New Roman" w:hAnsi="Times New Roman" w:cs="Times New Roman"/>
                <w:sz w:val="20"/>
                <w:szCs w:val="20"/>
              </w:rPr>
              <w:fldChar w:fldCharType="end"/>
            </w:r>
          </w:p>
        </w:tc>
        <w:tc>
          <w:tcPr>
            <w:tcW w:w="891" w:type="dxa"/>
            <w:gridSpan w:val="2"/>
            <w:vAlign w:val="center"/>
            <w:hideMark/>
          </w:tcPr>
          <w:p w14:paraId="0E1A7889" w14:textId="0CDF2738" w:rsidR="000F7158" w:rsidRPr="006E227F" w:rsidRDefault="000F7158"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51</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4</w:t>
            </w:r>
          </w:p>
        </w:tc>
        <w:tc>
          <w:tcPr>
            <w:tcW w:w="1494" w:type="dxa"/>
            <w:vAlign w:val="center"/>
            <w:hideMark/>
          </w:tcPr>
          <w:p w14:paraId="288ED3D9" w14:textId="66BB76F4" w:rsidR="000F7158" w:rsidRPr="006E227F" w:rsidRDefault="00CE5C2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{"citationItems":[{"id":"ITEM-1","itemData":{"DOI":"10.1093/annonc/mdz131","ISSN":"1569-8041 (Electronic)","PMID":"30980071","abstract":"BACKGROUND: In the ongoing phase I PROFILE 1001 study, crizotinib showed antitumor  activity in patients with ROS1-rearranged advanced non-small-cell lung cancer (NSCLC). Here, we present updated antitumor activity, overall survival (OS) and safety data (additional 46.2 months follow-up) for patients with ROS1-rearranged advanced NSCLC from PROFILE 1001. PATIENTS AND METHODS: ROS1 status was determined by FISH or reverse transcriptase-polymerase chain reaction. All patients received crizotinib at a starting dose of 250 mg twice daily. RESULTS: Fifty-three patients received crizotinib, with a median duration of treatment of 22.4 months. At data cut-off, treatment was ongoing in 12 patients (23%). The objective response rate (ORR) was 72% [95% confidence interval (CI), 58% to 83%], including six confirmed complete responses and 32 confirmed partial responses; 10 patients had stable disease. Responses were durable (median duration of response 24.7 months; 95% CI, 15.2-45.3). ORRs were consistent across different patient subgroups. Median progression-free survival was 19.3 months (95% CI, 15.2-39.1). A total of 26 deaths (49%) occurred (median follow-up period of 62.6 months), and of the remaining 27 patients (51%), 14 (26%) were in follow-up at data cut-off. Median OS was 51.4 months (95% CI, 29.3 to not reached) and survival probabilities at 12, 24, 36, and 48 months were 79%, 67%, 53%, and 51%, respectively. No correlation was observed between OS and specific ROS1 fusion partner. Treatment-related adverse events (TRAEs) were mainly grade 1 or 2, per CTCAE v3.0. There were no grade ≥4 TRAEs and no TRAEs associated with permanent discontinuation. No new safety signals were reported with long-term crizotinib treatment. CONCLUSIONS: These findings serve as a new benchmark for OS in ROS1-rearranged advanced NSCLC, and continue to show the clinically meaningful benefit and safety of crizotinib in this molecular subgroup. TRIAL REGISTRATION NUMBER: ClinicalTrials.gov identifier NCT00585195.","author":[{"dropping-particle":"","family":"Shaw","given":"A T","non-dropping-particle":"","parse-names":false,"suffix":""},{"dropping-particle":"","family":"Riely","given":"G J","non-dropping-particle":"","parse-names":false,"suffix":""},{"dropping-particle":"","family":"Bang","given":"Y-J","non-dropping-particle":"","parse-names":false,"suffix":""},{"dropping-particle":"","family":"Kim","given":"D-W","non-dropping-particle":"","parse-names":false,"suffix":""},{"dropping-particle":"","family":"Camidge","given":"D R","non-dropping-particle":"","parse-names":false,"suffix":""},{"dropping-particle":"","family":"Solomon","given":"B J","non-dropping-particle":"","parse-names":false,"suffix":""},{"dropping-particle":"","family":"Varella-Garcia","given":"M","non-dropping-particle":"","parse-names":false,"suffix":""},{"dropping-particle":"","family":"Iafrate","given":"A J","non-dropping-particle":"","parse-names":false,"suffix":""},{"dropping-particle":"","family":"Shapiro","given":"G I","non-dropping-particle":"","parse-names":false,"suffix":""},{"dropping-particle":"","family":"Usari","given":"T","non-dropping-particle":"","parse-names":false,"suffix":""},{"dropping-particle":"","family":"Wang","given":"S C","non-dropping-particle":"","parse-names":false,"suffix":""},{"dropping-particle":"","family":"Wilner","given":"K D","non-dropping-particle":"","parse-names":false,"suffix":""},{"dropping-particle":"","family":"Clark","given":"J W","non-dropping-particle":"","parse-names":false,"suffix":""},{"dropping-particle":"","family":"Ou","given":"S-H I","non-dropping-particle":"","parse-names":false,"suffix":""}],"container-title":"Annals of oncology : official journal of the European Society for Medical Oncology","id":"ITEM-1","issue":"7","issued":{"date-parts":[["2019","7"]]},"language":"eng","page":"1121-1126","title":"Crizotinib in ROS1-rearranged advanced non-small-cell lung cancer (NSCLC): updated  results, including overall survival, from PROFILE 1001.","type":"article-journal","volume":"30"},"uris":["http://www.mendeley.com/documents/?uuid=7cd8587b-ce83-46a5-9d87-05c0ef5e505c"]}],"mendeley":{"formattedCitation":"(10)","plainTextFormattedCitation":"(10)","previouslyFormattedCitation":"(10)"},"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(10)</w:t>
            </w:r>
            <w:r w:rsidRPr="006E227F">
              <w:rPr>
                <w:rFonts w:ascii="Times New Roman" w:hAnsi="Times New Roman" w:cs="Times New Roman"/>
                <w:sz w:val="20"/>
                <w:szCs w:val="20"/>
              </w:rPr>
              <w:fldChar w:fldCharType="end"/>
            </w:r>
          </w:p>
        </w:tc>
        <w:tc>
          <w:tcPr>
            <w:tcW w:w="3181" w:type="dxa"/>
            <w:gridSpan w:val="2"/>
            <w:vAlign w:val="center"/>
          </w:tcPr>
          <w:p w14:paraId="0A61E887" w14:textId="5BE6947F" w:rsidR="000F7158" w:rsidRPr="006E227F" w:rsidRDefault="006E227F" w:rsidP="00DB0064">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0F7158" w:rsidRPr="006E227F">
              <w:rPr>
                <w:rFonts w:ascii="Times New Roman" w:eastAsia="SimSun" w:hAnsi="Times New Roman" w:cs="Times New Roman"/>
                <w:bCs/>
                <w:sz w:val="20"/>
                <w:szCs w:val="20"/>
                <w:lang w:eastAsia="es-ES_tradnl"/>
              </w:rPr>
              <w:t xml:space="preserve">1.129 </w:t>
            </w:r>
          </w:p>
        </w:tc>
      </w:tr>
      <w:tr w:rsidR="008E779E" w:rsidRPr="006E227F" w14:paraId="097A6F4D" w14:textId="77777777" w:rsidTr="008E779E">
        <w:trPr>
          <w:gridAfter w:val="1"/>
          <w:wAfter w:w="14" w:type="dxa"/>
          <w:trHeight w:val="195"/>
        </w:trPr>
        <w:tc>
          <w:tcPr>
            <w:tcW w:w="1290" w:type="dxa"/>
            <w:vMerge/>
            <w:vAlign w:val="center"/>
            <w:hideMark/>
          </w:tcPr>
          <w:p w14:paraId="61501573"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5853D915"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Entrectinib</w:t>
            </w:r>
            <w:proofErr w:type="spellEnd"/>
          </w:p>
        </w:tc>
        <w:tc>
          <w:tcPr>
            <w:tcW w:w="976" w:type="dxa"/>
            <w:vAlign w:val="center"/>
            <w:hideMark/>
          </w:tcPr>
          <w:p w14:paraId="23BBE195" w14:textId="37DBA1B5"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3</w:t>
            </w:r>
          </w:p>
        </w:tc>
        <w:tc>
          <w:tcPr>
            <w:tcW w:w="1610" w:type="dxa"/>
            <w:vAlign w:val="center"/>
            <w:hideMark/>
          </w:tcPr>
          <w:p w14:paraId="79C9DAA1" w14:textId="0FE28F40" w:rsidR="00CE5C2F" w:rsidRPr="006E227F" w:rsidRDefault="00375D86"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Assumption</w:t>
            </w:r>
          </w:p>
        </w:tc>
        <w:tc>
          <w:tcPr>
            <w:tcW w:w="891" w:type="dxa"/>
            <w:gridSpan w:val="2"/>
            <w:vAlign w:val="center"/>
            <w:hideMark/>
          </w:tcPr>
          <w:p w14:paraId="4FD559F5" w14:textId="07AF704D"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51</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4</w:t>
            </w:r>
          </w:p>
        </w:tc>
        <w:tc>
          <w:tcPr>
            <w:tcW w:w="1494" w:type="dxa"/>
            <w:vAlign w:val="center"/>
            <w:hideMark/>
          </w:tcPr>
          <w:p w14:paraId="46E8F56E" w14:textId="713EE05F" w:rsidR="00CE5C2F" w:rsidRPr="006E227F" w:rsidRDefault="00375D86"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Assumption</w:t>
            </w:r>
          </w:p>
        </w:tc>
        <w:tc>
          <w:tcPr>
            <w:tcW w:w="3181" w:type="dxa"/>
            <w:gridSpan w:val="2"/>
            <w:vAlign w:val="center"/>
          </w:tcPr>
          <w:p w14:paraId="721C463D" w14:textId="33149D17" w:rsidR="00CE5C2F" w:rsidRPr="006E227F" w:rsidRDefault="006E227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CE5C2F" w:rsidRPr="006E227F">
              <w:rPr>
                <w:rFonts w:ascii="Times New Roman" w:eastAsia="SimSun" w:hAnsi="Times New Roman" w:cs="Times New Roman"/>
                <w:bCs/>
                <w:sz w:val="20"/>
                <w:szCs w:val="20"/>
                <w:lang w:eastAsia="es-ES_tradnl"/>
              </w:rPr>
              <w:t xml:space="preserve">1.242 </w:t>
            </w:r>
          </w:p>
        </w:tc>
      </w:tr>
      <w:tr w:rsidR="008E779E" w:rsidRPr="006E227F" w14:paraId="6A3073D8" w14:textId="77777777" w:rsidTr="008E779E">
        <w:trPr>
          <w:gridAfter w:val="1"/>
          <w:wAfter w:w="14" w:type="dxa"/>
          <w:trHeight w:val="195"/>
        </w:trPr>
        <w:tc>
          <w:tcPr>
            <w:tcW w:w="1290" w:type="dxa"/>
            <w:vMerge w:val="restart"/>
            <w:vAlign w:val="center"/>
            <w:hideMark/>
          </w:tcPr>
          <w:p w14:paraId="6B53A311"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WT</w:t>
            </w:r>
          </w:p>
        </w:tc>
        <w:tc>
          <w:tcPr>
            <w:tcW w:w="3491" w:type="dxa"/>
            <w:vAlign w:val="center"/>
            <w:hideMark/>
          </w:tcPr>
          <w:p w14:paraId="02A3B8AB" w14:textId="068E1D56"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Pembro</w:t>
            </w:r>
            <w:proofErr w:type="spellEnd"/>
            <w:r w:rsidRPr="006E227F">
              <w:rPr>
                <w:rFonts w:ascii="Times New Roman" w:eastAsia="SimSun" w:hAnsi="Times New Roman" w:cs="Times New Roman"/>
                <w:bCs/>
                <w:sz w:val="20"/>
                <w:szCs w:val="20"/>
                <w:lang w:eastAsia="es-ES_tradnl"/>
              </w:rPr>
              <w:t xml:space="preserve"> mono</w:t>
            </w:r>
            <w:r w:rsidR="00302703" w:rsidRPr="006E227F">
              <w:rPr>
                <w:rFonts w:ascii="Times New Roman" w:eastAsia="SimSun" w:hAnsi="Times New Roman" w:cs="Times New Roman"/>
                <w:bCs/>
                <w:sz w:val="20"/>
                <w:szCs w:val="20"/>
                <w:lang w:eastAsia="es-ES_tradnl"/>
              </w:rPr>
              <w:t>therapy</w:t>
            </w:r>
          </w:p>
        </w:tc>
        <w:tc>
          <w:tcPr>
            <w:tcW w:w="976" w:type="dxa"/>
            <w:vAlign w:val="center"/>
            <w:hideMark/>
          </w:tcPr>
          <w:p w14:paraId="5DF02467" w14:textId="38DB55F2"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10</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3</w:t>
            </w:r>
          </w:p>
        </w:tc>
        <w:tc>
          <w:tcPr>
            <w:tcW w:w="1610" w:type="dxa"/>
            <w:vAlign w:val="center"/>
            <w:hideMark/>
          </w:tcPr>
          <w:p w14:paraId="60B16AAB" w14:textId="77D57630"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{"citationItems":[{"id":"ITEM-1","itemData":{"DOI":"10.1056/NEJMoa1606774","ISSN":"1533-4406 (Electronic)","PMID":"27718847","abstract":"BACKGROUND: Pembrolizumab is a humanized monoclonal antibody against programmed  death 1 (PD-1) that has antitumor activity in advanced non-small-cell lung cancer (NSCLC), with increased activity in tumors that express programmed death ligand 1 (PD-L1). METHODS: In this open-label, phase 3 trial, we randomly assigned 305 patients who had previously untreated advanced NSCLC with PD-L1 expression on at least 50% of tumor cells and no sensitizing mutation of the epidermal growth factor receptor gene or translocation of the anaplastic lymphoma kinase gene to receive either pembrolizumab (at a fixed dose of 200 mg every 3 weeks) or the investigator's choice of platinum-based chemotherapy. Crossover from the chemotherapy group to the pembrolizumab group was permitted in the event of disease progression. The primary end point, progression-free survival, was assessed by means of blinded, independent, central radiologic review. Secondary end points were overall survival, objective response rate, and safety. RESULTS: Median progression-free survival was 10.3 months (95% confidence interval [CI], 6.7 to not reached) in the pembrolizumab group versus 6.0 months (95% CI, 4.2 to 6.2) in the chemotherapy group (hazard ratio for disease progression or death, 0.50; 95% CI, 0.37 to 0.68; P&lt;0.001). The estimated rate of overall survival at 6 months was 80.2% in the pembrolizumab group versus 72.4% in the chemotherapy group (hazard ratio for death, 0.60; 95% CI, 0.41 to 0.89; P=0.005). The response rate was higher in the pembrolizumab group than in the chemotherapy group (44.8% vs. 27.8%), the median duration of response was longer (not reached [range, 1.9+ to 14.5+ months] vs. 6.3 months [range, 2.1+ to 12.6+]), and treatment-related adverse events of any grade were less frequent (occurring in 73.4% vs. 90.0% of patients), as were grade 3, 4, or 5 treatment-related adverse events (26.6% vs. 53.3%). CONCLUSIONS: In patients with advanced NSCLC and PD-L1 expression on at least 50% of tumor cells, pembrolizumab was associated with significantly longer progression-free and overall survival and with fewer adverse events than was platinum-based chemotherapy. (Funded by Merck; KEYNOTE-024 ClinicalTrials.gov number, NCT02142738 .).","author":[{"dropping-particle":"","family":"Reck","given":"Martin","non-dropping-particle":"","parse-names":false,"suffix":""},{"dropping-particle":"","family":"Rodríguez-Abreu","given":"Delvys","non-dropping-particle":"","parse-names":false,"suffix":""},{"dropping-particle":"","family":"Robinson","given":"Andrew G","non-dropping-particle":"","parse-names":false,"suffix":""},{"dropping-particle":"","family":"Hui","given":"Rina","non-dropping-particle":"","parse-names":false,"suffix":""},{"dropping-particle":"","family":"Csőszi","given":"Tibor","non-dropping-particle":"","parse-names":false,"suffix":""},{"dropping-particle":"","family":"Fülöp","given":"Andrea","non-dropping-particle":"","parse-names":false,"suffix":""},{"dropping-particle":"","family":"Gottfried","given":"Maya","non-dropping-particle":"","parse-names":false,"suffix":""},{"dropping-particle":"","family":"Peled","given":"Nir","non-dropping-particle":"","parse-names":false,"suffix":""},{"dropping-particle":"","family":"Tafreshi","given":"Ali","non-dropping-particle":"","parse-names":false,"suffix":""},{"dropping-particle":"","family":"Cuffe","given":"Sinead","non-dropping-particle":"","parse-names":false,"suffix":""},{"dropping-particle":"","family":"O'Brien","given":"Mary","non-dropping-particle":"","parse-names":false,"suffix":""},{"dropping-particle":"","family":"Rao","given":"Suman","non-dropping-particle":"","parse-names":false,"suffix":""},{"dropping-particle":"","family":"Hotta","given":"Katsuyuki","non-dropping-particle":"","parse-names":false,"suffix":""},{"dropping-particle":"","family":"Leiby","given":"Melanie A","non-dropping-particle":"","parse-names":false,"suffix":""},{"dropping-particle":"","family":"Lubiniecki","given":"Gregory M","non-dropping-particle":"","parse-names":false,"suffix":""},{"dropping-particle":"","family":"Shentu","given":"Yue","non-dropping-particle":"","parse-names":false,"suffix":""},{"dropping-particle":"","family":"Rangwala","given":"Reshma","non-dropping-particle":"","parse-names":false,"suffix":""},{"dropping-particle":"","family":"Brahmer","given":"Julie R","non-dropping-particle":"","parse-names":false,"suffix":""}],"container-title":"The New England journal of medicine","id":"ITEM-1","issue":"19","issued":{"date-parts":[["2016","11"]]},"language":"eng","page":"1823-1833","publisher-place":"United States","title":"Pembrolizumab versus Chemotherapy for PD-L1-Positive Non-Small-Cell Lung Cancer.","type":"article-journal","volume":"375"},"uris":["http://www.mendeley.com/documents/?uuid=847dd156-e6bc-4ec6-96cd-521eb29627e1"]},{"id":"ITEM-2","itemData":{"DOI":"10.1200/JCO.21.00174","ISSN":"1527-7755 (Electronic)","PMID":"33872070","abstract":"PURPOSE: We report the first 5-year follow-up of any first-line phase III  immunotherapy trial for non-small-cell lung cancer (NSCLC). KEYNOTE-024 (ClinicalTrials.gov identifier: NCT02142738) is an open-label, randomized controlled trial of pembrolizumab compared with platinum-based chemotherapy in patients with previously untreated NSCLC with a programmed death ligand-1 (PD-L1) tumor proportion score of at least 50% and no sensitizing EGFR or ALK alterations. Previous analyses showed pembrolizumab significantly improved progression-free survival and overall survival (OS). METHODS: Eligible patients were randomly assigned (1:1) to pembrolizumab (200 mg once every 3 weeks for up to 35 cycles) or platinum-based chemotherapy. Patients in the chemotherapy group with progressive disease could cross over to pembrolizumab. The primary end point was progression-free survival; OS was a secondary end point. RESULTS: Three hundred five patients were randomly assigned: 154 to pembrolizumab and 151 to chemotherapy. Median (range) time from randomization to data cutoff (June 1, 2020) was 59.9 (55.1-68.4) months. Among patients initially assigned to chemotherapy, 99 received subsequent anti-PD-1 or PD-L1 therapy, representing a 66.0% effective crossover rate. Median OS was 26.3 months (95% CI, 18.3 to 40.4) for pembrolizumab and 13.4 months (9.4-18.3) for chemotherapy (hazard ratio, 0.62; 95% CI, 0.48 to 0.81). Kaplan-Meier estimates of the 5-year OS rate were 31.9% for the pembrolizumab group and 16.3% for the chemotherapy group. Thirty-nine patients received 35 cycles (ie, approximately 2 years) of pembrolizumab, 82.1% of whom were still alive at data cutoff (approximately 5 years). Toxicity did not increase with longer treatment exposure. CONCLUSION: Pembrolizumab provides a durable, clinically meaningful long-term OS benefit versus chemotherapy as first-line therapy for metastatic NSCLC with PD-L1 tumor proportion score of at least 50%.","author":[{"dropping-particle":"","family":"Reck","given":"Martin","non-dropping-particle":"","parse-names":false,"suffix":""},{"dropping-particle":"","family":"Rodríguez-Abreu","given":"Delvys","non-dropping-particle":"","parse-names":false,"suffix":""},{"dropping-particle":"","family":"Robinson","given":"Andrew G","non-dropping-particle":"","parse-names":false,"suffix":""},{"dropping-particle":"","family":"Hui","given":"Rina","non-dropping-particle":"","parse-names":false,"suffix":""},{"dropping-particle":"","family":"Csőszi","given":"Tibor","non-dropping-particle":"","parse-names":false,"suffix":""},{"dropping-particle":"","family":"Fülöp","given":"Andrea","non-dropping-particle":"","parse-names":false,"suffix":""},{"dropping-particle":"","family":"Gottfried","given":"Maya","non-dropping-particle":"","parse-names":false,"suffix":""},{"dropping-particle":"","family":"Peled","given":"Nir","non-dropping-particle":"","parse-names":false,"suffix":""},{"dropping-particle":"","family":"Tafreshi","given":"Ali","non-dropping-particle":"","parse-names":false,"suffix":""},{"dropping-particle":"","family":"Cuffe","given":"Sinead","non-dropping-particle":"","parse-names":false,"suffix":""},{"dropping-particle":"","family":"O'Brien","given":"Mary","non-dropping-particle":"","parse-names":false,"suffix":""},{"dropping-particle":"","family":"Rao","given":"Suman","non-dropping-particle":"","parse-names":false,"suffix":""},{"dropping-particle":"","family":"Hotta","given":"Katsuyuki","non-dropping-particle":"","parse-names":false,"suffix":""},{"dropping-particle":"","family":"Leal","given":"Ticiana A","non-dropping-particle":"","parse-names":false,"suffix":""},{"dropping-particle":"","family":"Riess","given":"Jonathan W","non-dropping-particle":"","parse-names":false,"suffix":""},{"dropping-particle":"","family":"Jensen","given":"Erin","non-dropping-particle":"","parse-names":false,"suffix":""},{"dropping-particle":"","family":"Zhao","given":"Bin","non-dropping-particle":"","parse-names":false,"suffix":""},{"dropping-particle":"","family":"Pietanza","given":"M Catherine","non-dropping-particle":"","parse-names":false,"suffix":""},{"dropping-particle":"","family":"Brahmer","given":"Julie R","non-dropping-particle":"","parse-names":false,"suffix":""}],"container-title":"Journal of clinical oncology : official journal of the American Society of Clinical  Oncology","id":"ITEM-2","issue":"21","issued":{"date-parts":[["2021","7"]]},"language":"eng","page":"2339-2349","title":"Five-Year Outcomes With Pembrolizumab Versus Chemotherapy for Metastatic  Non-Small-Cell Lung Cancer With PD-L1 Tumor Proportion Score ≥ 50.","type":"article-journal","volume":"39"},"uris":["http://www.mendeley.com/documents/?uuid=314c4282-2712-4475-a851-7e96392500b2"]}],"mendeley":{"formattedCitation":"(34,35)","plainTextFormattedCitation":"(34,35)","previouslyFormattedCitation":"(34,35)"},"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(34,35)</w:t>
            </w:r>
            <w:r w:rsidRPr="006E227F">
              <w:rPr>
                <w:rFonts w:ascii="Times New Roman" w:hAnsi="Times New Roman" w:cs="Times New Roman"/>
                <w:sz w:val="20"/>
                <w:szCs w:val="20"/>
              </w:rPr>
              <w:fldChar w:fldCharType="end"/>
            </w:r>
          </w:p>
        </w:tc>
        <w:tc>
          <w:tcPr>
            <w:tcW w:w="891" w:type="dxa"/>
            <w:gridSpan w:val="2"/>
            <w:vAlign w:val="center"/>
            <w:hideMark/>
          </w:tcPr>
          <w:p w14:paraId="11561E81" w14:textId="2B1EA381"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26</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3</w:t>
            </w:r>
          </w:p>
        </w:tc>
        <w:tc>
          <w:tcPr>
            <w:tcW w:w="1494" w:type="dxa"/>
            <w:vAlign w:val="center"/>
            <w:hideMark/>
          </w:tcPr>
          <w:p w14:paraId="2FDD026C" w14:textId="4E84543A"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{"citationItems":[{"id":"ITEM-1","itemData":{"DOI":"10.1056/NEJMoa1606774","ISSN":"1533-4406 (Electronic)","PMID":"27718847","abstract":"BACKGROUND: Pembrolizumab is a humanized monoclonal antibody against programmed  death 1 (PD-1) that has antitumor activity in advanced non-small-cell lung cancer (NSCLC), with increased activity in tumors that express programmed death ligand 1 (PD-L1). METHODS: In this open-label, phase 3 trial, we randomly assigned 305 patients who had previously untreated advanced NSCLC with PD-L1 expression on at least 50% of tumor cells and no sensitizing mutation of the epidermal growth factor receptor gene or translocation of the anaplastic lymphoma kinase gene to receive either pembrolizumab (at a fixed dose of 200 mg every 3 weeks) or the investigator's choice of platinum-based chemotherapy. Crossover from the chemotherapy group to the pembrolizumab group was permitted in the event of disease progression. The primary end point, progression-free survival, was assessed by means of blinded, independent, central radiologic review. Secondary end points were overall survival, objective response rate, and safety. RESULTS: Median progression-free survival was 10.3 months (95% confidence interval [CI], 6.7 to not reached) in the pembrolizumab group versus 6.0 months (95% CI, 4.2 to 6.2) in the chemotherapy group (hazard ratio for disease progression or death, 0.50; 95% CI, 0.37 to 0.68; P&lt;0.001). The estimated rate of overall survival at 6 months was 80.2% in the pembrolizumab group versus 72.4% in the chemotherapy group (hazard ratio for death, 0.60; 95% CI, 0.41 to 0.89; P=0.005). The response rate was higher in the pembrolizumab group than in the chemotherapy group (44.8% vs. 27.8%), the median duration of response was longer (not reached [range, 1.9+ to 14.5+ months] vs. 6.3 months [range, 2.1+ to 12.6+]), and treatment-related adverse events of any grade were less frequent (occurring in 73.4% vs. 90.0% of patients), as were grade 3, 4, or 5 treatment-related adverse events (26.6% vs. 53.3%). CONCLUSIONS: In patients with advanced NSCLC and PD-L1 expression on at least 50% of tumor cells, pembrolizumab was associated with significantly longer progression-free and overall survival and with fewer adverse events than was platinum-based chemotherapy. (Funded by Merck; KEYNOTE-024 ClinicalTrials.gov number, NCT02142738 .).","author":[{"dropping-particle":"","family":"Reck","given":"Martin","non-dropping-particle":"","parse-names":false,"suffix":""},{"dropping-particle":"","family":"Rodríguez-Abreu","given":"Delvys","non-dropping-particle":"","parse-names":false,"suffix":""},{"dropping-particle":"","family":"Robinson","given":"Andrew G","non-dropping-particle":"","parse-names":false,"suffix":""},{"dropping-particle":"","family":"Hui","given":"Rina","non-dropping-particle":"","parse-names":false,"suffix":""},{"dropping-particle":"","family":"Csőszi","given":"Tibor","non-dropping-particle":"","parse-names":false,"suffix":""},{"dropping-particle":"","family":"Fülöp","given":"Andrea","non-dropping-particle":"","parse-names":false,"suffix":""},{"dropping-particle":"","family":"Gottfried","given":"Maya","non-dropping-particle":"","parse-names":false,"suffix":""},{"dropping-particle":"","family":"Peled","given":"Nir","non-dropping-particle":"","parse-names":false,"suffix":""},{"dropping-particle":"","family":"Tafreshi","given":"Ali","non-dropping-particle":"","parse-names":false,"suffix":""},{"dropping-particle":"","family":"Cuffe","given":"Sinead","non-dropping-particle":"","parse-names":false,"suffix":""},{"dropping-particle":"","family":"O'Brien","given":"Mary","non-dropping-particle":"","parse-names":false,"suffix":""},{"dropping-particle":"","family":"Rao","given":"Suman","non-dropping-particle":"","parse-names":false,"suffix":""},{"dropping-particle":"","family":"Hotta","given":"Katsuyuki","non-dropping-particle":"","parse-names":false,"suffix":""},{"dropping-particle":"","family":"Leiby","given":"Melanie A","non-dropping-particle":"","parse-names":false,"suffix":""},{"dropping-particle":"","family":"Lubiniecki","given":"Gregory M","non-dropping-particle":"","parse-names":false,"suffix":""},{"dropping-particle":"","family":"Shentu","given":"Yue","non-dropping-particle":"","parse-names":false,"suffix":""},{"dropping-particle":"","family":"Rangwala","given":"Reshma","non-dropping-particle":"","parse-names":false,"suffix":""},{"dropping-particle":"","family":"Brahmer","given":"Julie R","non-dropping-particle":"","parse-names":false,"suffix":""}],"container-title":"The New England journal of medicine","id":"ITEM-1","issue":"19","issued":{"date-parts":[["2016","11"]]},"language":"eng","page":"1823-1833","publisher-place":"United States","title":"Pembrolizumab versus Chemotherapy for PD-L1-Positive Non-Small-Cell Lung Cancer.","type":"article-journal","volume":"375"},"uris":["http://www.mendeley.com/documents/?uuid=847dd156-e6bc-4ec6-96cd-521eb29627e1"]},{"id":"ITEM-2","itemData":{"DOI":"10.1200/JCO.21.00174","ISSN":"1527-7755 (Electronic)","PMID":"33872070","abstract":"PURPOSE: We report the first 5-year follow-up of any first-line phase III  immunotherapy trial for non-small-cell lung cancer (NSCLC). KEYNOTE-024 (ClinicalTrials.gov identifier: NCT02142738) is an open-label, randomized controlled trial of pembrolizumab compared with platinum-based chemotherapy in patients with previously untreated NSCLC with a programmed death ligand-1 (PD-L1) tumor proportion score of at least 50% and no sensitizing EGFR or ALK alterations. Previous analyses showed pembrolizumab significantly improved progression-free survival and overall survival (OS). METHODS: Eligible patients were randomly assigned (1:1) to pembrolizumab (200 mg once every 3 weeks for up to 35 cycles) or platinum-based chemotherapy. Patients in the chemotherapy group with progressive disease could cross over to pembrolizumab. The primary end point was progression-free survival; OS was a secondary end point. RESULTS: Three hundred five patients were randomly assigned: 154 to pembrolizumab and 151 to chemotherapy. Median (range) time from randomization to data cutoff (June 1, 2020) was 59.9 (55.1-68.4) months. Among patients initially assigned to chemotherapy, 99 received subsequent anti-PD-1 or PD-L1 therapy, representing a 66.0% effective crossover rate. Median OS was 26.3 months (95% CI, 18.3 to 40.4) for pembrolizumab and 13.4 months (9.4-18.3) for chemotherapy (hazard ratio, 0.62; 95% CI, 0.48 to 0.81). Kaplan-Meier estimates of the 5-year OS rate were 31.9% for the pembrolizumab group and 16.3% for the chemotherapy group. Thirty-nine patients received 35 cycles (ie, approximately 2 years) of pembrolizumab, 82.1% of whom were still alive at data cutoff (approximately 5 years). Toxicity did not increase with longer treatment exposure. CONCLUSION: Pembrolizumab provides a durable, clinically meaningful long-term OS benefit versus chemotherapy as first-line therapy for metastatic NSCLC with PD-L1 tumor proportion score of at least 50%.","author":[{"dropping-particle":"","family":"Reck","given":"Martin","non-dropping-particle":"","parse-names":false,"suffix":""},{"dropping-particle":"","family":"Rodríguez-Abreu","given":"Delvys","non-dropping-particle":"","parse-names":false,"suffix":""},{"dropping-particle":"","family":"Robinson","given":"Andrew G","non-dropping-particle":"","parse-names":false,"suffix":""},{"dropping-particle":"","family":"Hui","given":"Rina","non-dropping-particle":"","parse-names":false,"suffix":""},{"dropping-particle":"","family":"Csőszi","given":"Tibor","non-dropping-particle":"","parse-names":false,"suffix":""},{"dropping-particle":"","family":"Fülöp","given":"Andrea","non-dropping-particle":"","parse-names":false,"suffix":""},{"dropping-particle":"","family":"Gottfried","given":"Maya","non-dropping-particle":"","parse-names":false,"suffix":""},{"dropping-particle":"","family":"Peled","given":"Nir","non-dropping-particle":"","parse-names":false,"suffix":""},{"dropping-particle":"","family":"Tafreshi","given":"Ali","non-dropping-particle":"","parse-names":false,"suffix":""},{"dropping-particle":"","family":"Cuffe","given":"Sinead","non-dropping-particle":"","parse-names":false,"suffix":""},{"dropping-particle":"","family":"O'Brien","given":"Mary","non-dropping-particle":"","parse-names":false,"suffix":""},{"dropping-particle":"","family":"Rao","given":"Suman","non-dropping-particle":"","parse-names":false,"suffix":""},{"dropping-particle":"","family":"Hotta","given":"Katsuyuki","non-dropping-particle":"","parse-names":false,"suffix":""},{"dropping-particle":"","family":"Leal","given":"Ticiana A","non-dropping-particle":"","parse-names":false,"suffix":""},{"dropping-particle":"","family":"Riess","given":"Jonathan W","non-dropping-particle":"","parse-names":false,"suffix":""},{"dropping-particle":"","family":"Jensen","given":"Erin","non-dropping-particle":"","parse-names":false,"suffix":""},{"dropping-particle":"","family":"Zhao","given":"Bin","non-dropping-particle":"","parse-names":false,"suffix":""},{"dropping-particle":"","family":"Pietanza","given":"M Catherine","non-dropping-particle":"","parse-names":false,"suffix":""},{"dropping-particle":"","family":"Brahmer","given":"Julie R","non-dropping-particle":"","parse-names":false,"suffix":""}],"container-title":"Journal of clinical oncology : official journal of the American Society of Clinical  Oncology","id":"ITEM-2","issue":"21","issued":{"date-parts":[["2021","7"]]},"language":"eng","page":"2339-2349","title":"Five-Year Outcomes With Pembrolizumab Versus Chemotherapy for Metastatic  Non-Small-Cell Lung Cancer With PD-L1 Tumor Proportion Score ≥ 50.","type":"article-journal","volume":"39"},"uris":["http://www.mendeley.com/documents/?uuid=314c4282-2712-4475-a851-7e96392500b2"]}],"mendeley":{"formattedCitation":"(34,35)","plainTextFormattedCitation":"(34,35)","previouslyFormattedCitation":"(34,35)"},"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(34,35)</w:t>
            </w:r>
            <w:r w:rsidRPr="006E227F">
              <w:rPr>
                <w:rFonts w:ascii="Times New Roman" w:hAnsi="Times New Roman" w:cs="Times New Roman"/>
                <w:sz w:val="20"/>
                <w:szCs w:val="20"/>
              </w:rPr>
              <w:fldChar w:fldCharType="end"/>
            </w:r>
          </w:p>
        </w:tc>
        <w:tc>
          <w:tcPr>
            <w:tcW w:w="3181" w:type="dxa"/>
            <w:gridSpan w:val="2"/>
            <w:vAlign w:val="center"/>
          </w:tcPr>
          <w:p w14:paraId="4CB2AE9E" w14:textId="1AD32453" w:rsidR="00CE5C2F" w:rsidRPr="006E227F" w:rsidRDefault="006E227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 xml:space="preserve">€ </w:t>
            </w:r>
            <w:r w:rsidR="00CE5C2F" w:rsidRPr="006E227F">
              <w:rPr>
                <w:rFonts w:ascii="Times New Roman" w:eastAsia="SimSun" w:hAnsi="Times New Roman" w:cs="Times New Roman"/>
                <w:bCs/>
                <w:sz w:val="20"/>
                <w:szCs w:val="20"/>
                <w:lang w:eastAsia="es-ES_tradnl"/>
              </w:rPr>
              <w:t xml:space="preserve">6.597 </w:t>
            </w:r>
            <w:r w:rsidR="00375D86" w:rsidRPr="006E227F">
              <w:rPr>
                <w:rFonts w:ascii="Times New Roman" w:hAnsi="Times New Roman" w:cs="Times New Roman"/>
                <w:i/>
                <w:color w:val="000000" w:themeColor="text1"/>
                <w:sz w:val="20"/>
                <w:szCs w:val="20"/>
                <w:vertAlign w:val="superscript"/>
              </w:rPr>
              <w:t>¥</w:t>
            </w:r>
          </w:p>
        </w:tc>
      </w:tr>
      <w:tr w:rsidR="008E779E" w:rsidRPr="006E227F" w14:paraId="0C8A6BBB" w14:textId="77777777" w:rsidTr="008E779E">
        <w:trPr>
          <w:gridAfter w:val="1"/>
          <w:wAfter w:w="14" w:type="dxa"/>
          <w:trHeight w:val="195"/>
        </w:trPr>
        <w:tc>
          <w:tcPr>
            <w:tcW w:w="1290" w:type="dxa"/>
            <w:vMerge/>
            <w:vAlign w:val="center"/>
            <w:hideMark/>
          </w:tcPr>
          <w:p w14:paraId="594AD1A4"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26595B9E" w14:textId="05A4BCC0"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Cisp</w:t>
            </w:r>
            <w:r w:rsidR="008E779E">
              <w:rPr>
                <w:rFonts w:ascii="Times New Roman" w:eastAsia="SimSun" w:hAnsi="Times New Roman" w:cs="Times New Roman"/>
                <w:bCs/>
                <w:sz w:val="20"/>
                <w:szCs w:val="20"/>
                <w:lang w:eastAsia="es-ES_tradnl"/>
              </w:rPr>
              <w:t>latin</w:t>
            </w:r>
            <w:r w:rsidRPr="006E227F">
              <w:rPr>
                <w:rFonts w:ascii="Times New Roman" w:eastAsia="SimSun" w:hAnsi="Times New Roman" w:cs="Times New Roman"/>
                <w:bCs/>
                <w:sz w:val="20"/>
                <w:szCs w:val="20"/>
                <w:lang w:eastAsia="es-ES_tradnl"/>
              </w:rPr>
              <w:t>+</w:t>
            </w:r>
            <w:r w:rsidR="008E779E">
              <w:rPr>
                <w:rFonts w:ascii="Times New Roman" w:eastAsia="SimSun" w:hAnsi="Times New Roman" w:cs="Times New Roman"/>
                <w:bCs/>
                <w:sz w:val="20"/>
                <w:szCs w:val="20"/>
                <w:lang w:eastAsia="es-ES_tradnl"/>
              </w:rPr>
              <w:t>pemetrexed</w:t>
            </w:r>
            <w:proofErr w:type="spellEnd"/>
          </w:p>
        </w:tc>
        <w:tc>
          <w:tcPr>
            <w:tcW w:w="976" w:type="dxa"/>
            <w:vAlign w:val="center"/>
            <w:hideMark/>
          </w:tcPr>
          <w:p w14:paraId="4D1C8A79" w14:textId="31254471"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4</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9</w:t>
            </w:r>
          </w:p>
        </w:tc>
        <w:tc>
          <w:tcPr>
            <w:tcW w:w="1610" w:type="dxa"/>
            <w:vAlign w:val="center"/>
            <w:hideMark/>
          </w:tcPr>
          <w:p w14:paraId="5AF92823" w14:textId="4A1F77AB"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fldChar w:fldCharType="begin" w:fldLock="1"/>
            </w:r>
            <w:r w:rsidRPr="006E227F">
              <w:rPr>
                <w:rFonts w:ascii="Times New Roman" w:eastAsia="SimSun" w:hAnsi="Times New Roman" w:cs="Times New Roman"/>
                <w:bCs/>
                <w:sz w:val="20"/>
                <w:szCs w:val="20"/>
                <w:lang w:eastAsia="es-ES_tradnl"/>
              </w:rPr>
              <w:instrText>ADDIN CSL_CITATION {"citationItems":[{"id":"ITEM-1","itemData":{"DOI":"10.1200/JCO.19.03136","ISSN":"15277755","PMID":"32150489","abstract":"PURPOSE In KEYNOTE-189, first-line pembrolizumab plus pemetrexed-platinum significantly improved overall survival (OS) and progression-free survival (PFS) compared with placebo plus pemetrexed-platinum in patients with metastatic nonsquamous non‒small-cell lung cancer (NSCLC), irrespective of tumor programmed death-ligand 1 (PD-L1) expression. We report an updated analysis from KEYNOTE-189 (ClinicalTrials.gov: NCT02578680). METHODS Patients were randomly assigned (2:1) to receive pemetrexed and platinum plus pembrolizumab (n = 410) or placebo (n = 206) every 3 weeks for 4 cycles, then pemetrexed maintenance plus pembrolizumab or placebo for up to a total of 35 cycles. Eligible patients with disease progression in the placebo-combination group could cross over to pembrolizumab monotherapy. Response was assessed per RECIST (version 1.1) by central review. No alpha was assigned to this updated analysis. RESULTS As of September 21, 2018 (median follow-up, 23.1 months), the updated median (95% CI) OS was 22.0 (19.5 to 25.2) months in the pembrolizumab-combination group versus 10.7 (8.7 to 13.6) months in the placebo-combination group (hazard ratio [HR], 0.56; 95% CI, 0.45 to 0.70]). Median (95% CI) PFS was 9.0 (8.1 to 9.9) months and 4.9 (4.7 to 5.5) months, respectively (HR, 0.48; 95% CI, 0.40 to 0.58). Median (95% CI) time from randomization to objective tumor progression on next-line treatment or death from any cause, whichever occurred first (progression-free-survival-2; PFS-2) was 17.0 (15.1 to 19.4) months and 9.0 (7.6 to 10.4) months, respectively (HR, 0.49; 95% CI, 0.40 to 0.59). OS and PFS benefits with pembrolizumab were observed regardless of PD-L1 expression or presence of liver/brain metastases. Incidence of grade 3-5 adverse events was similar in the pembrolizumab-combination (71.9%) and placebo-combination (66.8%) groups. CONCLUSION First-line pembrolizumab plus pemetrexed-platinum continued to demonstrate substantially improved OS and PFS in metastatic nonsquamous NSCLC, regardless of PD-L1 expression or liver/brain metastases, with manageable safety and tolerability.","author":[{"dropping-particle":"","family":"Gadgeel","given":"Shirish","non-dropping-particle":"","parse-names":false,"suffix":""},{"dropping-particle":"","family":"Rodríguez-Abreu","given":"Delvys","non-dropping-particle":"","parse-names":false,"suffix":""},{"dropping-particle":"","family":"Speranza","given":"Giovanna","non-dropping-particle":"","parse-names":false,"suffix":""},{"dropping-particle":"","family":"Esteban","given":"Emilio","non-dropping-particle":"","parse-names":false,"suffix":""},{"dropping-particle":"","family":"Felip","given":"Enriqueta","non-dropping-particle":"","parse-names":false,"suffix":""},{"dropping-particle":"","family":"Dómine","given":"Manuel","non-dropping-particle":"","parse-names":false,"suffix":""},{"dropping-particle":"","family":"Hui","given":"Rina","non-dropping-particle":"","parse-names":false,"suffix":""},{"dropping-particle":"","family":"Hochmair","given":"Maximilian J.","non-dropping-particle":"","parse-names":false,"suffix":""},{"dropping-particle":"","family":"Clingan","given":"Philip","non-dropping-particle":"","parse-names":false,"suffix":""},{"dropping-particle":"","family":"Powell","given":"Steven F.","non-dropping-particle":"","parse-names":false,"suffix":""},{"dropping-particle":"","family":"Yee-Shan Cheng","given":"Susanna","non-dropping-particle":"","parse-names":false,"suffix":""},{"dropping-particle":"","family":"Bischoff","given":"Helge G.","non-dropping-particle":"","parse-names":false,"suffix":""},{"dropping-particle":"","family":"Peled","given":"Nir","non-dropping-particle":"","parse-names":false,"suffix":""},{"dropping-particle":"","family":"Grossi","given":"Francesco","non-dropping-particle":"","parse-names":false,"suffix":""},{"dropping-particle":"","family":"Jennens","given":"Ross R.","non-dropping-particle":"","parse-names":false,"suffix":""},{"dropping-particle":"","family":"Reck","given":"Martin","non-dropping-particle":"","parse-names":false,"suffix":""},{"dropping-particle":"","family":"Garon","given":"Edward B.","non-dropping-particle":"","parse-names":false,"suffix":""},{"dropping-particle":"","family":"Novello","given":"Silvia","non-dropping-particle":"","parse-names":false,"suffix":""},{"dropping-particle":"","family":"Rubio-Viqueira","given":"Belén","non-dropping-particle":"","parse-names":false,"suffix":""},{"dropping-particle":"","family":"Boyer","given":"Michael","non-dropping-particle":"","parse-names":false,"suffix":""},{"dropping-particle":"","family":"Kurata","given":"Takayasu","non-dropping-particle":"","parse-names":false,"suffix":""},{"dropping-particle":"","family":"Gray","given":"Jhanelle E.","non-dropping-particle":"","parse-names":false,"suffix":""},{"dropping-particle":"","family":"Yang","given":"Jing","non-dropping-particle":"","parse-names":false,"suffix":""},{"dropping-particle":"","family":"Bas","given":"Tuba","non-dropping-particle":"","parse-names":false,"suffix":""},{"dropping-particle":"","family":"Pietanza","given":"M. Catherine","non-dropping-particle":"","parse-names":false,"suffix":""},{"dropping-particle":"","family":"Garassino","given":"Marina C.","non-dropping-particle":"","parse-names":false,"suffix":""}],"container-title":"Journal of Clinical Oncology","id":"ITEM-1","issue":"14","issued":{"date-parts":[["2020"]]},"page":"1505-1517","title":"Updated analysis from KEYNOTE-189: Pembrolizumab or placebo plus pemetrexed and platinum for previously untreated metastatic nonsquamous non–small-cell lung cancer","type":"article-journal","volume":"38"},"uris":["http://www.mendeley.com/documents/?uuid=82d6ca0b-1bf0-4e23-97ec-494205ce0080"]}],"mendeley":{"formattedCitation":"(36)","plainTextFormattedCitation":"(36)","previouslyFormattedCitation":"(36)"},"properties":{"noteIndex":0},"schema":"https://github.com/citation-style-language/schema/raw/master/csl-citation.json"}</w:instrText>
            </w:r>
            <w:r w:rsidRPr="006E227F">
              <w:rPr>
                <w:rFonts w:ascii="Times New Roman" w:eastAsia="SimSun" w:hAnsi="Times New Roman" w:cs="Times New Roman"/>
                <w:bCs/>
                <w:sz w:val="20"/>
                <w:szCs w:val="20"/>
                <w:lang w:eastAsia="es-ES_tradnl"/>
              </w:rPr>
              <w:fldChar w:fldCharType="separate"/>
            </w:r>
            <w:r w:rsidRPr="006E227F">
              <w:rPr>
                <w:rFonts w:ascii="Times New Roman" w:eastAsia="SimSun" w:hAnsi="Times New Roman" w:cs="Times New Roman"/>
                <w:bCs/>
                <w:noProof/>
                <w:sz w:val="20"/>
                <w:szCs w:val="20"/>
                <w:lang w:eastAsia="es-ES_tradnl"/>
              </w:rPr>
              <w:t>(36)</w:t>
            </w:r>
            <w:r w:rsidRPr="006E227F">
              <w:rPr>
                <w:rFonts w:ascii="Times New Roman" w:eastAsia="SimSun" w:hAnsi="Times New Roman" w:cs="Times New Roman"/>
                <w:bCs/>
                <w:sz w:val="20"/>
                <w:szCs w:val="20"/>
                <w:lang w:eastAsia="es-ES_tradnl"/>
              </w:rPr>
              <w:fldChar w:fldCharType="end"/>
            </w:r>
          </w:p>
        </w:tc>
        <w:tc>
          <w:tcPr>
            <w:tcW w:w="891" w:type="dxa"/>
            <w:gridSpan w:val="2"/>
            <w:vAlign w:val="center"/>
            <w:hideMark/>
          </w:tcPr>
          <w:p w14:paraId="23859AF0" w14:textId="77ADD93F"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10</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7</w:t>
            </w:r>
          </w:p>
        </w:tc>
        <w:tc>
          <w:tcPr>
            <w:tcW w:w="1494" w:type="dxa"/>
            <w:vAlign w:val="center"/>
            <w:hideMark/>
          </w:tcPr>
          <w:p w14:paraId="5795A2F5" w14:textId="6087C0DD"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fldChar w:fldCharType="begin" w:fldLock="1"/>
            </w:r>
            <w:r w:rsidRPr="006E227F">
              <w:rPr>
                <w:rFonts w:ascii="Times New Roman" w:eastAsia="SimSun" w:hAnsi="Times New Roman" w:cs="Times New Roman"/>
                <w:bCs/>
                <w:sz w:val="20"/>
                <w:szCs w:val="20"/>
                <w:lang w:eastAsia="es-ES_tradnl"/>
              </w:rPr>
              <w:instrText>ADDIN CSL_CITATION {"citationItems":[{"id":"ITEM-1","itemData":{"DOI":"10.1200/JCO.19.03136","ISSN":"15277755","PMID":"32150489","abstract":"PURPOSE In KEYNOTE-189, first-line pembrolizumab plus pemetrexed-platinum significantly improved overall survival (OS) and progression-free survival (PFS) compared with placebo plus pemetrexed-platinum in patients with metastatic nonsquamous non‒small-cell lung cancer (NSCLC), irrespective of tumor programmed death-ligand 1 (PD-L1) expression. We report an updated analysis from KEYNOTE-189 (ClinicalTrials.gov: NCT02578680). METHODS Patients were randomly assigned (2:1) to receive pemetrexed and platinum plus pembrolizumab (n = 410) or placebo (n = 206) every 3 weeks for 4 cycles, then pemetrexed maintenance plus pembrolizumab or placebo for up to a total of 35 cycles. Eligible patients with disease progression in the placebo-combination group could cross over to pembrolizumab monotherapy. Response was assessed per RECIST (version 1.1) by central review. No alpha was assigned to this updated analysis. RESULTS As of September 21, 2018 (median follow-up, 23.1 months), the updated median (95% CI) OS was 22.0 (19.5 to 25.2) months in the pembrolizumab-combination group versus 10.7 (8.7 to 13.6) months in the placebo-combination group (hazard ratio [HR], 0.56; 95% CI, 0.45 to 0.70]). Median (95% CI) PFS was 9.0 (8.1 to 9.9) months and 4.9 (4.7 to 5.5) months, respectively (HR, 0.48; 95% CI, 0.40 to 0.58). Median (95% CI) time from randomization to objective tumor progression on next-line treatment or death from any cause, whichever occurred first (progression-free-survival-2; PFS-2) was 17.0 (15.1 to 19.4) months and 9.0 (7.6 to 10.4) months, respectively (HR, 0.49; 95% CI, 0.40 to 0.59). OS and PFS benefits with pembrolizumab were observed regardless of PD-L1 expression or presence of liver/brain metastases. Incidence of grade 3-5 adverse events was similar in the pembrolizumab-combination (71.9%) and placebo-combination (66.8%) groups. CONCLUSION First-line pembrolizumab plus pemetrexed-platinum continued to demonstrate substantially improved OS and PFS in metastatic nonsquamous NSCLC, regardless of PD-L1 expression or liver/brain metastases, with manageable safety and tolerability.","author":[{"dropping-particle":"","family":"Gadgeel","given":"Shirish","non-dropping-particle":"","parse-names":false,"suffix":""},{"dropping-particle":"","family":"Rodríguez-Abreu","given":"Delvys","non-dropping-particle":"","parse-names":false,"suffix":""},{"dropping-particle":"","family":"Speranza","given":"Giovanna","non-dropping-particle":"","parse-names":false,"suffix":""},{"dropping-particle":"","family":"Esteban","given":"Emilio","non-dropping-particle":"","parse-names":false,"suffix":""},{"dropping-particle":"","family":"Felip","given":"Enriqueta","non-dropping-particle":"","parse-names":false,"suffix":""},{"dropping-particle":"","family":"Dómine","given":"Manuel","non-dropping-particle":"","parse-names":false,"suffix":""},{"dropping-particle":"","family":"Hui","given":"Rina","non-dropping-particle":"","parse-names":false,"suffix":""},{"dropping-particle":"","family":"Hochmair","given":"Maximilian J.","non-dropping-particle":"","parse-names":false,"suffix":""},{"dropping-particle":"","family":"Clingan","given":"Philip","non-dropping-particle":"","parse-names":false,"suffix":""},{"dropping-particle":"","family":"Powell","given":"Steven F.","non-dropping-particle":"","parse-names":false,"suffix":""},{"dropping-particle":"","family":"Yee-Shan Cheng","given":"Susanna","non-dropping-particle":"","parse-names":false,"suffix":""},{"dropping-particle":"","family":"Bischoff","given":"Helge G.","non-dropping-particle":"","parse-names":false,"suffix":""},{"dropping-particle":"","family":"Peled","given":"Nir","non-dropping-particle":"","parse-names":false,"suffix":""},{"dropping-particle":"","family":"Grossi","given":"Francesco","non-dropping-particle":"","parse-names":false,"suffix":""},{"dropping-particle":"","family":"Jennens","given":"Ross R.","non-dropping-particle":"","parse-names":false,"suffix":""},{"dropping-particle":"","family":"Reck","given":"Martin","non-dropping-particle":"","parse-names":false,"suffix":""},{"dropping-particle":"","family":"Garon","given":"Edward B.","non-dropping-particle":"","parse-names":false,"suffix":""},{"dropping-particle":"","family":"Novello","given":"Silvia","non-dropping-particle":"","parse-names":false,"suffix":""},{"dropping-particle":"","family":"Rubio-Viqueira","given":"Belén","non-dropping-particle":"","parse-names":false,"suffix":""},{"dropping-particle":"","family":"Boyer","given":"Michael","non-dropping-particle":"","parse-names":false,"suffix":""},{"dropping-particle":"","family":"Kurata","given":"Takayasu","non-dropping-particle":"","parse-names":false,"suffix":""},{"dropping-particle":"","family":"Gray","given":"Jhanelle E.","non-dropping-particle":"","parse-names":false,"suffix":""},{"dropping-particle":"","family":"Yang","given":"Jing","non-dropping-particle":"","parse-names":false,"suffix":""},{"dropping-particle":"","family":"Bas","given":"Tuba","non-dropping-particle":"","parse-names":false,"suffix":""},{"dropping-particle":"","family":"Pietanza","given":"M. Catherine","non-dropping-particle":"","parse-names":false,"suffix":""},{"dropping-particle":"","family":"Garassino","given":"Marina C.","non-dropping-particle":"","parse-names":false,"suffix":""}],"container-title":"Journal of Clinical Oncology","id":"ITEM-1","issue":"14","issued":{"date-parts":[["2020"]]},"page":"1505-1517","title":"Updated analysis from KEYNOTE-189: Pembrolizumab or placebo plus pemetrexed and platinum for previously untreated metastatic nonsquamous non–small-cell lung cancer","type":"article-journal","volume":"38"},"uris":["http://www.mendeley.com/documents/?uuid=82d6ca0b-1bf0-4e23-97ec-494205ce0080"]}],"mendeley":{"formattedCitation":"(36)","plainTextFormattedCitation":"(36)","previouslyFormattedCitation":"(36)"},"properties":{"noteIndex":0},"schema":"https://github.com/citation-style-language/schema/raw/master/csl-citation.json"}</w:instrText>
            </w:r>
            <w:r w:rsidRPr="006E227F">
              <w:rPr>
                <w:rFonts w:ascii="Times New Roman" w:eastAsia="SimSun" w:hAnsi="Times New Roman" w:cs="Times New Roman"/>
                <w:bCs/>
                <w:sz w:val="20"/>
                <w:szCs w:val="20"/>
                <w:lang w:eastAsia="es-ES_tradnl"/>
              </w:rPr>
              <w:fldChar w:fldCharType="separate"/>
            </w:r>
            <w:r w:rsidRPr="006E227F">
              <w:rPr>
                <w:rFonts w:ascii="Times New Roman" w:eastAsia="SimSun" w:hAnsi="Times New Roman" w:cs="Times New Roman"/>
                <w:bCs/>
                <w:noProof/>
                <w:sz w:val="20"/>
                <w:szCs w:val="20"/>
                <w:lang w:eastAsia="es-ES_tradnl"/>
              </w:rPr>
              <w:t>(36)</w:t>
            </w:r>
            <w:r w:rsidRPr="006E227F">
              <w:rPr>
                <w:rFonts w:ascii="Times New Roman" w:eastAsia="SimSun" w:hAnsi="Times New Roman" w:cs="Times New Roman"/>
                <w:bCs/>
                <w:sz w:val="20"/>
                <w:szCs w:val="20"/>
                <w:lang w:eastAsia="es-ES_tradnl"/>
              </w:rPr>
              <w:fldChar w:fldCharType="end"/>
            </w:r>
          </w:p>
        </w:tc>
        <w:tc>
          <w:tcPr>
            <w:tcW w:w="3181" w:type="dxa"/>
            <w:gridSpan w:val="2"/>
            <w:vAlign w:val="center"/>
          </w:tcPr>
          <w:p w14:paraId="22996C92" w14:textId="31C29F80"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Cisp</w:t>
            </w:r>
            <w:proofErr w:type="spellEnd"/>
            <w:r w:rsidRPr="006E227F">
              <w:rPr>
                <w:rFonts w:ascii="Times New Roman" w:hAnsi="Times New Roman" w:cs="Times New Roman"/>
                <w:i/>
                <w:color w:val="000000" w:themeColor="text1"/>
                <w:sz w:val="20"/>
                <w:szCs w:val="20"/>
                <w:vertAlign w:val="superscript"/>
              </w:rPr>
              <w:t>¥</w:t>
            </w:r>
            <w:r w:rsidRPr="006E227F">
              <w:rPr>
                <w:rFonts w:ascii="Times New Roman" w:eastAsia="SimSun" w:hAnsi="Times New Roman" w:cs="Times New Roman"/>
                <w:bCs/>
                <w:sz w:val="20"/>
                <w:szCs w:val="20"/>
                <w:lang w:eastAsia="es-ES_tradnl"/>
              </w:rPr>
              <w:t xml:space="preserve">: </w:t>
            </w:r>
            <w:r w:rsidR="008E779E">
              <w:rPr>
                <w:rFonts w:ascii="Times New Roman" w:eastAsia="SimSun" w:hAnsi="Times New Roman" w:cs="Times New Roman"/>
                <w:bCs/>
                <w:sz w:val="20"/>
                <w:szCs w:val="20"/>
                <w:lang w:eastAsia="es-ES_tradnl"/>
              </w:rPr>
              <w:t xml:space="preserve">€ </w:t>
            </w:r>
            <w:r w:rsidRPr="006E227F">
              <w:rPr>
                <w:rFonts w:ascii="Times New Roman" w:eastAsia="SimSun" w:hAnsi="Times New Roman" w:cs="Times New Roman"/>
                <w:bCs/>
                <w:sz w:val="20"/>
                <w:szCs w:val="20"/>
                <w:lang w:eastAsia="es-ES_tradnl"/>
              </w:rPr>
              <w:t xml:space="preserve">30 </w:t>
            </w:r>
            <w:r w:rsidR="006E227F" w:rsidRPr="006E227F">
              <w:rPr>
                <w:rFonts w:ascii="Times New Roman" w:eastAsia="SimSun" w:hAnsi="Times New Roman" w:cs="Times New Roman"/>
                <w:bCs/>
                <w:sz w:val="20"/>
                <w:szCs w:val="20"/>
                <w:lang w:eastAsia="es-ES_tradnl"/>
              </w:rPr>
              <w:t>(4 cycles)</w:t>
            </w:r>
          </w:p>
          <w:p w14:paraId="1BA66BF5" w14:textId="28AD9C7D" w:rsidR="00CE5C2F" w:rsidRPr="006E227F" w:rsidRDefault="00CE5C2F" w:rsidP="006E227F">
            <w:pPr>
              <w:jc w:val="center"/>
              <w:rPr>
                <w:rFonts w:ascii="Times New Roman" w:eastAsia="Times New Roman" w:hAnsi="Times New Roman" w:cs="Times New Roman"/>
                <w:color w:val="000000"/>
                <w:sz w:val="20"/>
                <w:szCs w:val="20"/>
                <w:lang w:eastAsia="en-US"/>
              </w:rPr>
            </w:pPr>
            <w:proofErr w:type="spellStart"/>
            <w:r w:rsidRPr="008E779E">
              <w:rPr>
                <w:rFonts w:ascii="Times New Roman" w:hAnsi="Times New Roman" w:cs="Times New Roman"/>
                <w:sz w:val="20"/>
                <w:szCs w:val="20"/>
              </w:rPr>
              <w:t>Pmtrx</w:t>
            </w:r>
            <w:proofErr w:type="spellEnd"/>
            <w:proofErr w:type="gramStart"/>
            <w:r w:rsidRPr="008E779E">
              <w:rPr>
                <w:rFonts w:ascii="Times New Roman" w:hAnsi="Times New Roman" w:cs="Times New Roman"/>
                <w:i/>
                <w:sz w:val="20"/>
                <w:szCs w:val="20"/>
                <w:vertAlign w:val="superscript"/>
              </w:rPr>
              <w:t xml:space="preserve">¥ </w:t>
            </w:r>
            <w:r w:rsidRPr="008E779E">
              <w:rPr>
                <w:rFonts w:ascii="Times New Roman" w:hAnsi="Times New Roman" w:cs="Times New Roman"/>
                <w:sz w:val="20"/>
                <w:szCs w:val="20"/>
              </w:rPr>
              <w:t>:</w:t>
            </w:r>
            <w:proofErr w:type="gramEnd"/>
            <w:r w:rsidRPr="008E779E">
              <w:rPr>
                <w:rFonts w:ascii="Times New Roman" w:hAnsi="Times New Roman" w:cs="Times New Roman"/>
                <w:sz w:val="20"/>
                <w:szCs w:val="20"/>
              </w:rPr>
              <w:t xml:space="preserve"> </w:t>
            </w:r>
            <w:r w:rsidR="008E779E">
              <w:rPr>
                <w:rFonts w:ascii="Times New Roman" w:hAnsi="Times New Roman" w:cs="Times New Roman"/>
                <w:sz w:val="20"/>
                <w:szCs w:val="20"/>
              </w:rPr>
              <w:t xml:space="preserve">€ </w:t>
            </w:r>
            <w:r w:rsidRPr="008E779E">
              <w:rPr>
                <w:rFonts w:ascii="Times New Roman" w:hAnsi="Times New Roman" w:cs="Times New Roman"/>
                <w:sz w:val="20"/>
                <w:szCs w:val="20"/>
              </w:rPr>
              <w:t xml:space="preserve">2.009 </w:t>
            </w:r>
          </w:p>
        </w:tc>
      </w:tr>
      <w:tr w:rsidR="008E779E" w:rsidRPr="006E227F" w14:paraId="6B0E137C" w14:textId="77777777" w:rsidTr="008E779E">
        <w:trPr>
          <w:gridAfter w:val="1"/>
          <w:wAfter w:w="14" w:type="dxa"/>
          <w:trHeight w:val="195"/>
        </w:trPr>
        <w:tc>
          <w:tcPr>
            <w:tcW w:w="1290" w:type="dxa"/>
            <w:vMerge/>
            <w:vAlign w:val="center"/>
            <w:hideMark/>
          </w:tcPr>
          <w:p w14:paraId="3904CA87"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79810F19" w14:textId="77777777" w:rsidR="008E779E"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Cisp</w:t>
            </w:r>
            <w:r w:rsidR="008E779E">
              <w:rPr>
                <w:rFonts w:ascii="Times New Roman" w:eastAsia="SimSun" w:hAnsi="Times New Roman" w:cs="Times New Roman"/>
                <w:bCs/>
                <w:sz w:val="20"/>
                <w:szCs w:val="20"/>
                <w:lang w:eastAsia="es-ES_tradnl"/>
              </w:rPr>
              <w:t>latin</w:t>
            </w:r>
            <w:r w:rsidRPr="006E227F">
              <w:rPr>
                <w:rFonts w:ascii="Times New Roman" w:eastAsia="SimSun" w:hAnsi="Times New Roman" w:cs="Times New Roman"/>
                <w:bCs/>
                <w:sz w:val="20"/>
                <w:szCs w:val="20"/>
                <w:lang w:eastAsia="es-ES_tradnl"/>
              </w:rPr>
              <w:t>+</w:t>
            </w:r>
            <w:r w:rsidR="008E779E">
              <w:rPr>
                <w:rFonts w:ascii="Times New Roman" w:eastAsia="SimSun" w:hAnsi="Times New Roman" w:cs="Times New Roman"/>
                <w:bCs/>
                <w:sz w:val="20"/>
                <w:szCs w:val="20"/>
                <w:lang w:eastAsia="es-ES_tradnl"/>
              </w:rPr>
              <w:t>pemetrexed</w:t>
            </w:r>
            <w:proofErr w:type="spellEnd"/>
            <w:r w:rsidRPr="006E227F">
              <w:rPr>
                <w:rFonts w:ascii="Times New Roman" w:eastAsia="SimSun" w:hAnsi="Times New Roman" w:cs="Times New Roman"/>
                <w:bCs/>
                <w:sz w:val="20"/>
                <w:szCs w:val="20"/>
                <w:lang w:eastAsia="es-ES_tradnl"/>
              </w:rPr>
              <w:t>+</w:t>
            </w:r>
          </w:p>
          <w:p w14:paraId="07DA81D3" w14:textId="22B449D4"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pembro</w:t>
            </w:r>
            <w:r w:rsidR="008E779E">
              <w:rPr>
                <w:rFonts w:ascii="Times New Roman" w:eastAsia="SimSun" w:hAnsi="Times New Roman" w:cs="Times New Roman"/>
                <w:bCs/>
                <w:sz w:val="20"/>
                <w:szCs w:val="20"/>
                <w:lang w:eastAsia="es-ES_tradnl"/>
              </w:rPr>
              <w:t>lizumab</w:t>
            </w:r>
          </w:p>
        </w:tc>
        <w:tc>
          <w:tcPr>
            <w:tcW w:w="976" w:type="dxa"/>
            <w:vAlign w:val="center"/>
            <w:hideMark/>
          </w:tcPr>
          <w:p w14:paraId="64B33AE4" w14:textId="5D0D47F0"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0</w:t>
            </w:r>
          </w:p>
        </w:tc>
        <w:tc>
          <w:tcPr>
            <w:tcW w:w="1610" w:type="dxa"/>
            <w:vAlign w:val="center"/>
            <w:hideMark/>
          </w:tcPr>
          <w:p w14:paraId="4AE7225B" w14:textId="24CA52DE"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fldChar w:fldCharType="begin" w:fldLock="1"/>
            </w:r>
            <w:r w:rsidRPr="006E227F">
              <w:rPr>
                <w:rFonts w:ascii="Times New Roman" w:eastAsia="SimSun" w:hAnsi="Times New Roman" w:cs="Times New Roman"/>
                <w:bCs/>
                <w:sz w:val="20"/>
                <w:szCs w:val="20"/>
                <w:lang w:eastAsia="es-ES_tradnl"/>
              </w:rPr>
              <w:instrText>ADDIN CSL_CITATION {"citationItems":[{"id":"ITEM-1","itemData":{"DOI":"10.1200/JCO.19.03136","ISSN":"15277755","PMID":"32150489","abstract":"PURPOSE In KEYNOTE-189, first-line pembrolizumab plus pemetrexed-platinum significantly improved overall survival (OS) and progression-free survival (PFS) compared with placebo plus pemetrexed-platinum in patients with metastatic nonsquamous non‒small-cell lung cancer (NSCLC), irrespective of tumor programmed death-ligand 1 (PD-L1) expression. We report an updated analysis from KEYNOTE-189 (ClinicalTrials.gov: NCT02578680). METHODS Patients were randomly assigned (2:1) to receive pemetrexed and platinum plus pembrolizumab (n = 410) or placebo (n = 206) every 3 weeks for 4 cycles, then pemetrexed maintenance plus pembrolizumab or placebo for up to a total of 35 cycles. Eligible patients with disease progression in the placebo-combination group could cross over to pembrolizumab monotherapy. Response was assessed per RECIST (version 1.1) by central review. No alpha was assigned to this updated analysis. RESULTS As of September 21, 2018 (median follow-up, 23.1 months), the updated median (95% CI) OS was 22.0 (19.5 to 25.2) months in the pembrolizumab-combination group versus 10.7 (8.7 to 13.6) months in the placebo-combination group (hazard ratio [HR], 0.56; 95% CI, 0.45 to 0.70]). Median (95% CI) PFS was 9.0 (8.1 to 9.9) months and 4.9 (4.7 to 5.5) months, respectively (HR, 0.48; 95% CI, 0.40 to 0.58). Median (95% CI) time from randomization to objective tumor progression on next-line treatment or death from any cause, whichever occurred first (progression-free-survival-2; PFS-2) was 17.0 (15.1 to 19.4) months and 9.0 (7.6 to 10.4) months, respectively (HR, 0.49; 95% CI, 0.40 to 0.59). OS and PFS benefits with pembrolizumab were observed regardless of PD-L1 expression or presence of liver/brain metastases. Incidence of grade 3-5 adverse events was similar in the pembrolizumab-combination (71.9%) and placebo-combination (66.8%) groups. CONCLUSION First-line pembrolizumab plus pemetrexed-platinum continued to demonstrate substantially improved OS and PFS in metastatic nonsquamous NSCLC, regardless of PD-L1 expression or liver/brain metastases, with manageable safety and tolerability.","author":[{"dropping-particle":"","family":"Gadgeel","given":"Shirish","non-dropping-particle":"","parse-names":false,"suffix":""},{"dropping-particle":"","family":"Rodríguez-Abreu","given":"Delvys","non-dropping-particle":"","parse-names":false,"suffix":""},{"dropping-particle":"","family":"Speranza","given":"Giovanna","non-dropping-particle":"","parse-names":false,"suffix":""},{"dropping-particle":"","family":"Esteban","given":"Emilio","non-dropping-particle":"","parse-names":false,"suffix":""},{"dropping-particle":"","family":"Felip","given":"Enriqueta","non-dropping-particle":"","parse-names":false,"suffix":""},{"dropping-particle":"","family":"Dómine","given":"Manuel","non-dropping-particle":"","parse-names":false,"suffix":""},{"dropping-particle":"","family":"Hui","given":"Rina","non-dropping-particle":"","parse-names":false,"suffix":""},{"dropping-particle":"","family":"Hochmair","given":"Maximilian J.","non-dropping-particle":"","parse-names":false,"suffix":""},{"dropping-particle":"","family":"Clingan","given":"Philip","non-dropping-particle":"","parse-names":false,"suffix":""},{"dropping-particle":"","family":"Powell","given":"Steven F.","non-dropping-particle":"","parse-names":false,"suffix":""},{"dropping-particle":"","family":"Yee-Shan Cheng","given":"Susanna","non-dropping-particle":"","parse-names":false,"suffix":""},{"dropping-particle":"","family":"Bischoff","given":"Helge G.","non-dropping-particle":"","parse-names":false,"suffix":""},{"dropping-particle":"","family":"Peled","given":"Nir","non-dropping-particle":"","parse-names":false,"suffix":""},{"dropping-particle":"","family":"Grossi","given":"Francesco","non-dropping-particle":"","parse-names":false,"suffix":""},{"dropping-particle":"","family":"Jennens","given":"Ross R.","non-dropping-particle":"","parse-names":false,"suffix":""},{"dropping-particle":"","family":"Reck","given":"Martin","non-dropping-particle":"","parse-names":false,"suffix":""},{"dropping-particle":"","family":"Garon","given":"Edward B.","non-dropping-particle":"","parse-names":false,"suffix":""},{"dropping-particle":"","family":"Novello","given":"Silvia","non-dropping-particle":"","parse-names":false,"suffix":""},{"dropping-particle":"","family":"Rubio-Viqueira","given":"Belén","non-dropping-particle":"","parse-names":false,"suffix":""},{"dropping-particle":"","family":"Boyer","given":"Michael","non-dropping-particle":"","parse-names":false,"suffix":""},{"dropping-particle":"","family":"Kurata","given":"Takayasu","non-dropping-particle":"","parse-names":false,"suffix":""},{"dropping-particle":"","family":"Gray","given":"Jhanelle E.","non-dropping-particle":"","parse-names":false,"suffix":""},{"dropping-particle":"","family":"Yang","given":"Jing","non-dropping-particle":"","parse-names":false,"suffix":""},{"dropping-particle":"","family":"Bas","given":"Tuba","non-dropping-particle":"","parse-names":false,"suffix":""},{"dropping-particle":"","family":"Pietanza","given":"M. Catherine","non-dropping-particle":"","parse-names":false,"suffix":""},{"dropping-particle":"","family":"Garassino","given":"Marina C.","non-dropping-particle":"","parse-names":false,"suffix":""}],"container-title":"Journal of Clinical Oncology","id":"ITEM-1","issue":"14","issued":{"date-parts":[["2020"]]},"page":"1505-1517","title":"Updated analysis from KEYNOTE-189: Pembrolizumab or placebo plus pemetrexed and platinum for previously untreated metastatic nonsquamous non–small-cell lung cancer","type":"article-journal","volume":"38"},"uris":["http://www.mendeley.com/documents/?uuid=82d6ca0b-1bf0-4e23-97ec-494205ce0080"]}],"mendeley":{"formattedCitation":"(36)","plainTextFormattedCitation":"(36)","previouslyFormattedCitation":"(36)"},"properties":{"noteIndex":0},"schema":"https://github.com/citation-style-language/schema/raw/master/csl-citation.json"}</w:instrText>
            </w:r>
            <w:r w:rsidRPr="006E227F">
              <w:rPr>
                <w:rFonts w:ascii="Times New Roman" w:eastAsia="SimSun" w:hAnsi="Times New Roman" w:cs="Times New Roman"/>
                <w:bCs/>
                <w:sz w:val="20"/>
                <w:szCs w:val="20"/>
                <w:lang w:eastAsia="es-ES_tradnl"/>
              </w:rPr>
              <w:fldChar w:fldCharType="separate"/>
            </w:r>
            <w:r w:rsidRPr="006E227F">
              <w:rPr>
                <w:rFonts w:ascii="Times New Roman" w:eastAsia="SimSun" w:hAnsi="Times New Roman" w:cs="Times New Roman"/>
                <w:bCs/>
                <w:noProof/>
                <w:sz w:val="20"/>
                <w:szCs w:val="20"/>
                <w:lang w:eastAsia="es-ES_tradnl"/>
              </w:rPr>
              <w:t>(36)</w:t>
            </w:r>
            <w:r w:rsidRPr="006E227F">
              <w:rPr>
                <w:rFonts w:ascii="Times New Roman" w:eastAsia="SimSun" w:hAnsi="Times New Roman" w:cs="Times New Roman"/>
                <w:bCs/>
                <w:sz w:val="20"/>
                <w:szCs w:val="20"/>
                <w:lang w:eastAsia="es-ES_tradnl"/>
              </w:rPr>
              <w:fldChar w:fldCharType="end"/>
            </w:r>
          </w:p>
        </w:tc>
        <w:tc>
          <w:tcPr>
            <w:tcW w:w="891" w:type="dxa"/>
            <w:gridSpan w:val="2"/>
            <w:vAlign w:val="center"/>
            <w:hideMark/>
          </w:tcPr>
          <w:p w14:paraId="201DDB9F" w14:textId="204DFB42"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22</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0</w:t>
            </w:r>
          </w:p>
        </w:tc>
        <w:tc>
          <w:tcPr>
            <w:tcW w:w="1494" w:type="dxa"/>
            <w:vAlign w:val="center"/>
            <w:hideMark/>
          </w:tcPr>
          <w:p w14:paraId="347F1F14" w14:textId="18C915BF"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fldChar w:fldCharType="begin" w:fldLock="1"/>
            </w:r>
            <w:r w:rsidRPr="006E227F">
              <w:rPr>
                <w:rFonts w:ascii="Times New Roman" w:eastAsia="SimSun" w:hAnsi="Times New Roman" w:cs="Times New Roman"/>
                <w:bCs/>
                <w:sz w:val="20"/>
                <w:szCs w:val="20"/>
                <w:lang w:eastAsia="es-ES_tradnl"/>
              </w:rPr>
              <w:instrText>ADDIN CSL_CITATION {"citationItems":[{"id":"ITEM-1","itemData":{"DOI":"10.1200/JCO.19.03136","ISSN":"15277755","PMID":"32150489","abstract":"PURPOSE In KEYNOTE-189, first-line pembrolizumab plus pemetrexed-platinum significantly improved overall survival (OS) and progression-free survival (PFS) compared with placebo plus pemetrexed-platinum in patients with metastatic nonsquamous non‒small-cell lung cancer (NSCLC), irrespective of tumor programmed death-ligand 1 (PD-L1) expression. We report an updated analysis from KEYNOTE-189 (ClinicalTrials.gov: NCT02578680). METHODS Patients were randomly assigned (2:1) to receive pemetrexed and platinum plus pembrolizumab (n = 410) or placebo (n = 206) every 3 weeks for 4 cycles, then pemetrexed maintenance plus pembrolizumab or placebo for up to a total of 35 cycles. Eligible patients with disease progression in the placebo-combination group could cross over to pembrolizumab monotherapy. Response was assessed per RECIST (version 1.1) by central review. No alpha was assigned to this updated analysis. RESULTS As of September 21, 2018 (median follow-up, 23.1 months), the updated median (95% CI) OS was 22.0 (19.5 to 25.2) months in the pembrolizumab-combination group versus 10.7 (8.7 to 13.6) months in the placebo-combination group (hazard ratio [HR], 0.56; 95% CI, 0.45 to 0.70]). Median (95% CI) PFS was 9.0 (8.1 to 9.9) months and 4.9 (4.7 to 5.5) months, respectively (HR, 0.48; 95% CI, 0.40 to 0.58). Median (95% CI) time from randomization to objective tumor progression on next-line treatment or death from any cause, whichever occurred first (progression-free-survival-2; PFS-2) was 17.0 (15.1 to 19.4) months and 9.0 (7.6 to 10.4) months, respectively (HR, 0.49; 95% CI, 0.40 to 0.59). OS and PFS benefits with pembrolizumab were observed regardless of PD-L1 expression or presence of liver/brain metastases. Incidence of grade 3-5 adverse events was similar in the pembrolizumab-combination (71.9%) and placebo-combination (66.8%) groups. CONCLUSION First-line pembrolizumab plus pemetrexed-platinum continued to demonstrate substantially improved OS and PFS in metastatic nonsquamous NSCLC, regardless of PD-L1 expression or liver/brain metastases, with manageable safety and tolerability.","author":[{"dropping-particle":"","family":"Gadgeel","given":"Shirish","non-dropping-particle":"","parse-names":false,"suffix":""},{"dropping-particle":"","family":"Rodríguez-Abreu","given":"Delvys","non-dropping-particle":"","parse-names":false,"suffix":""},{"dropping-particle":"","family":"Speranza","given":"Giovanna","non-dropping-particle":"","parse-names":false,"suffix":""},{"dropping-particle":"","family":"Esteban","given":"Emilio","non-dropping-particle":"","parse-names":false,"suffix":""},{"dropping-particle":"","family":"Felip","given":"Enriqueta","non-dropping-particle":"","parse-names":false,"suffix":""},{"dropping-particle":"","family":"Dómine","given":"Manuel","non-dropping-particle":"","parse-names":false,"suffix":""},{"dropping-particle":"","family":"Hui","given":"Rina","non-dropping-particle":"","parse-names":false,"suffix":""},{"dropping-particle":"","family":"Hochmair","given":"Maximilian J.","non-dropping-particle":"","parse-names":false,"suffix":""},{"dropping-particle":"","family":"Clingan","given":"Philip","non-dropping-particle":"","parse-names":false,"suffix":""},{"dropping-particle":"","family":"Powell","given":"Steven F.","non-dropping-particle":"","parse-names":false,"suffix":""},{"dropping-particle":"","family":"Yee-Shan Cheng","given":"Susanna","non-dropping-particle":"","parse-names":false,"suffix":""},{"dropping-particle":"","family":"Bischoff","given":"Helge G.","non-dropping-particle":"","parse-names":false,"suffix":""},{"dropping-particle":"","family":"Peled","given":"Nir","non-dropping-particle":"","parse-names":false,"suffix":""},{"dropping-particle":"","family":"Grossi","given":"Francesco","non-dropping-particle":"","parse-names":false,"suffix":""},{"dropping-particle":"","family":"Jennens","given":"Ross R.","non-dropping-particle":"","parse-names":false,"suffix":""},{"dropping-particle":"","family":"Reck","given":"Martin","non-dropping-particle":"","parse-names":false,"suffix":""},{"dropping-particle":"","family":"Garon","given":"Edward B.","non-dropping-particle":"","parse-names":false,"suffix":""},{"dropping-particle":"","family":"Novello","given":"Silvia","non-dropping-particle":"","parse-names":false,"suffix":""},{"dropping-particle":"","family":"Rubio-Viqueira","given":"Belén","non-dropping-particle":"","parse-names":false,"suffix":""},{"dropping-particle":"","family":"Boyer","given":"Michael","non-dropping-particle":"","parse-names":false,"suffix":""},{"dropping-particle":"","family":"Kurata","given":"Takayasu","non-dropping-particle":"","parse-names":false,"suffix":""},{"dropping-particle":"","family":"Gray","given":"Jhanelle E.","non-dropping-particle":"","parse-names":false,"suffix":""},{"dropping-particle":"","family":"Yang","given":"Jing","non-dropping-particle":"","parse-names":false,"suffix":""},{"dropping-particle":"","family":"Bas","given":"Tuba","non-dropping-particle":"","parse-names":false,"suffix":""},{"dropping-particle":"","family":"Pietanza","given":"M. Catherine","non-dropping-particle":"","parse-names":false,"suffix":""},{"dropping-particle":"","family":"Garassino","given":"Marina C.","non-dropping-particle":"","parse-names":false,"suffix":""}],"container-title":"Journal of Clinical Oncology","id":"ITEM-1","issue":"14","issued":{"date-parts":[["2020"]]},"page":"1505-1517","title":"Updated analysis from KEYNOTE-189: Pembrolizumab or placebo plus pemetrexed and platinum for previously untreated metastatic nonsquamous non–small-cell lung cancer","type":"article-journal","volume":"38"},"uris":["http://www.mendeley.com/documents/?uuid=82d6ca0b-1bf0-4e23-97ec-494205ce0080"]}],"mendeley":{"formattedCitation":"(36)","plainTextFormattedCitation":"(36)","previouslyFormattedCitation":"(36)"},"properties":{"noteIndex":0},"schema":"https://github.com/citation-style-language/schema/raw/master/csl-citation.json"}</w:instrText>
            </w:r>
            <w:r w:rsidRPr="006E227F">
              <w:rPr>
                <w:rFonts w:ascii="Times New Roman" w:eastAsia="SimSun" w:hAnsi="Times New Roman" w:cs="Times New Roman"/>
                <w:bCs/>
                <w:sz w:val="20"/>
                <w:szCs w:val="20"/>
                <w:lang w:eastAsia="es-ES_tradnl"/>
              </w:rPr>
              <w:fldChar w:fldCharType="separate"/>
            </w:r>
            <w:r w:rsidRPr="006E227F">
              <w:rPr>
                <w:rFonts w:ascii="Times New Roman" w:eastAsia="SimSun" w:hAnsi="Times New Roman" w:cs="Times New Roman"/>
                <w:bCs/>
                <w:noProof/>
                <w:sz w:val="20"/>
                <w:szCs w:val="20"/>
                <w:lang w:eastAsia="es-ES_tradnl"/>
              </w:rPr>
              <w:t>(36)</w:t>
            </w:r>
            <w:r w:rsidRPr="006E227F">
              <w:rPr>
                <w:rFonts w:ascii="Times New Roman" w:eastAsia="SimSun" w:hAnsi="Times New Roman" w:cs="Times New Roman"/>
                <w:bCs/>
                <w:sz w:val="20"/>
                <w:szCs w:val="20"/>
                <w:lang w:eastAsia="es-ES_tradnl"/>
              </w:rPr>
              <w:fldChar w:fldCharType="end"/>
            </w:r>
          </w:p>
        </w:tc>
        <w:tc>
          <w:tcPr>
            <w:tcW w:w="3181" w:type="dxa"/>
            <w:gridSpan w:val="2"/>
            <w:vAlign w:val="center"/>
          </w:tcPr>
          <w:p w14:paraId="0BD82493" w14:textId="6EB2E37A"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Cisp</w:t>
            </w:r>
            <w:proofErr w:type="spellEnd"/>
            <w:r w:rsidRPr="006E227F">
              <w:rPr>
                <w:rFonts w:ascii="Times New Roman" w:hAnsi="Times New Roman" w:cs="Times New Roman"/>
                <w:i/>
                <w:color w:val="000000" w:themeColor="text1"/>
                <w:sz w:val="20"/>
                <w:szCs w:val="20"/>
                <w:vertAlign w:val="superscript"/>
              </w:rPr>
              <w:t>¥</w:t>
            </w:r>
            <w:r w:rsidRPr="006E227F">
              <w:rPr>
                <w:rFonts w:ascii="Times New Roman" w:eastAsia="SimSun" w:hAnsi="Times New Roman" w:cs="Times New Roman"/>
                <w:bCs/>
                <w:sz w:val="20"/>
                <w:szCs w:val="20"/>
                <w:lang w:eastAsia="es-ES_tradnl"/>
              </w:rPr>
              <w:t>: 30 €</w:t>
            </w:r>
            <w:r w:rsidR="008E779E">
              <w:rPr>
                <w:rFonts w:ascii="Times New Roman" w:eastAsia="SimSun" w:hAnsi="Times New Roman" w:cs="Times New Roman"/>
                <w:bCs/>
                <w:sz w:val="20"/>
                <w:szCs w:val="20"/>
                <w:lang w:eastAsia="es-ES_tradnl"/>
              </w:rPr>
              <w:t xml:space="preserve"> </w:t>
            </w:r>
            <w:r w:rsidR="008E779E" w:rsidRPr="006E227F">
              <w:rPr>
                <w:rFonts w:ascii="Times New Roman" w:eastAsia="SimSun" w:hAnsi="Times New Roman" w:cs="Times New Roman"/>
                <w:bCs/>
                <w:sz w:val="20"/>
                <w:szCs w:val="20"/>
                <w:lang w:eastAsia="es-ES_tradnl"/>
              </w:rPr>
              <w:t>(4 cycles)</w:t>
            </w:r>
          </w:p>
          <w:p w14:paraId="7DFFDADD" w14:textId="464AD718" w:rsidR="00CE5C2F" w:rsidRPr="006E227F" w:rsidRDefault="00CE5C2F" w:rsidP="00CE5C2F">
            <w:pPr>
              <w:spacing w:line="276" w:lineRule="auto"/>
              <w:jc w:val="center"/>
              <w:rPr>
                <w:rFonts w:ascii="Times New Roman" w:hAnsi="Times New Roman" w:cs="Times New Roman"/>
                <w:sz w:val="20"/>
                <w:szCs w:val="20"/>
              </w:rPr>
            </w:pPr>
            <w:proofErr w:type="spellStart"/>
            <w:r w:rsidRPr="006E227F">
              <w:rPr>
                <w:rFonts w:ascii="Times New Roman" w:hAnsi="Times New Roman" w:cs="Times New Roman"/>
                <w:sz w:val="20"/>
                <w:szCs w:val="20"/>
              </w:rPr>
              <w:t>Pmtrx</w:t>
            </w:r>
            <w:proofErr w:type="spellEnd"/>
            <w:proofErr w:type="gramStart"/>
            <w:r w:rsidRPr="006E227F">
              <w:rPr>
                <w:rFonts w:ascii="Times New Roman" w:hAnsi="Times New Roman" w:cs="Times New Roman"/>
                <w:i/>
                <w:color w:val="000000" w:themeColor="text1"/>
                <w:sz w:val="20"/>
                <w:szCs w:val="20"/>
                <w:vertAlign w:val="superscript"/>
              </w:rPr>
              <w:t>¥</w:t>
            </w:r>
            <w:r w:rsidRPr="006E227F">
              <w:rPr>
                <w:rFonts w:ascii="Times New Roman" w:hAnsi="Times New Roman" w:cs="Times New Roman"/>
                <w:sz w:val="20"/>
                <w:szCs w:val="20"/>
              </w:rPr>
              <w:t xml:space="preserve"> :</w:t>
            </w:r>
            <w:proofErr w:type="gramEnd"/>
            <w:r w:rsidRPr="006E227F">
              <w:rPr>
                <w:rFonts w:ascii="Times New Roman" w:hAnsi="Times New Roman" w:cs="Times New Roman"/>
                <w:sz w:val="20"/>
                <w:szCs w:val="20"/>
              </w:rPr>
              <w:t xml:space="preserve"> 2.009 €</w:t>
            </w:r>
          </w:p>
          <w:p w14:paraId="5B7C4AB7" w14:textId="0266A349" w:rsidR="00CE5C2F" w:rsidRPr="006E227F" w:rsidRDefault="00CE5C2F" w:rsidP="00CE5C2F">
            <w:pPr>
              <w:spacing w:line="276" w:lineRule="auto"/>
              <w:jc w:val="center"/>
              <w:rPr>
                <w:rFonts w:ascii="Times New Roman" w:eastAsia="Times New Roman" w:hAnsi="Times New Roman" w:cs="Times New Roman"/>
                <w:color w:val="000000"/>
                <w:sz w:val="20"/>
                <w:szCs w:val="20"/>
                <w:lang w:eastAsia="en-US"/>
              </w:rPr>
            </w:pPr>
            <w:proofErr w:type="spellStart"/>
            <w:r w:rsidRPr="006E227F">
              <w:rPr>
                <w:rFonts w:ascii="Times New Roman" w:hAnsi="Times New Roman" w:cs="Times New Roman"/>
                <w:bCs/>
                <w:sz w:val="20"/>
                <w:szCs w:val="20"/>
                <w:lang w:eastAsia="es-ES_tradnl"/>
              </w:rPr>
              <w:t>Pembro</w:t>
            </w:r>
            <w:proofErr w:type="spellEnd"/>
            <w:r w:rsidRPr="006E227F">
              <w:rPr>
                <w:rFonts w:ascii="Times New Roman" w:hAnsi="Times New Roman" w:cs="Times New Roman"/>
                <w:i/>
                <w:color w:val="000000" w:themeColor="text1"/>
                <w:sz w:val="20"/>
                <w:szCs w:val="20"/>
                <w:vertAlign w:val="superscript"/>
              </w:rPr>
              <w:t>¥</w:t>
            </w:r>
            <w:r w:rsidRPr="006E227F">
              <w:rPr>
                <w:rFonts w:ascii="Times New Roman" w:hAnsi="Times New Roman" w:cs="Times New Roman"/>
                <w:bCs/>
                <w:sz w:val="20"/>
                <w:szCs w:val="20"/>
                <w:lang w:eastAsia="es-ES_tradnl"/>
              </w:rPr>
              <w:t xml:space="preserve">: </w:t>
            </w:r>
            <w:r w:rsidRPr="006E227F">
              <w:rPr>
                <w:rFonts w:ascii="Times New Roman" w:hAnsi="Times New Roman" w:cs="Times New Roman"/>
                <w:color w:val="000000"/>
                <w:sz w:val="20"/>
                <w:szCs w:val="20"/>
              </w:rPr>
              <w:t>6.597 €</w:t>
            </w:r>
          </w:p>
        </w:tc>
      </w:tr>
      <w:tr w:rsidR="008E779E" w:rsidRPr="006E227F" w14:paraId="420C03C8" w14:textId="77777777" w:rsidTr="008E779E">
        <w:trPr>
          <w:gridAfter w:val="1"/>
          <w:wAfter w:w="14" w:type="dxa"/>
          <w:trHeight w:val="195"/>
        </w:trPr>
        <w:tc>
          <w:tcPr>
            <w:tcW w:w="1290" w:type="dxa"/>
            <w:vMerge/>
            <w:vAlign w:val="center"/>
            <w:hideMark/>
          </w:tcPr>
          <w:p w14:paraId="44F6EE2E"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48E6CF2F" w14:textId="77777777" w:rsidR="008E779E"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Carb</w:t>
            </w:r>
            <w:r w:rsidR="008E779E">
              <w:rPr>
                <w:rFonts w:ascii="Times New Roman" w:eastAsia="SimSun" w:hAnsi="Times New Roman" w:cs="Times New Roman"/>
                <w:bCs/>
                <w:sz w:val="20"/>
                <w:szCs w:val="20"/>
                <w:lang w:eastAsia="es-ES_tradnl"/>
              </w:rPr>
              <w:t>oplatin</w:t>
            </w:r>
            <w:r w:rsidRPr="006E227F">
              <w:rPr>
                <w:rFonts w:ascii="Times New Roman" w:eastAsia="SimSun" w:hAnsi="Times New Roman" w:cs="Times New Roman"/>
                <w:bCs/>
                <w:sz w:val="20"/>
                <w:szCs w:val="20"/>
                <w:lang w:eastAsia="es-ES_tradnl"/>
              </w:rPr>
              <w:t>+p</w:t>
            </w:r>
            <w:r w:rsidR="00302703" w:rsidRPr="006E227F">
              <w:rPr>
                <w:rFonts w:ascii="Times New Roman" w:eastAsia="SimSun" w:hAnsi="Times New Roman" w:cs="Times New Roman"/>
                <w:bCs/>
                <w:sz w:val="20"/>
                <w:szCs w:val="20"/>
                <w:lang w:eastAsia="es-ES_tradnl"/>
              </w:rPr>
              <w:t>aclit</w:t>
            </w:r>
            <w:r w:rsidR="008E779E">
              <w:rPr>
                <w:rFonts w:ascii="Times New Roman" w:eastAsia="SimSun" w:hAnsi="Times New Roman" w:cs="Times New Roman"/>
                <w:bCs/>
                <w:sz w:val="20"/>
                <w:szCs w:val="20"/>
                <w:lang w:eastAsia="es-ES_tradnl"/>
              </w:rPr>
              <w:t>a</w:t>
            </w:r>
            <w:r w:rsidR="00302703" w:rsidRPr="006E227F">
              <w:rPr>
                <w:rFonts w:ascii="Times New Roman" w:eastAsia="SimSun" w:hAnsi="Times New Roman" w:cs="Times New Roman"/>
                <w:bCs/>
                <w:sz w:val="20"/>
                <w:szCs w:val="20"/>
                <w:lang w:eastAsia="es-ES_tradnl"/>
              </w:rPr>
              <w:t>x</w:t>
            </w:r>
            <w:r w:rsidR="008E779E">
              <w:rPr>
                <w:rFonts w:ascii="Times New Roman" w:eastAsia="SimSun" w:hAnsi="Times New Roman" w:cs="Times New Roman"/>
                <w:bCs/>
                <w:sz w:val="20"/>
                <w:szCs w:val="20"/>
                <w:lang w:eastAsia="es-ES_tradnl"/>
              </w:rPr>
              <w:t>el</w:t>
            </w:r>
            <w:proofErr w:type="spellEnd"/>
            <w:r w:rsidRPr="006E227F">
              <w:rPr>
                <w:rFonts w:ascii="Times New Roman" w:eastAsia="SimSun" w:hAnsi="Times New Roman" w:cs="Times New Roman"/>
                <w:bCs/>
                <w:sz w:val="20"/>
                <w:szCs w:val="20"/>
                <w:lang w:eastAsia="es-ES_tradnl"/>
              </w:rPr>
              <w:t>+</w:t>
            </w:r>
          </w:p>
          <w:p w14:paraId="501C2A36" w14:textId="672D1E0D"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beva</w:t>
            </w:r>
            <w:r w:rsidR="008E779E">
              <w:rPr>
                <w:rFonts w:ascii="Times New Roman" w:eastAsia="SimSun" w:hAnsi="Times New Roman" w:cs="Times New Roman"/>
                <w:bCs/>
                <w:sz w:val="20"/>
                <w:szCs w:val="20"/>
                <w:lang w:eastAsia="es-ES_tradnl"/>
              </w:rPr>
              <w:t>cizumab</w:t>
            </w:r>
          </w:p>
        </w:tc>
        <w:tc>
          <w:tcPr>
            <w:tcW w:w="976" w:type="dxa"/>
            <w:vAlign w:val="center"/>
            <w:hideMark/>
          </w:tcPr>
          <w:p w14:paraId="638C28BD" w14:textId="1BE7827D"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6</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2</w:t>
            </w:r>
          </w:p>
        </w:tc>
        <w:tc>
          <w:tcPr>
            <w:tcW w:w="1610" w:type="dxa"/>
            <w:vAlign w:val="center"/>
            <w:hideMark/>
          </w:tcPr>
          <w:p w14:paraId="1303D3AC" w14:textId="36240B96"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{"citationItems":[{"id":"ITEM-1","itemData":{"DOI":"10.1056/NEJMoa061884","ISSN":"1533-4406 (Electronic)","PMID":"17167137","abstract":"BACKGROUND: Bevacizumab, a monoclonal antibody against vascular endothelial growth  factor, has been shown to benefit patients with a variety of cancers. METHODS: Between July 2001 and April 2004, the Eastern Cooperative Oncology Group (ECOG) conducted a randomized study in which 878 patients with recurrent or advanced non-small-cell lung cancer (stage IIIB or IV) were assigned to chemotherapy with paclitaxel and carboplatin alone (444) or paclitaxel and carboplatin plus bevacizumab (434). Chemotherapy was administered every 3 weeks for six cycles, and bevacizumab was administered every 3 weeks until disease progression was evident or toxic effects were intolerable. Patients with squamous-cell tumors, brain metastases, clinically significant hemoptysis, or inadequate organ function or performance status (ECOG performance status, &gt;1) were excluded. The primary end point was overall survival. RESULTS: The median survival was 12.3 months in the group assigned to chemotherapy plus bevacizumab, as compared with 10.3 months in the chemotherapy-alone group (hazard ratio for death, 0.79; P=0.003). The median progression-free survival in the two groups was 6.2 and 4.5 months, respectively (hazard ratio for disease progression, 0.66; P&lt;0.001), with corresponding response rates of 35% and 15% (P&lt;0.001). Rates of clinically significant bleeding were 4.4% and 0.7%, respectively (P&lt;0.001). There were 15 treatment-related deaths in the chemotherapy-plus-bevacizumab group, including 5 from pulmonary hemorrhage. CONCLUSIONS: The addition of bevacizumab to paclitaxel plus carboplatin in the treatment of selected patients with non-small-cell lung cancer has a significant survival benefit with the risk of increased treatment-related deaths. (ClinicalTrials.gov number, NCT00021060.)","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H","non-dropping-particle":"","parse-names":false,"suffix":""}],"container-title":"The New England journal of medicine","id":"ITEM-1","issue":"24","issued":{"date-parts":[["2006","12"]]},"language":"eng","page":"2542-2550","publisher-place":"United States","title":"Paclitaxel-carboplatin alone or with bevacizumab for non-small-cell lung cancer.","type":"article-journal","volume":"355"},"uris":["http://www.mendeley.com/documents/?uuid=219536d4-2322-444e-96cf-074ac88a9491"]}],"mendeley":{"formattedCitation":"(37)","plainTextFormattedCitation":"(37)","previouslyFormattedCitation":"(37)"},"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(37)</w:t>
            </w:r>
            <w:r w:rsidRPr="006E227F">
              <w:rPr>
                <w:rFonts w:ascii="Times New Roman" w:hAnsi="Times New Roman" w:cs="Times New Roman"/>
                <w:sz w:val="20"/>
                <w:szCs w:val="20"/>
              </w:rPr>
              <w:fldChar w:fldCharType="end"/>
            </w:r>
          </w:p>
        </w:tc>
        <w:tc>
          <w:tcPr>
            <w:tcW w:w="891" w:type="dxa"/>
            <w:gridSpan w:val="2"/>
            <w:vAlign w:val="center"/>
            <w:hideMark/>
          </w:tcPr>
          <w:p w14:paraId="14DC2E60" w14:textId="41773D59"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12</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3</w:t>
            </w:r>
          </w:p>
        </w:tc>
        <w:tc>
          <w:tcPr>
            <w:tcW w:w="1494" w:type="dxa"/>
            <w:vAlign w:val="center"/>
            <w:hideMark/>
          </w:tcPr>
          <w:p w14:paraId="5DEBD7E3" w14:textId="454A99B0"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{"citationItems":[{"id":"ITEM-1","itemData":{"DOI":"10.1056/NEJMoa061884","ISSN":"1533-4406 (Electronic)","PMID":"17167137","abstract":"BACKGROUND: Bevacizumab, a monoclonal antibody against vascular endothelial growth  factor, has been shown to benefit patients with a variety of cancers. METHODS: Between July 2001 and April 2004, the Eastern Cooperative Oncology Group (ECOG) conducted a randomized study in which 878 patients with recurrent or advanced non-small-cell lung cancer (stage IIIB or IV) were assigned to chemotherapy with paclitaxel and carboplatin alone (444) or paclitaxel and carboplatin plus bevacizumab (434). Chemotherapy was administered every 3 weeks for six cycles, and bevacizumab was administered every 3 weeks until disease progression was evident or toxic effects were intolerable. Patients with squamous-cell tumors, brain metastases, clinically significant hemoptysis, or inadequate organ function or performance status (ECOG performance status, &gt;1) were excluded. The primary end point was overall survival. RESULTS: The median survival was 12.3 months in the group assigned to chemotherapy plus bevacizumab, as compared with 10.3 months in the chemotherapy-alone group (hazard ratio for death, 0.79; P=0.003). The median progression-free survival in the two groups was 6.2 and 4.5 months, respectively (hazard ratio for disease progression, 0.66; P&lt;0.001), with corresponding response rates of 35% and 15% (P&lt;0.001). Rates of clinically significant bleeding were 4.4% and 0.7%, respectively (P&lt;0.001). There were 15 treatment-related deaths in the chemotherapy-plus-bevacizumab group, including 5 from pulmonary hemorrhage. CONCLUSIONS: The addition of bevacizumab to paclitaxel plus carboplatin in the treatment of selected patients with non-small-cell lung cancer has a significant survival benefit with the risk of increased treatment-related deaths. (ClinicalTrials.gov number, NCT00021060.)","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H","non-dropping-particle":"","parse-names":false,"suffix":""}],"container-title":"The New England journal of medicine","id":"ITEM-1","issue":"24","issued":{"date-parts":[["2006","12"]]},"language":"eng","page":"2542-2550","publisher-place":"United States","title":"Paclitaxel-carboplatin alone or with bevacizumab for non-small-cell lung cancer.","type":"article-journal","volume":"355"},"uris":["http://www.mendeley.com/documents/?uuid=219536d4-2322-444e-96cf-074ac88a9491"]}],"mendeley":{"formattedCitation":"(37)","plainTextFormattedCitation":"(37)","previouslyFormattedCitation":"(37)"},"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(37)</w:t>
            </w:r>
            <w:r w:rsidRPr="006E227F">
              <w:rPr>
                <w:rFonts w:ascii="Times New Roman" w:hAnsi="Times New Roman" w:cs="Times New Roman"/>
                <w:sz w:val="20"/>
                <w:szCs w:val="20"/>
              </w:rPr>
              <w:fldChar w:fldCharType="end"/>
            </w:r>
          </w:p>
        </w:tc>
        <w:tc>
          <w:tcPr>
            <w:tcW w:w="3181" w:type="dxa"/>
            <w:gridSpan w:val="2"/>
            <w:vAlign w:val="center"/>
          </w:tcPr>
          <w:p w14:paraId="3BC61674" w14:textId="1E8E0EF5" w:rsidR="00CE5C2F" w:rsidRPr="006E227F" w:rsidRDefault="00CE5C2F" w:rsidP="00CE5C2F">
            <w:pPr>
              <w:spacing w:line="276" w:lineRule="auto"/>
              <w:jc w:val="center"/>
              <w:rPr>
                <w:rFonts w:ascii="Times New Roman" w:hAnsi="Times New Roman" w:cs="Times New Roman"/>
                <w:color w:val="000000"/>
                <w:sz w:val="20"/>
                <w:szCs w:val="20"/>
              </w:rPr>
            </w:pPr>
            <w:r w:rsidRPr="006E227F">
              <w:rPr>
                <w:rFonts w:ascii="Times New Roman" w:eastAsia="SimSun" w:hAnsi="Times New Roman" w:cs="Times New Roman"/>
                <w:bCs/>
                <w:sz w:val="20"/>
                <w:szCs w:val="20"/>
                <w:lang w:eastAsia="es-ES_tradnl"/>
              </w:rPr>
              <w:t>Carb+</w:t>
            </w:r>
            <w:r w:rsidR="008E779E">
              <w:t xml:space="preserve"> </w:t>
            </w:r>
            <w:proofErr w:type="spellStart"/>
            <w:r w:rsidR="008E779E" w:rsidRPr="008E779E">
              <w:rPr>
                <w:rFonts w:ascii="Times New Roman" w:eastAsia="SimSun" w:hAnsi="Times New Roman" w:cs="Times New Roman"/>
                <w:bCs/>
                <w:sz w:val="20"/>
                <w:szCs w:val="20"/>
                <w:lang w:eastAsia="es-ES_tradnl"/>
              </w:rPr>
              <w:t>pcltx</w:t>
            </w:r>
            <w:proofErr w:type="spellEnd"/>
            <w:r w:rsidRPr="006E227F">
              <w:rPr>
                <w:rFonts w:ascii="Times New Roman" w:hAnsi="Times New Roman" w:cs="Times New Roman"/>
                <w:i/>
                <w:color w:val="000000" w:themeColor="text1"/>
                <w:sz w:val="20"/>
                <w:szCs w:val="20"/>
                <w:vertAlign w:val="superscript"/>
              </w:rPr>
              <w:t>¥</w:t>
            </w:r>
            <w:r w:rsidRPr="006E227F">
              <w:rPr>
                <w:rFonts w:ascii="Times New Roman" w:eastAsia="SimSun" w:hAnsi="Times New Roman" w:cs="Times New Roman"/>
                <w:bCs/>
                <w:sz w:val="20"/>
                <w:szCs w:val="20"/>
                <w:lang w:eastAsia="es-ES_tradnl"/>
              </w:rPr>
              <w:t xml:space="preserve">: </w:t>
            </w:r>
            <w:r w:rsidRPr="006E227F">
              <w:rPr>
                <w:rFonts w:ascii="Times New Roman" w:hAnsi="Times New Roman" w:cs="Times New Roman"/>
                <w:color w:val="000000"/>
                <w:sz w:val="20"/>
                <w:szCs w:val="20"/>
              </w:rPr>
              <w:t>573 €</w:t>
            </w:r>
            <w:r w:rsidR="008E779E">
              <w:rPr>
                <w:rFonts w:ascii="Times New Roman" w:hAnsi="Times New Roman" w:cs="Times New Roman"/>
                <w:color w:val="000000"/>
                <w:sz w:val="20"/>
                <w:szCs w:val="20"/>
              </w:rPr>
              <w:t xml:space="preserve"> </w:t>
            </w:r>
            <w:r w:rsidR="008E779E" w:rsidRPr="006E227F">
              <w:rPr>
                <w:rFonts w:ascii="Times New Roman" w:eastAsia="SimSun" w:hAnsi="Times New Roman" w:cs="Times New Roman"/>
                <w:bCs/>
                <w:sz w:val="20"/>
                <w:szCs w:val="20"/>
                <w:lang w:eastAsia="es-ES_tradnl"/>
              </w:rPr>
              <w:t>(4 cycles)</w:t>
            </w:r>
          </w:p>
          <w:p w14:paraId="395824B3" w14:textId="36BB676C" w:rsidR="00CE5C2F" w:rsidRPr="006E227F" w:rsidRDefault="00CE5C2F" w:rsidP="00CE5C2F">
            <w:pPr>
              <w:spacing w:line="276" w:lineRule="auto"/>
              <w:jc w:val="center"/>
              <w:rPr>
                <w:rFonts w:ascii="Times New Roman" w:eastAsia="Times New Roman" w:hAnsi="Times New Roman" w:cs="Times New Roman"/>
                <w:color w:val="000000"/>
                <w:sz w:val="20"/>
                <w:szCs w:val="20"/>
                <w:lang w:eastAsia="en-US"/>
              </w:rPr>
            </w:pPr>
            <w:r w:rsidRPr="006E227F">
              <w:rPr>
                <w:rFonts w:ascii="Times New Roman" w:hAnsi="Times New Roman" w:cs="Times New Roman"/>
                <w:color w:val="000000"/>
                <w:sz w:val="20"/>
                <w:szCs w:val="20"/>
              </w:rPr>
              <w:t>Beva</w:t>
            </w:r>
            <w:r w:rsidRPr="006E227F">
              <w:rPr>
                <w:rFonts w:ascii="Times New Roman" w:hAnsi="Times New Roman" w:cs="Times New Roman"/>
                <w:i/>
                <w:color w:val="000000" w:themeColor="text1"/>
                <w:sz w:val="20"/>
                <w:szCs w:val="20"/>
                <w:vertAlign w:val="superscript"/>
              </w:rPr>
              <w:t>¥</w:t>
            </w:r>
            <w:r w:rsidRPr="006E227F">
              <w:rPr>
                <w:rFonts w:ascii="Times New Roman" w:hAnsi="Times New Roman" w:cs="Times New Roman"/>
                <w:color w:val="000000"/>
                <w:sz w:val="20"/>
                <w:szCs w:val="20"/>
              </w:rPr>
              <w:t>: 3.218 €</w:t>
            </w:r>
          </w:p>
        </w:tc>
      </w:tr>
      <w:tr w:rsidR="008E779E" w:rsidRPr="006E227F" w14:paraId="7AB145FB" w14:textId="77777777" w:rsidTr="008E779E">
        <w:trPr>
          <w:gridAfter w:val="1"/>
          <w:wAfter w:w="14" w:type="dxa"/>
          <w:trHeight w:val="195"/>
        </w:trPr>
        <w:tc>
          <w:tcPr>
            <w:tcW w:w="1290" w:type="dxa"/>
            <w:vMerge/>
            <w:vAlign w:val="center"/>
            <w:hideMark/>
          </w:tcPr>
          <w:p w14:paraId="520FE900" w14:textId="7777777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
        </w:tc>
        <w:tc>
          <w:tcPr>
            <w:tcW w:w="3491" w:type="dxa"/>
            <w:vAlign w:val="center"/>
            <w:hideMark/>
          </w:tcPr>
          <w:p w14:paraId="025948D1" w14:textId="77777777" w:rsidR="008E779E"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Carb</w:t>
            </w:r>
            <w:r w:rsidR="008E779E">
              <w:rPr>
                <w:rFonts w:ascii="Times New Roman" w:eastAsia="SimSun" w:hAnsi="Times New Roman" w:cs="Times New Roman"/>
                <w:bCs/>
                <w:sz w:val="20"/>
                <w:szCs w:val="20"/>
                <w:lang w:eastAsia="es-ES_tradnl"/>
              </w:rPr>
              <w:t>oplatin</w:t>
            </w:r>
            <w:r w:rsidRPr="006E227F">
              <w:rPr>
                <w:rFonts w:ascii="Times New Roman" w:eastAsia="SimSun" w:hAnsi="Times New Roman" w:cs="Times New Roman"/>
                <w:bCs/>
                <w:sz w:val="20"/>
                <w:szCs w:val="20"/>
                <w:lang w:eastAsia="es-ES_tradnl"/>
              </w:rPr>
              <w:t>+p</w:t>
            </w:r>
            <w:r w:rsidR="00302703" w:rsidRPr="006E227F">
              <w:rPr>
                <w:rFonts w:ascii="Times New Roman" w:eastAsia="SimSun" w:hAnsi="Times New Roman" w:cs="Times New Roman"/>
                <w:bCs/>
                <w:sz w:val="20"/>
                <w:szCs w:val="20"/>
                <w:lang w:eastAsia="es-ES_tradnl"/>
              </w:rPr>
              <w:t>aclit</w:t>
            </w:r>
            <w:r w:rsidR="008E779E">
              <w:rPr>
                <w:rFonts w:ascii="Times New Roman" w:eastAsia="SimSun" w:hAnsi="Times New Roman" w:cs="Times New Roman"/>
                <w:bCs/>
                <w:sz w:val="20"/>
                <w:szCs w:val="20"/>
                <w:lang w:eastAsia="es-ES_tradnl"/>
              </w:rPr>
              <w:t>axel</w:t>
            </w:r>
            <w:proofErr w:type="spellEnd"/>
            <w:r w:rsidRPr="006E227F">
              <w:rPr>
                <w:rFonts w:ascii="Times New Roman" w:eastAsia="SimSun" w:hAnsi="Times New Roman" w:cs="Times New Roman"/>
                <w:bCs/>
                <w:sz w:val="20"/>
                <w:szCs w:val="20"/>
                <w:lang w:eastAsia="es-ES_tradnl"/>
              </w:rPr>
              <w:t>+</w:t>
            </w:r>
          </w:p>
          <w:p w14:paraId="476A7BEB" w14:textId="3647FA4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eastAsia="SimSun" w:hAnsi="Times New Roman" w:cs="Times New Roman"/>
                <w:bCs/>
                <w:sz w:val="20"/>
                <w:szCs w:val="20"/>
                <w:lang w:eastAsia="es-ES_tradnl"/>
              </w:rPr>
              <w:t>beva</w:t>
            </w:r>
            <w:r w:rsidR="008E779E">
              <w:rPr>
                <w:rFonts w:ascii="Times New Roman" w:eastAsia="SimSun" w:hAnsi="Times New Roman" w:cs="Times New Roman"/>
                <w:bCs/>
                <w:sz w:val="20"/>
                <w:szCs w:val="20"/>
                <w:lang w:eastAsia="es-ES_tradnl"/>
              </w:rPr>
              <w:t>cizumab</w:t>
            </w:r>
            <w:r w:rsidRPr="006E227F">
              <w:rPr>
                <w:rFonts w:ascii="Times New Roman" w:eastAsia="SimSun" w:hAnsi="Times New Roman" w:cs="Times New Roman"/>
                <w:bCs/>
                <w:sz w:val="20"/>
                <w:szCs w:val="20"/>
                <w:lang w:eastAsia="es-ES_tradnl"/>
              </w:rPr>
              <w:t>+atezo</w:t>
            </w:r>
            <w:r w:rsidR="008E779E">
              <w:rPr>
                <w:rFonts w:ascii="Times New Roman" w:eastAsia="SimSun" w:hAnsi="Times New Roman" w:cs="Times New Roman"/>
                <w:bCs/>
                <w:sz w:val="20"/>
                <w:szCs w:val="20"/>
                <w:lang w:eastAsia="es-ES_tradnl"/>
              </w:rPr>
              <w:t>lizumab</w:t>
            </w:r>
            <w:proofErr w:type="spellEnd"/>
          </w:p>
        </w:tc>
        <w:tc>
          <w:tcPr>
            <w:tcW w:w="976" w:type="dxa"/>
            <w:vAlign w:val="center"/>
            <w:hideMark/>
          </w:tcPr>
          <w:p w14:paraId="5B20B4D2" w14:textId="75B16351"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8</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3</w:t>
            </w:r>
          </w:p>
        </w:tc>
        <w:tc>
          <w:tcPr>
            <w:tcW w:w="1610" w:type="dxa"/>
            <w:vAlign w:val="center"/>
            <w:hideMark/>
          </w:tcPr>
          <w:p w14:paraId="10C5BCF3" w14:textId="253ED6CC"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{"citationItems":[{"id":"ITEM-1","itemData":{"DOI":"10.1056/NEJMoa1716948","ISSN":"1533-4406 (Electronic)","PMID":"29863955","abstract":"BACKGROUND: The cancer-cell-killing property of atezolizumab may be enhanced by the  blockade of vascular endothelial growth factor-mediated immunosuppression with bevacizumab. This open-label, phase 3 study evaluated atezolizumab plus bevacizumab plus chemotherapy in patients with metastatic nonsquamous non-small-cell lung cancer (NSCLC) who had not previously received chemotherapy. METHODS: We randomly assigned patients to receive atezolizumab plus carboplatin plus paclitaxel (ACP), bevacizumab plus carboplatin plus paclitaxel (BCP), or atezolizumab plus BCP (ABCP) every 3 weeks for four or six cycles, followed by maintenance therapy with atezolizumab, bevacizumab, or both. The two primary end points were investigator-assessed progression-free survival both among patients in the intention-to-treat population who had a wild-type genotype (WT population; patients with EGFR or ALK genetic alterations were excluded) and among patients in the WT population who had high expression of an effector T-cell (Teff) gene signature in the tumor (Teff-high WT population) and overall survival in the WT population. The ABCP group was compared with the BCP group before the ACP group was compared with the BCP group. RESULTS: In the WT population, 356 patients were assigned to the ABCP group, and 336 to the BCP group. The median progression-free survival was longer in the ABCP group than in the BCP group (8.3 months vs. 6.8 months; hazard ratio for disease progression or death, 0.62; 95% confidence interval [CI], 0.52 to 0.74; P&lt;0.001); the corresponding values in the Teff-high WT population were 11.3 months and 6.8 months (hazard ratio, 0.51 [95% CI, 0.38 to 0.68]; P&lt;0.001). Progression-free survival was also longer in the ABCP group than in the BCP group in the entire intention-to-treat population (including those with EGFR or ALK genetic alterations) and among patients with low or negative programmed death ligand 1 (PD-L1) expression, those with low Teff gene-signature expression, and those with liver metastases. Median overall survival among the patients in the WT population was longer in the ABCP group than in the BCP group (19.2 months vs. 14.7 months; hazard ratio for death, 0.78; 95% CI, 0.64 to 0.96; P=0.02). The safety profile of ABCP was consistent with previously reported safety risks of the individual medicines. CONCLUSIONS: The addition of atezolizumab to bevacizumab plus chemotherapy significantly improved progression-free survival and overall survival amo…","author":[{"dropping-particle":"","family":"Socinski","given":"Mark A","non-dropping-particle":"","parse-names":false,"suffix":""},{"dropping-particle":"","family":"Jotte","given":"Robert M","non-dropping-particle":"","parse-names":false,"suffix":""},{"dropping-particle":"","family":"Cappuzzo","given":"Federico","non-dropping-particle":"","parse-names":false,"suffix":""},{"dropping-particle":"","family":"Orlandi","given":"Francisco","non-dropping-particle":"","parse-names":false,"suffix":""},{"dropping-particle":"","family":"Stroyakovskiy","given":"Daniil","non-dropping-particle":"","parse-names":false,"suffix":""},{"dropping-particle":"","family":"Nogami","given":"Naoyuki","non-dropping-particle":"","parse-names":false,"suffix":""},{"dropping-particle":"","family":"Rodríguez-Abreu","given":"Delvys","non-dropping-particle":"","parse-names":false,"suffix":""},{"dropping-particle":"","family":"Moro-Sibilot","given":"Denis","non-dropping-particle":"","parse-names":false,"suffix":""},{"dropping-particle":"","family":"Thomas","given":"Christian A","non-dropping-particle":"","parse-names":false,"suffix":""},{"dropping-particle":"","family":"Barlesi","given":"Fabrice","non-dropping-particle":"","parse-names":false,"suffix":""},{"dropping-particle":"","family":"Finley","given":"Gene","non-dropping-particle":"","parse-names":false,"suffix":""},{"dropping-particle":"","family":"Kelsch","given":"Claudia","non-dropping-particle":"","parse-names":false,"suffix":""},{"dropping-particle":"","family":"Lee","given":"Anthony","non-dropping-particle":"","parse-names":false,"suffix":""},{"dropping-particle":"","family":"Coleman","given":"Shelley","non-dropping-particle":"","parse-names":false,"suffix":""},{"dropping-particle":"","family":"Deng","given":"Yu","non-dropping-particle":"","parse-names":false,"suffix":""},{"dropping-particle":"","family":"Shen","given":"Yijing","non-dropping-particle":"","parse-names":false,"suffix":""},{"dropping-particle":"","family":"Kowanetz","given":"Marcin","non-dropping-particle":"","parse-names":false,"suffix":""},{"dropping-particle":"","family":"Lopez-Chavez","given":"Ariel","non-dropping-particle":"","parse-names":false,"suffix":""},{"dropping-particle":"","family":"Sandler","given":"Alan","non-dropping-particle":"","parse-names":false,"suffix":""},{"dropping-particle":"","family":"Reck","given":"Martin","non-dropping-particle":"","parse-names":false,"suffix":""}],"container-title":"The New England journal of medicine","id":"ITEM-1","issue":"24","issued":{"date-parts":[["2018","6"]]},"language":"eng","page":"2288-2301","publisher-place":"United States","title":"Atezolizumab for First-Line Treatment of Metastatic Nonsquamous NSCLC.","type":"article-journal","volume":"378"},"uris":["http://www.mendeley.com/documents/?uuid=84dc37a3-046c-4bee-a695-9e44f51a4216"]}],"mendeley":{"formattedCitation":"(38)","plainTextFormattedCitation":"(38)","previouslyFormattedCitation":"(38)"},"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(38)</w:t>
            </w:r>
            <w:r w:rsidRPr="006E227F">
              <w:rPr>
                <w:rFonts w:ascii="Times New Roman" w:hAnsi="Times New Roman" w:cs="Times New Roman"/>
                <w:sz w:val="20"/>
                <w:szCs w:val="20"/>
              </w:rPr>
              <w:fldChar w:fldCharType="end"/>
            </w:r>
          </w:p>
        </w:tc>
        <w:tc>
          <w:tcPr>
            <w:tcW w:w="891" w:type="dxa"/>
            <w:gridSpan w:val="2"/>
            <w:vAlign w:val="center"/>
            <w:hideMark/>
          </w:tcPr>
          <w:p w14:paraId="0CEE75E5" w14:textId="75F04719"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eastAsia="SimSun" w:hAnsi="Times New Roman" w:cs="Times New Roman"/>
                <w:bCs/>
                <w:sz w:val="20"/>
                <w:szCs w:val="20"/>
                <w:lang w:eastAsia="es-ES_tradnl"/>
              </w:rPr>
              <w:t>19</w:t>
            </w:r>
            <w:r w:rsidR="006E227F" w:rsidRPr="006E227F">
              <w:rPr>
                <w:rFonts w:ascii="Times New Roman" w:eastAsia="SimSun" w:hAnsi="Times New Roman" w:cs="Times New Roman"/>
                <w:bCs/>
                <w:sz w:val="20"/>
                <w:szCs w:val="20"/>
                <w:lang w:eastAsia="es-ES_tradnl"/>
              </w:rPr>
              <w:t>.</w:t>
            </w:r>
            <w:r w:rsidRPr="006E227F">
              <w:rPr>
                <w:rFonts w:ascii="Times New Roman" w:eastAsia="SimSun" w:hAnsi="Times New Roman" w:cs="Times New Roman"/>
                <w:bCs/>
                <w:sz w:val="20"/>
                <w:szCs w:val="20"/>
                <w:lang w:eastAsia="es-ES_tradnl"/>
              </w:rPr>
              <w:t>2</w:t>
            </w:r>
          </w:p>
        </w:tc>
        <w:tc>
          <w:tcPr>
            <w:tcW w:w="1494" w:type="dxa"/>
            <w:vAlign w:val="center"/>
            <w:hideMark/>
          </w:tcPr>
          <w:p w14:paraId="332D8DD6" w14:textId="3FDDB257"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r w:rsidRPr="006E227F">
              <w:rPr>
                <w:rFonts w:ascii="Times New Roman" w:hAnsi="Times New Roman" w:cs="Times New Roman"/>
                <w:sz w:val="20"/>
                <w:szCs w:val="20"/>
              </w:rPr>
              <w:fldChar w:fldCharType="begin" w:fldLock="1"/>
            </w:r>
            <w:r w:rsidRPr="006E227F">
              <w:rPr>
                <w:rFonts w:ascii="Times New Roman" w:hAnsi="Times New Roman" w:cs="Times New Roman"/>
                <w:sz w:val="20"/>
                <w:szCs w:val="20"/>
              </w:rPr>
              <w:instrText>ADDIN CSL_CITATION {"citationItems":[{"id":"ITEM-1","itemData":{"DOI":"10.1056/NEJMoa1716948","ISSN":"1533-4406 (Electronic)","PMID":"29863955","abstract":"BACKGROUND: The cancer-cell-killing property of atezolizumab may be enhanced by the  blockade of vascular endothelial growth factor-mediated immunosuppression with bevacizumab. This open-label, phase 3 study evaluated atezolizumab plus bevacizumab plus chemotherapy in patients with metastatic nonsquamous non-small-cell lung cancer (NSCLC) who had not previously received chemotherapy. METHODS: We randomly assigned patients to receive atezolizumab plus carboplatin plus paclitaxel (ACP), bevacizumab plus carboplatin plus paclitaxel (BCP), or atezolizumab plus BCP (ABCP) every 3 weeks for four or six cycles, followed by maintenance therapy with atezolizumab, bevacizumab, or both. The two primary end points were investigator-assessed progression-free survival both among patients in the intention-to-treat population who had a wild-type genotype (WT population; patients with EGFR or ALK genetic alterations were excluded) and among patients in the WT population who had high expression of an effector T-cell (Teff) gene signature in the tumor (Teff-high WT population) and overall survival in the WT population. The ABCP group was compared with the BCP group before the ACP group was compared with the BCP group. RESULTS: In the WT population, 356 patients were assigned to the ABCP group, and 336 to the BCP group. The median progression-free survival was longer in the ABCP group than in the BCP group (8.3 months vs. 6.8 months; hazard ratio for disease progression or death, 0.62; 95% confidence interval [CI], 0.52 to 0.74; P&lt;0.001); the corresponding values in the Teff-high WT population were 11.3 months and 6.8 months (hazard ratio, 0.51 [95% CI, 0.38 to 0.68]; P&lt;0.001). Progression-free survival was also longer in the ABCP group than in the BCP group in the entire intention-to-treat population (including those with EGFR or ALK genetic alterations) and among patients with low or negative programmed death ligand 1 (PD-L1) expression, those with low Teff gene-signature expression, and those with liver metastases. Median overall survival among the patients in the WT population was longer in the ABCP group than in the BCP group (19.2 months vs. 14.7 months; hazard ratio for death, 0.78; 95% CI, 0.64 to 0.96; P=0.02). The safety profile of ABCP was consistent with previously reported safety risks of the individual medicines. CONCLUSIONS: The addition of atezolizumab to bevacizumab plus chemotherapy significantly improved progression-free survival and overall survival amo…","author":[{"dropping-particle":"","family":"Socinski","given":"Mark A","non-dropping-particle":"","parse-names":false,"suffix":""},{"dropping-particle":"","family":"Jotte","given":"Robert M","non-dropping-particle":"","parse-names":false,"suffix":""},{"dropping-particle":"","family":"Cappuzzo","given":"Federico","non-dropping-particle":"","parse-names":false,"suffix":""},{"dropping-particle":"","family":"Orlandi","given":"Francisco","non-dropping-particle":"","parse-names":false,"suffix":""},{"dropping-particle":"","family":"Stroyakovskiy","given":"Daniil","non-dropping-particle":"","parse-names":false,"suffix":""},{"dropping-particle":"","family":"Nogami","given":"Naoyuki","non-dropping-particle":"","parse-names":false,"suffix":""},{"dropping-particle":"","family":"Rodríguez-Abreu","given":"Delvys","non-dropping-particle":"","parse-names":false,"suffix":""},{"dropping-particle":"","family":"Moro-Sibilot","given":"Denis","non-dropping-particle":"","parse-names":false,"suffix":""},{"dropping-particle":"","family":"Thomas","given":"Christian A","non-dropping-particle":"","parse-names":false,"suffix":""},{"dropping-particle":"","family":"Barlesi","given":"Fabrice","non-dropping-particle":"","parse-names":false,"suffix":""},{"dropping-particle":"","family":"Finley","given":"Gene","non-dropping-particle":"","parse-names":false,"suffix":""},{"dropping-particle":"","family":"Kelsch","given":"Claudia","non-dropping-particle":"","parse-names":false,"suffix":""},{"dropping-particle":"","family":"Lee","given":"Anthony","non-dropping-particle":"","parse-names":false,"suffix":""},{"dropping-particle":"","family":"Coleman","given":"Shelley","non-dropping-particle":"","parse-names":false,"suffix":""},{"dropping-particle":"","family":"Deng","given":"Yu","non-dropping-particle":"","parse-names":false,"suffix":""},{"dropping-particle":"","family":"Shen","given":"Yijing","non-dropping-particle":"","parse-names":false,"suffix":""},{"dropping-particle":"","family":"Kowanetz","given":"Marcin","non-dropping-particle":"","parse-names":false,"suffix":""},{"dropping-particle":"","family":"Lopez-Chavez","given":"Ariel","non-dropping-particle":"","parse-names":false,"suffix":""},{"dropping-particle":"","family":"Sandler","given":"Alan","non-dropping-particle":"","parse-names":false,"suffix":""},{"dropping-particle":"","family":"Reck","given":"Martin","non-dropping-particle":"","parse-names":false,"suffix":""}],"container-title":"The New England journal of medicine","id":"ITEM-1","issue":"24","issued":{"date-parts":[["2018","6"]]},"language":"eng","page":"2288-2301","publisher-place":"United States","title":"Atezolizumab for First-Line Treatment of Metastatic Nonsquamous NSCLC.","type":"article-journal","volume":"378"},"uris":["http://www.mendeley.com/documents/?uuid=84dc37a3-046c-4bee-a695-9e44f51a4216"]}],"mendeley":{"formattedCitation":"(38)","plainTextFormattedCitation":"(38)","previouslyFormattedCitation":"(38)"},"properties":{"noteIndex":0},"schema":"https://github.com/citation-style-language/schema/raw/master/csl-citation.json"}</w:instrText>
            </w:r>
            <w:r w:rsidRPr="006E227F">
              <w:rPr>
                <w:rFonts w:ascii="Times New Roman" w:hAnsi="Times New Roman" w:cs="Times New Roman"/>
                <w:sz w:val="20"/>
                <w:szCs w:val="20"/>
              </w:rPr>
              <w:fldChar w:fldCharType="separate"/>
            </w:r>
            <w:r w:rsidRPr="006E227F">
              <w:rPr>
                <w:rFonts w:ascii="Times New Roman" w:hAnsi="Times New Roman" w:cs="Times New Roman"/>
                <w:noProof/>
                <w:sz w:val="20"/>
                <w:szCs w:val="20"/>
              </w:rPr>
              <w:t>(38)</w:t>
            </w:r>
            <w:r w:rsidRPr="006E227F">
              <w:rPr>
                <w:rFonts w:ascii="Times New Roman" w:hAnsi="Times New Roman" w:cs="Times New Roman"/>
                <w:sz w:val="20"/>
                <w:szCs w:val="20"/>
              </w:rPr>
              <w:fldChar w:fldCharType="end"/>
            </w:r>
          </w:p>
        </w:tc>
        <w:tc>
          <w:tcPr>
            <w:tcW w:w="3181" w:type="dxa"/>
            <w:gridSpan w:val="2"/>
            <w:vAlign w:val="center"/>
          </w:tcPr>
          <w:p w14:paraId="75A714B2" w14:textId="0587ABED" w:rsidR="00CE5C2F" w:rsidRPr="006E227F" w:rsidRDefault="00CE5C2F" w:rsidP="00CE5C2F">
            <w:pPr>
              <w:spacing w:line="276" w:lineRule="auto"/>
              <w:jc w:val="center"/>
              <w:rPr>
                <w:rFonts w:ascii="Times New Roman" w:hAnsi="Times New Roman" w:cs="Times New Roman"/>
                <w:color w:val="000000"/>
                <w:sz w:val="20"/>
                <w:szCs w:val="20"/>
              </w:rPr>
            </w:pPr>
            <w:r w:rsidRPr="006E227F">
              <w:rPr>
                <w:rFonts w:ascii="Times New Roman" w:eastAsia="SimSun" w:hAnsi="Times New Roman" w:cs="Times New Roman"/>
                <w:bCs/>
                <w:sz w:val="20"/>
                <w:szCs w:val="20"/>
                <w:lang w:eastAsia="es-ES_tradnl"/>
              </w:rPr>
              <w:t>Carb+</w:t>
            </w:r>
            <w:r w:rsidR="008E779E">
              <w:t xml:space="preserve"> </w:t>
            </w:r>
            <w:proofErr w:type="spellStart"/>
            <w:r w:rsidR="008E779E" w:rsidRPr="008E779E">
              <w:rPr>
                <w:rFonts w:ascii="Times New Roman" w:eastAsia="SimSun" w:hAnsi="Times New Roman" w:cs="Times New Roman"/>
                <w:bCs/>
                <w:sz w:val="20"/>
                <w:szCs w:val="20"/>
                <w:lang w:eastAsia="es-ES_tradnl"/>
              </w:rPr>
              <w:t>pcltx</w:t>
            </w:r>
            <w:proofErr w:type="spellEnd"/>
            <w:r w:rsidRPr="006E227F">
              <w:rPr>
                <w:rFonts w:ascii="Times New Roman" w:hAnsi="Times New Roman" w:cs="Times New Roman"/>
                <w:i/>
                <w:color w:val="000000" w:themeColor="text1"/>
                <w:sz w:val="20"/>
                <w:szCs w:val="20"/>
                <w:vertAlign w:val="superscript"/>
              </w:rPr>
              <w:t>¥</w:t>
            </w:r>
            <w:r w:rsidRPr="006E227F">
              <w:rPr>
                <w:rFonts w:ascii="Times New Roman" w:eastAsia="SimSun" w:hAnsi="Times New Roman" w:cs="Times New Roman"/>
                <w:bCs/>
                <w:sz w:val="20"/>
                <w:szCs w:val="20"/>
                <w:lang w:eastAsia="es-ES_tradnl"/>
              </w:rPr>
              <w:t xml:space="preserve">: </w:t>
            </w:r>
            <w:r w:rsidRPr="006E227F">
              <w:rPr>
                <w:rFonts w:ascii="Times New Roman" w:hAnsi="Times New Roman" w:cs="Times New Roman"/>
                <w:color w:val="000000"/>
                <w:sz w:val="20"/>
                <w:szCs w:val="20"/>
              </w:rPr>
              <w:t>573 €</w:t>
            </w:r>
            <w:r w:rsidR="008E779E">
              <w:rPr>
                <w:rFonts w:ascii="Times New Roman" w:hAnsi="Times New Roman" w:cs="Times New Roman"/>
                <w:color w:val="000000"/>
                <w:sz w:val="20"/>
                <w:szCs w:val="20"/>
              </w:rPr>
              <w:t xml:space="preserve"> </w:t>
            </w:r>
            <w:r w:rsidR="008E779E" w:rsidRPr="006E227F">
              <w:rPr>
                <w:rFonts w:ascii="Times New Roman" w:eastAsia="SimSun" w:hAnsi="Times New Roman" w:cs="Times New Roman"/>
                <w:bCs/>
                <w:sz w:val="20"/>
                <w:szCs w:val="20"/>
                <w:lang w:eastAsia="es-ES_tradnl"/>
              </w:rPr>
              <w:t>(4 cycles)</w:t>
            </w:r>
          </w:p>
          <w:p w14:paraId="25D1D538" w14:textId="39FE17A4" w:rsidR="00CE5C2F" w:rsidRPr="006E227F" w:rsidRDefault="00CE5C2F" w:rsidP="00CE5C2F">
            <w:pPr>
              <w:spacing w:line="276" w:lineRule="auto"/>
              <w:jc w:val="center"/>
              <w:rPr>
                <w:rFonts w:ascii="Times New Roman" w:hAnsi="Times New Roman" w:cs="Times New Roman"/>
                <w:color w:val="000000"/>
                <w:sz w:val="20"/>
                <w:szCs w:val="20"/>
              </w:rPr>
            </w:pPr>
            <w:r w:rsidRPr="006E227F">
              <w:rPr>
                <w:rFonts w:ascii="Times New Roman" w:hAnsi="Times New Roman" w:cs="Times New Roman"/>
                <w:color w:val="000000"/>
                <w:sz w:val="20"/>
                <w:szCs w:val="20"/>
              </w:rPr>
              <w:t>Beva</w:t>
            </w:r>
            <w:r w:rsidRPr="006E227F">
              <w:rPr>
                <w:rFonts w:ascii="Times New Roman" w:hAnsi="Times New Roman" w:cs="Times New Roman"/>
                <w:i/>
                <w:color w:val="000000" w:themeColor="text1"/>
                <w:sz w:val="20"/>
                <w:szCs w:val="20"/>
                <w:vertAlign w:val="superscript"/>
              </w:rPr>
              <w:t>¥</w:t>
            </w:r>
            <w:r w:rsidRPr="006E227F">
              <w:rPr>
                <w:rFonts w:ascii="Times New Roman" w:hAnsi="Times New Roman" w:cs="Times New Roman"/>
                <w:color w:val="000000"/>
                <w:sz w:val="20"/>
                <w:szCs w:val="20"/>
              </w:rPr>
              <w:t>: 3.218 €</w:t>
            </w:r>
          </w:p>
          <w:p w14:paraId="7DED9630" w14:textId="0F1586CE" w:rsidR="00CE5C2F" w:rsidRPr="006E227F" w:rsidRDefault="00CE5C2F" w:rsidP="00CE5C2F">
            <w:pPr>
              <w:spacing w:line="276" w:lineRule="auto"/>
              <w:jc w:val="center"/>
              <w:rPr>
                <w:rFonts w:ascii="Times New Roman" w:eastAsia="SimSun" w:hAnsi="Times New Roman" w:cs="Times New Roman"/>
                <w:bCs/>
                <w:sz w:val="20"/>
                <w:szCs w:val="20"/>
                <w:lang w:eastAsia="es-ES_tradnl"/>
              </w:rPr>
            </w:pPr>
            <w:proofErr w:type="spellStart"/>
            <w:r w:rsidRPr="006E227F">
              <w:rPr>
                <w:rFonts w:ascii="Times New Roman" w:hAnsi="Times New Roman" w:cs="Times New Roman"/>
                <w:color w:val="000000"/>
                <w:sz w:val="20"/>
                <w:szCs w:val="20"/>
              </w:rPr>
              <w:t>Atezo</w:t>
            </w:r>
            <w:proofErr w:type="spellEnd"/>
            <w:r w:rsidRPr="006E227F">
              <w:rPr>
                <w:rFonts w:ascii="Times New Roman" w:hAnsi="Times New Roman" w:cs="Times New Roman"/>
                <w:i/>
                <w:color w:val="000000" w:themeColor="text1"/>
                <w:sz w:val="20"/>
                <w:szCs w:val="20"/>
                <w:vertAlign w:val="superscript"/>
              </w:rPr>
              <w:t>¥</w:t>
            </w:r>
            <w:r w:rsidRPr="006E227F">
              <w:rPr>
                <w:rFonts w:ascii="Times New Roman" w:hAnsi="Times New Roman" w:cs="Times New Roman"/>
                <w:color w:val="000000"/>
                <w:sz w:val="20"/>
                <w:szCs w:val="20"/>
              </w:rPr>
              <w:t>: 4.152 €</w:t>
            </w:r>
          </w:p>
        </w:tc>
      </w:tr>
    </w:tbl>
    <w:p w14:paraId="21FB990C" w14:textId="2932FFFE" w:rsidR="000F7158" w:rsidRPr="008E779E" w:rsidRDefault="00CE5C2F" w:rsidP="000F7158">
      <w:pPr>
        <w:rPr>
          <w:rFonts w:ascii="Times New Roman" w:hAnsi="Times New Roman" w:cs="Times New Roman"/>
          <w:sz w:val="18"/>
          <w:szCs w:val="18"/>
        </w:rPr>
      </w:pPr>
      <w:r w:rsidRPr="008E779E">
        <w:rPr>
          <w:rFonts w:ascii="Times New Roman" w:hAnsi="Times New Roman" w:cs="Times New Roman"/>
          <w:i/>
          <w:iCs/>
          <w:sz w:val="18"/>
          <w:szCs w:val="18"/>
        </w:rPr>
        <w:t>EGFR: epidermal growth factor receptor; ALK: anaplastic lymphoma kinase; ROS1: c-</w:t>
      </w:r>
      <w:proofErr w:type="spellStart"/>
      <w:r w:rsidRPr="008E779E">
        <w:rPr>
          <w:rFonts w:ascii="Times New Roman" w:hAnsi="Times New Roman" w:cs="Times New Roman"/>
          <w:i/>
          <w:iCs/>
          <w:sz w:val="18"/>
          <w:szCs w:val="18"/>
        </w:rPr>
        <w:t>ros</w:t>
      </w:r>
      <w:proofErr w:type="spellEnd"/>
      <w:r w:rsidRPr="008E779E">
        <w:rPr>
          <w:rFonts w:ascii="Times New Roman" w:hAnsi="Times New Roman" w:cs="Times New Roman"/>
          <w:i/>
          <w:iCs/>
          <w:sz w:val="18"/>
          <w:szCs w:val="18"/>
        </w:rPr>
        <w:t xml:space="preserve"> oncogene 1;</w:t>
      </w:r>
      <w:r w:rsidRPr="008E779E">
        <w:rPr>
          <w:rFonts w:ascii="Times New Roman" w:hAnsi="Times New Roman" w:cs="Times New Roman"/>
          <w:i/>
          <w:iCs/>
          <w:sz w:val="18"/>
          <w:szCs w:val="18"/>
          <w:lang w:val="en-GB"/>
        </w:rPr>
        <w:t xml:space="preserve"> WT: wild-type; Carb: carboplatin; </w:t>
      </w:r>
      <w:proofErr w:type="spellStart"/>
      <w:r w:rsidRPr="008E779E">
        <w:rPr>
          <w:rFonts w:ascii="Times New Roman" w:hAnsi="Times New Roman" w:cs="Times New Roman"/>
          <w:i/>
          <w:iCs/>
          <w:sz w:val="18"/>
          <w:szCs w:val="18"/>
          <w:lang w:val="en-GB"/>
        </w:rPr>
        <w:t>pmtrx</w:t>
      </w:r>
      <w:proofErr w:type="spellEnd"/>
      <w:r w:rsidRPr="008E779E">
        <w:rPr>
          <w:rFonts w:ascii="Times New Roman" w:hAnsi="Times New Roman" w:cs="Times New Roman"/>
          <w:i/>
          <w:iCs/>
          <w:sz w:val="18"/>
          <w:szCs w:val="18"/>
          <w:lang w:val="en-GB"/>
        </w:rPr>
        <w:t xml:space="preserve">: pemetrexed; </w:t>
      </w:r>
      <w:proofErr w:type="spellStart"/>
      <w:r w:rsidRPr="008E779E">
        <w:rPr>
          <w:rFonts w:ascii="Times New Roman" w:hAnsi="Times New Roman" w:cs="Times New Roman"/>
          <w:i/>
          <w:iCs/>
          <w:sz w:val="18"/>
          <w:szCs w:val="18"/>
          <w:lang w:val="en-GB"/>
        </w:rPr>
        <w:t>pcltx</w:t>
      </w:r>
      <w:proofErr w:type="spellEnd"/>
      <w:r w:rsidRPr="008E779E">
        <w:rPr>
          <w:rFonts w:ascii="Times New Roman" w:hAnsi="Times New Roman" w:cs="Times New Roman"/>
          <w:i/>
          <w:iCs/>
          <w:sz w:val="18"/>
          <w:szCs w:val="18"/>
          <w:lang w:val="en-GB"/>
        </w:rPr>
        <w:t xml:space="preserve">; paclitaxel; </w:t>
      </w:r>
      <w:proofErr w:type="spellStart"/>
      <w:r w:rsidRPr="008E779E">
        <w:rPr>
          <w:rFonts w:ascii="Times New Roman" w:hAnsi="Times New Roman" w:cs="Times New Roman"/>
          <w:i/>
          <w:iCs/>
          <w:sz w:val="18"/>
          <w:szCs w:val="18"/>
          <w:lang w:val="en-GB"/>
        </w:rPr>
        <w:t>beva</w:t>
      </w:r>
      <w:proofErr w:type="spellEnd"/>
      <w:r w:rsidRPr="008E779E">
        <w:rPr>
          <w:rFonts w:ascii="Times New Roman" w:hAnsi="Times New Roman" w:cs="Times New Roman"/>
          <w:i/>
          <w:iCs/>
          <w:sz w:val="18"/>
          <w:szCs w:val="18"/>
          <w:lang w:val="en-GB"/>
        </w:rPr>
        <w:t xml:space="preserve">: bevacizumab; </w:t>
      </w:r>
      <w:proofErr w:type="spellStart"/>
      <w:r w:rsidR="000F7158" w:rsidRPr="008E779E">
        <w:rPr>
          <w:rFonts w:ascii="Times New Roman" w:eastAsia="SimSun" w:hAnsi="Times New Roman" w:cs="Times New Roman"/>
          <w:i/>
          <w:iCs/>
          <w:sz w:val="18"/>
          <w:szCs w:val="18"/>
          <w:lang w:eastAsia="es-ES_tradnl"/>
        </w:rPr>
        <w:t>mPFS</w:t>
      </w:r>
      <w:proofErr w:type="spellEnd"/>
      <w:r w:rsidR="000F7158" w:rsidRPr="008E779E">
        <w:rPr>
          <w:rFonts w:ascii="Times New Roman" w:eastAsia="SimSun" w:hAnsi="Times New Roman" w:cs="Times New Roman"/>
          <w:i/>
          <w:iCs/>
          <w:sz w:val="18"/>
          <w:szCs w:val="18"/>
          <w:lang w:eastAsia="es-ES_tradnl"/>
        </w:rPr>
        <w:t xml:space="preserve">: median Progression free survival; </w:t>
      </w:r>
      <w:proofErr w:type="spellStart"/>
      <w:r w:rsidR="000F7158" w:rsidRPr="008E779E">
        <w:rPr>
          <w:rFonts w:ascii="Times New Roman" w:eastAsia="SimSun" w:hAnsi="Times New Roman" w:cs="Times New Roman"/>
          <w:i/>
          <w:iCs/>
          <w:sz w:val="18"/>
          <w:szCs w:val="18"/>
          <w:lang w:eastAsia="es-ES_tradnl"/>
        </w:rPr>
        <w:t>mOS</w:t>
      </w:r>
      <w:proofErr w:type="spellEnd"/>
      <w:r w:rsidR="000F7158" w:rsidRPr="008E779E">
        <w:rPr>
          <w:rFonts w:ascii="Times New Roman" w:eastAsia="SimSun" w:hAnsi="Times New Roman" w:cs="Times New Roman"/>
          <w:i/>
          <w:iCs/>
          <w:sz w:val="18"/>
          <w:szCs w:val="18"/>
          <w:lang w:eastAsia="es-ES_tradnl"/>
        </w:rPr>
        <w:t>: median overall survival</w:t>
      </w:r>
      <w:r w:rsidR="00E4399B">
        <w:rPr>
          <w:rFonts w:ascii="Times New Roman" w:eastAsia="SimSun" w:hAnsi="Times New Roman" w:cs="Times New Roman"/>
          <w:i/>
          <w:iCs/>
          <w:sz w:val="18"/>
          <w:szCs w:val="18"/>
          <w:lang w:eastAsia="es-ES_tradnl"/>
        </w:rPr>
        <w:t xml:space="preserve">; </w:t>
      </w:r>
      <w:proofErr w:type="spellStart"/>
      <w:r w:rsidR="00E4399B">
        <w:rPr>
          <w:rFonts w:ascii="Times New Roman" w:eastAsia="SimSun" w:hAnsi="Times New Roman" w:cs="Times New Roman"/>
          <w:i/>
          <w:iCs/>
          <w:sz w:val="18"/>
          <w:szCs w:val="18"/>
          <w:lang w:eastAsia="es-ES_tradnl"/>
        </w:rPr>
        <w:t>n.r.</w:t>
      </w:r>
      <w:proofErr w:type="spellEnd"/>
      <w:r w:rsidR="00E4399B">
        <w:rPr>
          <w:rFonts w:ascii="Times New Roman" w:eastAsia="SimSun" w:hAnsi="Times New Roman" w:cs="Times New Roman"/>
          <w:i/>
          <w:iCs/>
          <w:sz w:val="18"/>
          <w:szCs w:val="18"/>
          <w:lang w:eastAsia="es-ES_tradnl"/>
        </w:rPr>
        <w:t>: not reached.</w:t>
      </w:r>
    </w:p>
    <w:p w14:paraId="34B08200" w14:textId="624AD1C3" w:rsidR="00653556" w:rsidRPr="001D0176" w:rsidRDefault="00F81634" w:rsidP="00D42C32">
      <w:pPr>
        <w:rPr>
          <w:color w:val="FF0000"/>
        </w:rPr>
      </w:pPr>
      <w:r w:rsidRPr="008E779E">
        <w:rPr>
          <w:rFonts w:ascii="Times New Roman" w:eastAsia="SimSun" w:hAnsi="Times New Roman" w:cs="Times New Roman"/>
          <w:i/>
          <w:iCs/>
          <w:sz w:val="18"/>
          <w:szCs w:val="18"/>
          <w:lang w:eastAsia="es-ES_tradnl"/>
        </w:rPr>
        <w:t xml:space="preserve">* </w:t>
      </w:r>
      <w:r w:rsidR="00375D86" w:rsidRPr="008E779E">
        <w:rPr>
          <w:rFonts w:ascii="Times New Roman" w:eastAsia="SimSun" w:hAnsi="Times New Roman" w:cs="Times New Roman"/>
          <w:i/>
          <w:iCs/>
          <w:sz w:val="18"/>
          <w:szCs w:val="18"/>
          <w:lang w:eastAsia="es-ES_tradnl"/>
        </w:rPr>
        <w:t xml:space="preserve">assumed </w:t>
      </w:r>
      <w:r w:rsidRPr="008E779E">
        <w:rPr>
          <w:rFonts w:ascii="Times New Roman" w:eastAsia="SimSun" w:hAnsi="Times New Roman" w:cs="Times New Roman"/>
          <w:i/>
          <w:iCs/>
          <w:sz w:val="18"/>
          <w:szCs w:val="18"/>
          <w:lang w:eastAsia="es-ES_tradnl"/>
        </w:rPr>
        <w:t>the same efficacy for afatinib as for erlotinib and gefitinib</w:t>
      </w:r>
      <w:r w:rsidR="00CE5C2F" w:rsidRPr="008E779E">
        <w:rPr>
          <w:rFonts w:ascii="Times New Roman" w:eastAsia="SimSun" w:hAnsi="Times New Roman" w:cs="Times New Roman"/>
          <w:i/>
          <w:iCs/>
          <w:sz w:val="18"/>
          <w:szCs w:val="18"/>
          <w:lang w:eastAsia="es-ES_tradnl"/>
        </w:rPr>
        <w:t xml:space="preserve">; ¥ costs are expressed as cost each 3 weeks; ‡ drug acquisition costs were obtained from </w:t>
      </w:r>
      <w:r w:rsidR="00CE5C2F" w:rsidRPr="008E779E">
        <w:rPr>
          <w:rFonts w:ascii="Times New Roman" w:eastAsia="SimSun" w:hAnsi="Times New Roman" w:cs="Times New Roman"/>
          <w:i/>
          <w:iCs/>
          <w:sz w:val="18"/>
          <w:szCs w:val="18"/>
          <w:lang w:eastAsia="es-ES_tradnl"/>
        </w:rPr>
        <w:fldChar w:fldCharType="begin" w:fldLock="1"/>
      </w:r>
      <w:r w:rsidR="00F602CB">
        <w:rPr>
          <w:rFonts w:ascii="Times New Roman" w:eastAsia="SimSun" w:hAnsi="Times New Roman" w:cs="Times New Roman"/>
          <w:i/>
          <w:iCs/>
          <w:sz w:val="18"/>
          <w:szCs w:val="18"/>
          <w:lang w:eastAsia="es-ES_tradnl"/>
        </w:rPr>
        <w:instrText>ADDIN CSL_CITATION {"citationItems":[{"id":"ITEM-1","itemData":{"URL":"https://botplusweb.portalfarma.com/","accessed":{"date-parts":[["2021","2","28"]]},"author":[{"dropping-particle":"","family":"CGCOF","given":"","non-dropping-particle":"","parse-names":false,"suffix":""}],"id":"ITEM-1","issued":{"date-parts":[["0"]]},"title":"Botplusweb.Base de datos del Consejo General de Colegios Oficiales de Farmacéuticos. Available at: www.portalfarma.com","type":"webpage"},"uris":["http://www.mendeley.com/documents/?uuid=48630a4b-1b53-39db-8149-73c2c16ee3fc"]},{"id":"ITEM-2","itemData":{"abstract":"Lunes 24 de mayo de 2010 Sec. I. Pág. 45070 I. DISPOSICIONES GENERALES JEFATURA DEL ESTADO 8228 Real Decreto-ley 8/2010, de 20 de mayo, por el que se adoptan medidas extraordinarias para la reducción del déficit público. I El presente Real Decreto Ley contempla las medidas extraordinarias adoptadas para dar cumplimiento al compromiso del Gobierno de acelerar, en 2010 y 2011, la reducción del déficit inicialmente prevista. La dureza y profundidad de la crisis económica ha llevado a todos los países industrializados a realizar un esfuerzo fiscal significativo para paliar las consecuencias de la crisis y preservar los niveles alcanzados de desarrollo y bienestar. No obstante, como consecuencia de esta imprescindible política fiscal expansiva, las finanzas públicas han sufrido un grave deterioro que ahora debe ser corregido como requisito esencial para alcanzar una recuperación económica sólida y duradera. El compromiso del Gobierno de España con la sostenibilidad de sus finanzas públicas quedó plasmado en la actualización del Plan de Estabilidad y Crecimiento 2010-2013, aprobada por el Consejo de Ministros de 29 de enero de 2010. En la misma se establece como objetivo, de acuerdo con el Procedimiento de Déficit Excesivo abierto por la Unión Europea, la reducción del déficit para el conjunto de las Administraciones Públicas hasta el 3 por ciento del Producto Interior Bruto. Asimismo, también se aprobaron el Plan de Acción Inmediata 2010 y el Plan de Austeridad de la Administración General del Estado 2011-2013 como instrumentos para alcanzar dicho objetivo. Posteriormente, el Consejo de Política Fiscal y Financiera aprobó el Acuerdo Marco con las comunidades autónomas y ciudades con estatuto de autonomía sobre sostenibilidad de las finanzas públicas 2010-2013. Y, en el seno de la Comisión Nacional de Administración Local se aprobó el Acuerdo Marco sobre sostenibilidad de las finanzas públicas para el periodo 2010-2013 en el que se prevé una senda de déficit, en términos de Contabilidad Nacional, para el conjunto de las Entidades locales que va desde el 0,5% PIB en 2009 al 0,2% PIB en 2013. Con lo que todas las administraciones públicas se suman al esfuerzo que de forma coordinada debe llevarse a cabo para reducir el déficit público y asegurar la sostenibilidad fiscal a medio plazo. El Plan de Acción Inmediata 2010 supuso un acuerdo de no disponibilidad de 5 mil millones de euros que afectó a todos los Ministerios y una reducción de la oferta pública de emple…","author":[{"dropping-particle":"","family":"BOE","given":"","non-dropping-particle":"","parse-names":false,"suffix":""}],"id":"ITEM-2","issued":{"date-parts":[["2010"]]},"title":"Real Decreto-ley 8/2010, de 20 de mayo, por el que se adoptan medidas extraordinarias para la reducción del déficit público","type":"article-journal"},"uris":["http://www.mendeley.com/documents/?uuid=4d66fb26-5b0f-37d6-b85a-e16900855832"]}],"mendeley":{"formattedCitation":"(39,40)","manualFormatting":"(39","plainTextFormattedCitation":"(39,40)","previouslyFormattedCitation":"(39,40)"},"properties":{"noteIndex":0},"schema":"https://github.com/citation-style-language/schema/raw/master/csl-citation.json"}</w:instrText>
      </w:r>
      <w:r w:rsidR="00CE5C2F" w:rsidRPr="008E779E">
        <w:rPr>
          <w:rFonts w:ascii="Times New Roman" w:eastAsia="SimSun" w:hAnsi="Times New Roman" w:cs="Times New Roman"/>
          <w:i/>
          <w:iCs/>
          <w:sz w:val="18"/>
          <w:szCs w:val="18"/>
          <w:lang w:eastAsia="es-ES_tradnl"/>
        </w:rPr>
        <w:fldChar w:fldCharType="separate"/>
      </w:r>
      <w:r w:rsidR="00CE5C2F" w:rsidRPr="008E779E">
        <w:rPr>
          <w:rFonts w:ascii="Times New Roman" w:eastAsia="SimSun" w:hAnsi="Times New Roman" w:cs="Times New Roman"/>
          <w:i/>
          <w:iCs/>
          <w:noProof/>
          <w:sz w:val="18"/>
          <w:szCs w:val="18"/>
          <w:lang w:eastAsia="es-ES_tradnl"/>
        </w:rPr>
        <w:t>(39</w:t>
      </w:r>
      <w:r w:rsidR="00CE5C2F" w:rsidRPr="008E779E">
        <w:rPr>
          <w:rFonts w:ascii="Times New Roman" w:eastAsia="SimSun" w:hAnsi="Times New Roman" w:cs="Times New Roman"/>
          <w:i/>
          <w:iCs/>
          <w:sz w:val="18"/>
          <w:szCs w:val="18"/>
          <w:lang w:eastAsia="es-ES_tradnl"/>
        </w:rPr>
        <w:fldChar w:fldCharType="end"/>
      </w:r>
      <w:r w:rsidR="00CE5C2F" w:rsidRPr="008E779E">
        <w:rPr>
          <w:rFonts w:ascii="Times New Roman" w:eastAsia="SimSun" w:hAnsi="Times New Roman" w:cs="Times New Roman"/>
          <w:i/>
          <w:iCs/>
          <w:sz w:val="18"/>
          <w:szCs w:val="18"/>
          <w:lang w:eastAsia="es-ES_tradnl"/>
        </w:rPr>
        <w:t xml:space="preserve">) </w:t>
      </w:r>
    </w:p>
    <w:sectPr w:rsidR="00653556" w:rsidRPr="001D0176" w:rsidSect="006E227F">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141D" w14:textId="77777777" w:rsidR="00E76391" w:rsidRDefault="00E76391" w:rsidP="008D0864">
      <w:pPr>
        <w:spacing w:after="0" w:line="240" w:lineRule="auto"/>
      </w:pPr>
      <w:r>
        <w:separator/>
      </w:r>
    </w:p>
  </w:endnote>
  <w:endnote w:type="continuationSeparator" w:id="0">
    <w:p w14:paraId="119011B9" w14:textId="77777777" w:rsidR="00E76391" w:rsidRDefault="00E76391" w:rsidP="008D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68648"/>
      <w:docPartObj>
        <w:docPartGallery w:val="Page Numbers (Bottom of Page)"/>
        <w:docPartUnique/>
      </w:docPartObj>
    </w:sdtPr>
    <w:sdtEndPr/>
    <w:sdtContent>
      <w:p w14:paraId="3C299D21" w14:textId="2B5811D7" w:rsidR="00133537" w:rsidRDefault="00133537">
        <w:pPr>
          <w:pStyle w:val="Footer"/>
          <w:jc w:val="right"/>
        </w:pPr>
        <w:r>
          <w:fldChar w:fldCharType="begin"/>
        </w:r>
        <w:r>
          <w:instrText>PAGE   \* MERGEFORMAT</w:instrText>
        </w:r>
        <w:r>
          <w:fldChar w:fldCharType="separate"/>
        </w:r>
        <w:r>
          <w:rPr>
            <w:lang w:val="es-ES"/>
          </w:rPr>
          <w:t>2</w:t>
        </w:r>
        <w:r>
          <w:fldChar w:fldCharType="end"/>
        </w:r>
      </w:p>
    </w:sdtContent>
  </w:sdt>
  <w:p w14:paraId="4478F6B9" w14:textId="77777777" w:rsidR="00133537" w:rsidRDefault="00133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3C20" w14:textId="77777777" w:rsidR="00E76391" w:rsidRDefault="00E76391" w:rsidP="008D0864">
      <w:pPr>
        <w:spacing w:after="0" w:line="240" w:lineRule="auto"/>
      </w:pPr>
      <w:r>
        <w:separator/>
      </w:r>
    </w:p>
  </w:footnote>
  <w:footnote w:type="continuationSeparator" w:id="0">
    <w:p w14:paraId="69AAB731" w14:textId="77777777" w:rsidR="00E76391" w:rsidRDefault="00E76391" w:rsidP="008D0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B1B"/>
    <w:multiLevelType w:val="hybridMultilevel"/>
    <w:tmpl w:val="B21A3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E00DE2"/>
    <w:multiLevelType w:val="hybridMultilevel"/>
    <w:tmpl w:val="AA1A2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D7559"/>
    <w:multiLevelType w:val="hybridMultilevel"/>
    <w:tmpl w:val="84AAD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DA20A8"/>
    <w:multiLevelType w:val="hybridMultilevel"/>
    <w:tmpl w:val="19567DE8"/>
    <w:lvl w:ilvl="0" w:tplc="A75E512C">
      <w:start w:val="1"/>
      <w:numFmt w:val="bullet"/>
      <w:pStyle w:val="Referencias"/>
      <w:lvlText w:val=""/>
      <w:lvlJc w:val="left"/>
      <w:pPr>
        <w:tabs>
          <w:tab w:val="num" w:pos="720"/>
        </w:tabs>
        <w:ind w:left="720" w:hanging="360"/>
      </w:pPr>
      <w:rPr>
        <w:rFonts w:ascii="Wingdings" w:hAnsi="Wingdings" w:cs="Times New Roman" w:hint="default"/>
        <w:color w:val="4780CD"/>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EA64250"/>
    <w:multiLevelType w:val="hybridMultilevel"/>
    <w:tmpl w:val="D68E9752"/>
    <w:lvl w:ilvl="0" w:tplc="F76CA372">
      <w:start w:val="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BC6398"/>
    <w:multiLevelType w:val="hybridMultilevel"/>
    <w:tmpl w:val="1E3E82EC"/>
    <w:lvl w:ilvl="0" w:tplc="00122638">
      <w:start w:val="1"/>
      <w:numFmt w:val="bullet"/>
      <w:lvlText w:val=""/>
      <w:lvlJc w:val="left"/>
      <w:pPr>
        <w:tabs>
          <w:tab w:val="num" w:pos="720"/>
        </w:tabs>
        <w:ind w:left="720" w:hanging="360"/>
      </w:pPr>
      <w:rPr>
        <w:rFonts w:ascii="Symbol" w:hAnsi="Symbol" w:hint="default"/>
      </w:rPr>
    </w:lvl>
    <w:lvl w:ilvl="1" w:tplc="BB1EF714" w:tentative="1">
      <w:start w:val="1"/>
      <w:numFmt w:val="bullet"/>
      <w:lvlText w:val=""/>
      <w:lvlJc w:val="left"/>
      <w:pPr>
        <w:tabs>
          <w:tab w:val="num" w:pos="1440"/>
        </w:tabs>
        <w:ind w:left="1440" w:hanging="360"/>
      </w:pPr>
      <w:rPr>
        <w:rFonts w:ascii="Symbol" w:hAnsi="Symbol" w:hint="default"/>
      </w:rPr>
    </w:lvl>
    <w:lvl w:ilvl="2" w:tplc="420E8D0E" w:tentative="1">
      <w:start w:val="1"/>
      <w:numFmt w:val="bullet"/>
      <w:lvlText w:val=""/>
      <w:lvlJc w:val="left"/>
      <w:pPr>
        <w:tabs>
          <w:tab w:val="num" w:pos="2160"/>
        </w:tabs>
        <w:ind w:left="2160" w:hanging="360"/>
      </w:pPr>
      <w:rPr>
        <w:rFonts w:ascii="Symbol" w:hAnsi="Symbol" w:hint="default"/>
      </w:rPr>
    </w:lvl>
    <w:lvl w:ilvl="3" w:tplc="D160E57E" w:tentative="1">
      <w:start w:val="1"/>
      <w:numFmt w:val="bullet"/>
      <w:lvlText w:val=""/>
      <w:lvlJc w:val="left"/>
      <w:pPr>
        <w:tabs>
          <w:tab w:val="num" w:pos="2880"/>
        </w:tabs>
        <w:ind w:left="2880" w:hanging="360"/>
      </w:pPr>
      <w:rPr>
        <w:rFonts w:ascii="Symbol" w:hAnsi="Symbol" w:hint="default"/>
      </w:rPr>
    </w:lvl>
    <w:lvl w:ilvl="4" w:tplc="92E83874" w:tentative="1">
      <w:start w:val="1"/>
      <w:numFmt w:val="bullet"/>
      <w:lvlText w:val=""/>
      <w:lvlJc w:val="left"/>
      <w:pPr>
        <w:tabs>
          <w:tab w:val="num" w:pos="3600"/>
        </w:tabs>
        <w:ind w:left="3600" w:hanging="360"/>
      </w:pPr>
      <w:rPr>
        <w:rFonts w:ascii="Symbol" w:hAnsi="Symbol" w:hint="default"/>
      </w:rPr>
    </w:lvl>
    <w:lvl w:ilvl="5" w:tplc="06183EFC" w:tentative="1">
      <w:start w:val="1"/>
      <w:numFmt w:val="bullet"/>
      <w:lvlText w:val=""/>
      <w:lvlJc w:val="left"/>
      <w:pPr>
        <w:tabs>
          <w:tab w:val="num" w:pos="4320"/>
        </w:tabs>
        <w:ind w:left="4320" w:hanging="360"/>
      </w:pPr>
      <w:rPr>
        <w:rFonts w:ascii="Symbol" w:hAnsi="Symbol" w:hint="default"/>
      </w:rPr>
    </w:lvl>
    <w:lvl w:ilvl="6" w:tplc="B0C882BC" w:tentative="1">
      <w:start w:val="1"/>
      <w:numFmt w:val="bullet"/>
      <w:lvlText w:val=""/>
      <w:lvlJc w:val="left"/>
      <w:pPr>
        <w:tabs>
          <w:tab w:val="num" w:pos="5040"/>
        </w:tabs>
        <w:ind w:left="5040" w:hanging="360"/>
      </w:pPr>
      <w:rPr>
        <w:rFonts w:ascii="Symbol" w:hAnsi="Symbol" w:hint="default"/>
      </w:rPr>
    </w:lvl>
    <w:lvl w:ilvl="7" w:tplc="C622C1B2" w:tentative="1">
      <w:start w:val="1"/>
      <w:numFmt w:val="bullet"/>
      <w:lvlText w:val=""/>
      <w:lvlJc w:val="left"/>
      <w:pPr>
        <w:tabs>
          <w:tab w:val="num" w:pos="5760"/>
        </w:tabs>
        <w:ind w:left="5760" w:hanging="360"/>
      </w:pPr>
      <w:rPr>
        <w:rFonts w:ascii="Symbol" w:hAnsi="Symbol" w:hint="default"/>
      </w:rPr>
    </w:lvl>
    <w:lvl w:ilvl="8" w:tplc="54084C4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C2E6E8D"/>
    <w:multiLevelType w:val="hybridMultilevel"/>
    <w:tmpl w:val="BE7AE4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8791624"/>
    <w:multiLevelType w:val="hybridMultilevel"/>
    <w:tmpl w:val="584E37D0"/>
    <w:lvl w:ilvl="0" w:tplc="A23C6692">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B92A7F"/>
    <w:multiLevelType w:val="hybridMultilevel"/>
    <w:tmpl w:val="081C9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120238"/>
    <w:multiLevelType w:val="hybridMultilevel"/>
    <w:tmpl w:val="99BC51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EA3348"/>
    <w:multiLevelType w:val="hybridMultilevel"/>
    <w:tmpl w:val="81CA9A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E3860D7"/>
    <w:multiLevelType w:val="hybridMultilevel"/>
    <w:tmpl w:val="F918D410"/>
    <w:lvl w:ilvl="0" w:tplc="9AF2AB94">
      <w:start w:val="3"/>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95543E"/>
    <w:multiLevelType w:val="hybridMultilevel"/>
    <w:tmpl w:val="402AF6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F4811BC"/>
    <w:multiLevelType w:val="hybridMultilevel"/>
    <w:tmpl w:val="0A580BE2"/>
    <w:lvl w:ilvl="0" w:tplc="0C0A0001">
      <w:start w:val="1"/>
      <w:numFmt w:val="bullet"/>
      <w:lvlText w:val=""/>
      <w:lvlJc w:val="left"/>
      <w:pPr>
        <w:ind w:left="720" w:hanging="360"/>
      </w:pPr>
      <w:rPr>
        <w:rFonts w:ascii="Symbol" w:hAnsi="Symbol"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7A4638"/>
    <w:multiLevelType w:val="hybridMultilevel"/>
    <w:tmpl w:val="745092B6"/>
    <w:lvl w:ilvl="0" w:tplc="57D4E40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1551A0"/>
    <w:multiLevelType w:val="hybridMultilevel"/>
    <w:tmpl w:val="72686180"/>
    <w:lvl w:ilvl="0" w:tplc="24EE0CA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135931"/>
    <w:multiLevelType w:val="hybridMultilevel"/>
    <w:tmpl w:val="801EA1A4"/>
    <w:lvl w:ilvl="0" w:tplc="4CE8C454">
      <w:start w:val="6"/>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F9C01C2"/>
    <w:multiLevelType w:val="hybridMultilevel"/>
    <w:tmpl w:val="33862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5352F8"/>
    <w:multiLevelType w:val="multilevel"/>
    <w:tmpl w:val="1206BE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47F7716"/>
    <w:multiLevelType w:val="hybridMultilevel"/>
    <w:tmpl w:val="A56E1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4466A1"/>
    <w:multiLevelType w:val="multilevel"/>
    <w:tmpl w:val="1A3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B714C"/>
    <w:multiLevelType w:val="multilevel"/>
    <w:tmpl w:val="62F27B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4022DD"/>
    <w:multiLevelType w:val="hybridMultilevel"/>
    <w:tmpl w:val="8646C5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
  </w:num>
  <w:num w:numId="3">
    <w:abstractNumId w:val="7"/>
  </w:num>
  <w:num w:numId="4">
    <w:abstractNumId w:val="22"/>
  </w:num>
  <w:num w:numId="5">
    <w:abstractNumId w:val="18"/>
  </w:num>
  <w:num w:numId="6">
    <w:abstractNumId w:val="0"/>
  </w:num>
  <w:num w:numId="7">
    <w:abstractNumId w:val="17"/>
  </w:num>
  <w:num w:numId="8">
    <w:abstractNumId w:val="1"/>
  </w:num>
  <w:num w:numId="9">
    <w:abstractNumId w:val="9"/>
  </w:num>
  <w:num w:numId="10">
    <w:abstractNumId w:val="20"/>
  </w:num>
  <w:num w:numId="11">
    <w:abstractNumId w:val="12"/>
  </w:num>
  <w:num w:numId="12">
    <w:abstractNumId w:val="4"/>
  </w:num>
  <w:num w:numId="13">
    <w:abstractNumId w:val="10"/>
  </w:num>
  <w:num w:numId="14">
    <w:abstractNumId w:val="15"/>
  </w:num>
  <w:num w:numId="15">
    <w:abstractNumId w:val="2"/>
  </w:num>
  <w:num w:numId="16">
    <w:abstractNumId w:val="21"/>
  </w:num>
  <w:num w:numId="17">
    <w:abstractNumId w:val="5"/>
  </w:num>
  <w:num w:numId="18">
    <w:abstractNumId w:val="3"/>
  </w:num>
  <w:num w:numId="19">
    <w:abstractNumId w:val="13"/>
  </w:num>
  <w:num w:numId="20">
    <w:abstractNumId w:val="8"/>
  </w:num>
  <w:num w:numId="21">
    <w:abstractNumId w:val="1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84"/>
    <w:rsid w:val="0000614F"/>
    <w:rsid w:val="0003201D"/>
    <w:rsid w:val="00034142"/>
    <w:rsid w:val="00034354"/>
    <w:rsid w:val="00035271"/>
    <w:rsid w:val="0003673C"/>
    <w:rsid w:val="00037678"/>
    <w:rsid w:val="00037F9E"/>
    <w:rsid w:val="000437E8"/>
    <w:rsid w:val="00043C5A"/>
    <w:rsid w:val="00052E83"/>
    <w:rsid w:val="00055DB9"/>
    <w:rsid w:val="0006116E"/>
    <w:rsid w:val="0006413B"/>
    <w:rsid w:val="00066BA0"/>
    <w:rsid w:val="00072F28"/>
    <w:rsid w:val="00073FE2"/>
    <w:rsid w:val="00076752"/>
    <w:rsid w:val="0007717D"/>
    <w:rsid w:val="00087954"/>
    <w:rsid w:val="00091DD3"/>
    <w:rsid w:val="00095371"/>
    <w:rsid w:val="000A75A3"/>
    <w:rsid w:val="000B6143"/>
    <w:rsid w:val="000B67A8"/>
    <w:rsid w:val="000B6B7A"/>
    <w:rsid w:val="000C03D0"/>
    <w:rsid w:val="000C3938"/>
    <w:rsid w:val="000C6727"/>
    <w:rsid w:val="000C6958"/>
    <w:rsid w:val="000D015B"/>
    <w:rsid w:val="000D03E9"/>
    <w:rsid w:val="000D16E3"/>
    <w:rsid w:val="000D68B8"/>
    <w:rsid w:val="000E563E"/>
    <w:rsid w:val="000E5861"/>
    <w:rsid w:val="000E5891"/>
    <w:rsid w:val="000F2A9C"/>
    <w:rsid w:val="000F2C2C"/>
    <w:rsid w:val="000F4337"/>
    <w:rsid w:val="000F5C8A"/>
    <w:rsid w:val="000F7158"/>
    <w:rsid w:val="0010108C"/>
    <w:rsid w:val="00104036"/>
    <w:rsid w:val="00106195"/>
    <w:rsid w:val="00107032"/>
    <w:rsid w:val="001072C4"/>
    <w:rsid w:val="00107ACC"/>
    <w:rsid w:val="001156D1"/>
    <w:rsid w:val="00115860"/>
    <w:rsid w:val="001268DC"/>
    <w:rsid w:val="00127774"/>
    <w:rsid w:val="0013159A"/>
    <w:rsid w:val="00133537"/>
    <w:rsid w:val="001335F4"/>
    <w:rsid w:val="00141215"/>
    <w:rsid w:val="00144C83"/>
    <w:rsid w:val="00145335"/>
    <w:rsid w:val="00145393"/>
    <w:rsid w:val="00153B82"/>
    <w:rsid w:val="00154ACF"/>
    <w:rsid w:val="0015744D"/>
    <w:rsid w:val="001622BC"/>
    <w:rsid w:val="00163CE0"/>
    <w:rsid w:val="001647AE"/>
    <w:rsid w:val="001653A9"/>
    <w:rsid w:val="00166F2A"/>
    <w:rsid w:val="00173043"/>
    <w:rsid w:val="0018695A"/>
    <w:rsid w:val="00187B6B"/>
    <w:rsid w:val="00190D14"/>
    <w:rsid w:val="001918F6"/>
    <w:rsid w:val="00192E44"/>
    <w:rsid w:val="001937B7"/>
    <w:rsid w:val="0019388C"/>
    <w:rsid w:val="00194D7A"/>
    <w:rsid w:val="00195407"/>
    <w:rsid w:val="00195FB0"/>
    <w:rsid w:val="00197B28"/>
    <w:rsid w:val="001A1A44"/>
    <w:rsid w:val="001A7AD5"/>
    <w:rsid w:val="001B2221"/>
    <w:rsid w:val="001C02FB"/>
    <w:rsid w:val="001C78FC"/>
    <w:rsid w:val="001D0176"/>
    <w:rsid w:val="001E4AF4"/>
    <w:rsid w:val="001F26F0"/>
    <w:rsid w:val="001F2DFE"/>
    <w:rsid w:val="001F37E3"/>
    <w:rsid w:val="001F51CF"/>
    <w:rsid w:val="001F5A47"/>
    <w:rsid w:val="00207397"/>
    <w:rsid w:val="00214257"/>
    <w:rsid w:val="00214914"/>
    <w:rsid w:val="00214E77"/>
    <w:rsid w:val="00214F3E"/>
    <w:rsid w:val="002160B2"/>
    <w:rsid w:val="0022363A"/>
    <w:rsid w:val="00231F3F"/>
    <w:rsid w:val="002343BB"/>
    <w:rsid w:val="002364AF"/>
    <w:rsid w:val="00243CE1"/>
    <w:rsid w:val="002516E2"/>
    <w:rsid w:val="0025327B"/>
    <w:rsid w:val="00257FD5"/>
    <w:rsid w:val="00260AAD"/>
    <w:rsid w:val="00260EF7"/>
    <w:rsid w:val="00262356"/>
    <w:rsid w:val="00265A06"/>
    <w:rsid w:val="00265A40"/>
    <w:rsid w:val="0026727D"/>
    <w:rsid w:val="00276B75"/>
    <w:rsid w:val="00282D7D"/>
    <w:rsid w:val="00284E8D"/>
    <w:rsid w:val="00291F46"/>
    <w:rsid w:val="002943C9"/>
    <w:rsid w:val="00295256"/>
    <w:rsid w:val="00296251"/>
    <w:rsid w:val="002A2595"/>
    <w:rsid w:val="002A3559"/>
    <w:rsid w:val="002A3E40"/>
    <w:rsid w:val="002A4B77"/>
    <w:rsid w:val="002B284A"/>
    <w:rsid w:val="002B7987"/>
    <w:rsid w:val="002B7BCF"/>
    <w:rsid w:val="002C0EC7"/>
    <w:rsid w:val="002C0F3C"/>
    <w:rsid w:val="002C13F4"/>
    <w:rsid w:val="002C2FA6"/>
    <w:rsid w:val="002D2DAF"/>
    <w:rsid w:val="002D2F72"/>
    <w:rsid w:val="002E2461"/>
    <w:rsid w:val="002E2823"/>
    <w:rsid w:val="002E47A4"/>
    <w:rsid w:val="002E7CDB"/>
    <w:rsid w:val="002F1FB5"/>
    <w:rsid w:val="002F4BDB"/>
    <w:rsid w:val="00302703"/>
    <w:rsid w:val="003052FC"/>
    <w:rsid w:val="00305F9C"/>
    <w:rsid w:val="00322BC4"/>
    <w:rsid w:val="00340121"/>
    <w:rsid w:val="00341EF6"/>
    <w:rsid w:val="003436CD"/>
    <w:rsid w:val="00350DF9"/>
    <w:rsid w:val="0035205F"/>
    <w:rsid w:val="00352668"/>
    <w:rsid w:val="003628A7"/>
    <w:rsid w:val="003654FD"/>
    <w:rsid w:val="003674B9"/>
    <w:rsid w:val="00371DCA"/>
    <w:rsid w:val="00374981"/>
    <w:rsid w:val="00375D86"/>
    <w:rsid w:val="003815D1"/>
    <w:rsid w:val="00391295"/>
    <w:rsid w:val="00396C9E"/>
    <w:rsid w:val="003B7B83"/>
    <w:rsid w:val="003B7EFD"/>
    <w:rsid w:val="003C3CA8"/>
    <w:rsid w:val="003D737A"/>
    <w:rsid w:val="003D7C0F"/>
    <w:rsid w:val="003E0E03"/>
    <w:rsid w:val="003F3B4F"/>
    <w:rsid w:val="004034F0"/>
    <w:rsid w:val="00403E4B"/>
    <w:rsid w:val="00405B33"/>
    <w:rsid w:val="00406B0A"/>
    <w:rsid w:val="00410E99"/>
    <w:rsid w:val="0041223C"/>
    <w:rsid w:val="00414636"/>
    <w:rsid w:val="00417352"/>
    <w:rsid w:val="00417EA8"/>
    <w:rsid w:val="00421991"/>
    <w:rsid w:val="00426A24"/>
    <w:rsid w:val="00427C23"/>
    <w:rsid w:val="00427FB2"/>
    <w:rsid w:val="00434A86"/>
    <w:rsid w:val="00436A96"/>
    <w:rsid w:val="00445D23"/>
    <w:rsid w:val="00451011"/>
    <w:rsid w:val="00460437"/>
    <w:rsid w:val="004632A4"/>
    <w:rsid w:val="00466E15"/>
    <w:rsid w:val="00467A5D"/>
    <w:rsid w:val="00475443"/>
    <w:rsid w:val="004805D6"/>
    <w:rsid w:val="00481FE6"/>
    <w:rsid w:val="00484489"/>
    <w:rsid w:val="00486D02"/>
    <w:rsid w:val="00487E78"/>
    <w:rsid w:val="00491374"/>
    <w:rsid w:val="004945DE"/>
    <w:rsid w:val="004A122D"/>
    <w:rsid w:val="004A6357"/>
    <w:rsid w:val="004B18C6"/>
    <w:rsid w:val="004B65B8"/>
    <w:rsid w:val="004C1454"/>
    <w:rsid w:val="004C33E2"/>
    <w:rsid w:val="004D4C6C"/>
    <w:rsid w:val="004D7DCE"/>
    <w:rsid w:val="004E0260"/>
    <w:rsid w:val="004E2271"/>
    <w:rsid w:val="004E5D54"/>
    <w:rsid w:val="004E7179"/>
    <w:rsid w:val="004E7AC1"/>
    <w:rsid w:val="004F4B5D"/>
    <w:rsid w:val="004F6A90"/>
    <w:rsid w:val="00501A35"/>
    <w:rsid w:val="00502E83"/>
    <w:rsid w:val="005101CB"/>
    <w:rsid w:val="005125D6"/>
    <w:rsid w:val="00512D8A"/>
    <w:rsid w:val="00513812"/>
    <w:rsid w:val="005168D7"/>
    <w:rsid w:val="005215F1"/>
    <w:rsid w:val="00534664"/>
    <w:rsid w:val="005374F4"/>
    <w:rsid w:val="005453D0"/>
    <w:rsid w:val="00546C02"/>
    <w:rsid w:val="0055235A"/>
    <w:rsid w:val="00554749"/>
    <w:rsid w:val="005608FC"/>
    <w:rsid w:val="00562E44"/>
    <w:rsid w:val="0056673A"/>
    <w:rsid w:val="005707A7"/>
    <w:rsid w:val="0057158C"/>
    <w:rsid w:val="005742B4"/>
    <w:rsid w:val="00580B5D"/>
    <w:rsid w:val="005A17F8"/>
    <w:rsid w:val="005A7653"/>
    <w:rsid w:val="005C3B0A"/>
    <w:rsid w:val="005D050F"/>
    <w:rsid w:val="005D2C9C"/>
    <w:rsid w:val="005E5E5D"/>
    <w:rsid w:val="005E6C66"/>
    <w:rsid w:val="005E7D5D"/>
    <w:rsid w:val="005F387C"/>
    <w:rsid w:val="005F528C"/>
    <w:rsid w:val="006008C9"/>
    <w:rsid w:val="0060248B"/>
    <w:rsid w:val="00605BBD"/>
    <w:rsid w:val="00607D70"/>
    <w:rsid w:val="0061214F"/>
    <w:rsid w:val="00620380"/>
    <w:rsid w:val="00621D7F"/>
    <w:rsid w:val="006234C2"/>
    <w:rsid w:val="00623C85"/>
    <w:rsid w:val="006244ED"/>
    <w:rsid w:val="00624808"/>
    <w:rsid w:val="0062586B"/>
    <w:rsid w:val="00631A4D"/>
    <w:rsid w:val="00640499"/>
    <w:rsid w:val="00641BEF"/>
    <w:rsid w:val="00645287"/>
    <w:rsid w:val="00650640"/>
    <w:rsid w:val="00651CF9"/>
    <w:rsid w:val="00653556"/>
    <w:rsid w:val="0066324E"/>
    <w:rsid w:val="00686DC4"/>
    <w:rsid w:val="00694332"/>
    <w:rsid w:val="006943D4"/>
    <w:rsid w:val="006A1942"/>
    <w:rsid w:val="006A279C"/>
    <w:rsid w:val="006B1ABF"/>
    <w:rsid w:val="006B1D2A"/>
    <w:rsid w:val="006B2FCE"/>
    <w:rsid w:val="006B6B0A"/>
    <w:rsid w:val="006C5F76"/>
    <w:rsid w:val="006D1446"/>
    <w:rsid w:val="006D207A"/>
    <w:rsid w:val="006D420F"/>
    <w:rsid w:val="006D4B42"/>
    <w:rsid w:val="006E227F"/>
    <w:rsid w:val="006E53BF"/>
    <w:rsid w:val="006E5E7A"/>
    <w:rsid w:val="006E704C"/>
    <w:rsid w:val="006F1965"/>
    <w:rsid w:val="006F6824"/>
    <w:rsid w:val="00702A09"/>
    <w:rsid w:val="007126DC"/>
    <w:rsid w:val="00714195"/>
    <w:rsid w:val="0071509D"/>
    <w:rsid w:val="00715273"/>
    <w:rsid w:val="00725C25"/>
    <w:rsid w:val="007378C0"/>
    <w:rsid w:val="00744404"/>
    <w:rsid w:val="00746275"/>
    <w:rsid w:val="0075172C"/>
    <w:rsid w:val="0075391E"/>
    <w:rsid w:val="00762A7E"/>
    <w:rsid w:val="007666FC"/>
    <w:rsid w:val="00766F25"/>
    <w:rsid w:val="00785EA4"/>
    <w:rsid w:val="00787AE2"/>
    <w:rsid w:val="007944A3"/>
    <w:rsid w:val="00795C14"/>
    <w:rsid w:val="007B634F"/>
    <w:rsid w:val="007B7354"/>
    <w:rsid w:val="007D3AF9"/>
    <w:rsid w:val="007D3C25"/>
    <w:rsid w:val="007D42D6"/>
    <w:rsid w:val="007E28B8"/>
    <w:rsid w:val="007F40F4"/>
    <w:rsid w:val="00800512"/>
    <w:rsid w:val="0080091A"/>
    <w:rsid w:val="0080176A"/>
    <w:rsid w:val="008044E6"/>
    <w:rsid w:val="008237B0"/>
    <w:rsid w:val="00827B6C"/>
    <w:rsid w:val="0083138A"/>
    <w:rsid w:val="00832F77"/>
    <w:rsid w:val="00836238"/>
    <w:rsid w:val="0083694A"/>
    <w:rsid w:val="00843FEC"/>
    <w:rsid w:val="008474C7"/>
    <w:rsid w:val="00847E7E"/>
    <w:rsid w:val="00853592"/>
    <w:rsid w:val="0085448A"/>
    <w:rsid w:val="00863957"/>
    <w:rsid w:val="00880A39"/>
    <w:rsid w:val="00885A6B"/>
    <w:rsid w:val="00886CE3"/>
    <w:rsid w:val="00890F68"/>
    <w:rsid w:val="008927B7"/>
    <w:rsid w:val="0089320A"/>
    <w:rsid w:val="0089521F"/>
    <w:rsid w:val="00895BF2"/>
    <w:rsid w:val="00897C2F"/>
    <w:rsid w:val="008A1CBF"/>
    <w:rsid w:val="008A3C50"/>
    <w:rsid w:val="008B0740"/>
    <w:rsid w:val="008B0D78"/>
    <w:rsid w:val="008B3150"/>
    <w:rsid w:val="008B336F"/>
    <w:rsid w:val="008B6936"/>
    <w:rsid w:val="008C5F0F"/>
    <w:rsid w:val="008C6C7C"/>
    <w:rsid w:val="008D0864"/>
    <w:rsid w:val="008D15A7"/>
    <w:rsid w:val="008D3A47"/>
    <w:rsid w:val="008E779E"/>
    <w:rsid w:val="008E77B9"/>
    <w:rsid w:val="008E7B66"/>
    <w:rsid w:val="008F473D"/>
    <w:rsid w:val="008F4CFD"/>
    <w:rsid w:val="008F6882"/>
    <w:rsid w:val="008F7D9E"/>
    <w:rsid w:val="0090104F"/>
    <w:rsid w:val="0090695C"/>
    <w:rsid w:val="00910510"/>
    <w:rsid w:val="00910973"/>
    <w:rsid w:val="0091402F"/>
    <w:rsid w:val="00917668"/>
    <w:rsid w:val="009210B7"/>
    <w:rsid w:val="0092206A"/>
    <w:rsid w:val="0093222D"/>
    <w:rsid w:val="00942206"/>
    <w:rsid w:val="0094361B"/>
    <w:rsid w:val="0095175F"/>
    <w:rsid w:val="0095222A"/>
    <w:rsid w:val="00952E98"/>
    <w:rsid w:val="00966E7A"/>
    <w:rsid w:val="00974A0C"/>
    <w:rsid w:val="0097554E"/>
    <w:rsid w:val="00981236"/>
    <w:rsid w:val="00981C0C"/>
    <w:rsid w:val="009828DF"/>
    <w:rsid w:val="00982F20"/>
    <w:rsid w:val="00982F48"/>
    <w:rsid w:val="00983670"/>
    <w:rsid w:val="00984531"/>
    <w:rsid w:val="00986615"/>
    <w:rsid w:val="00991DFB"/>
    <w:rsid w:val="00993897"/>
    <w:rsid w:val="009940A4"/>
    <w:rsid w:val="009A03A3"/>
    <w:rsid w:val="009A0DBD"/>
    <w:rsid w:val="009B35DD"/>
    <w:rsid w:val="009B61FE"/>
    <w:rsid w:val="009B66AB"/>
    <w:rsid w:val="009B7DD9"/>
    <w:rsid w:val="009C080F"/>
    <w:rsid w:val="009C3061"/>
    <w:rsid w:val="009D00F3"/>
    <w:rsid w:val="009D110D"/>
    <w:rsid w:val="009D7DDE"/>
    <w:rsid w:val="009E1D30"/>
    <w:rsid w:val="009E2B45"/>
    <w:rsid w:val="009E4AC1"/>
    <w:rsid w:val="009E777A"/>
    <w:rsid w:val="009F0F45"/>
    <w:rsid w:val="009F57AE"/>
    <w:rsid w:val="00A032F0"/>
    <w:rsid w:val="00A12161"/>
    <w:rsid w:val="00A14CF6"/>
    <w:rsid w:val="00A171A8"/>
    <w:rsid w:val="00A27742"/>
    <w:rsid w:val="00A3769E"/>
    <w:rsid w:val="00A41263"/>
    <w:rsid w:val="00A42C8B"/>
    <w:rsid w:val="00A46390"/>
    <w:rsid w:val="00A50095"/>
    <w:rsid w:val="00A503BF"/>
    <w:rsid w:val="00A50EC0"/>
    <w:rsid w:val="00A52695"/>
    <w:rsid w:val="00A55754"/>
    <w:rsid w:val="00A61CDA"/>
    <w:rsid w:val="00A620CC"/>
    <w:rsid w:val="00A66277"/>
    <w:rsid w:val="00A74EF3"/>
    <w:rsid w:val="00A826B9"/>
    <w:rsid w:val="00A96238"/>
    <w:rsid w:val="00AA06A2"/>
    <w:rsid w:val="00AA3CDB"/>
    <w:rsid w:val="00AA4735"/>
    <w:rsid w:val="00AA6261"/>
    <w:rsid w:val="00AC1C01"/>
    <w:rsid w:val="00AC21F8"/>
    <w:rsid w:val="00AD4AE9"/>
    <w:rsid w:val="00AE1295"/>
    <w:rsid w:val="00AE37D2"/>
    <w:rsid w:val="00AE60F9"/>
    <w:rsid w:val="00AF4D79"/>
    <w:rsid w:val="00AF50E6"/>
    <w:rsid w:val="00AF5E5F"/>
    <w:rsid w:val="00AF65EC"/>
    <w:rsid w:val="00B0140F"/>
    <w:rsid w:val="00B0713B"/>
    <w:rsid w:val="00B1035C"/>
    <w:rsid w:val="00B105F0"/>
    <w:rsid w:val="00B10722"/>
    <w:rsid w:val="00B12480"/>
    <w:rsid w:val="00B16CFC"/>
    <w:rsid w:val="00B25963"/>
    <w:rsid w:val="00B30FA5"/>
    <w:rsid w:val="00B358D4"/>
    <w:rsid w:val="00B50F31"/>
    <w:rsid w:val="00B57396"/>
    <w:rsid w:val="00B67C8B"/>
    <w:rsid w:val="00B70054"/>
    <w:rsid w:val="00B70324"/>
    <w:rsid w:val="00B8429F"/>
    <w:rsid w:val="00B858EB"/>
    <w:rsid w:val="00B97E43"/>
    <w:rsid w:val="00BA4BFC"/>
    <w:rsid w:val="00BB2D71"/>
    <w:rsid w:val="00BB3FB7"/>
    <w:rsid w:val="00BC02C9"/>
    <w:rsid w:val="00BC58EC"/>
    <w:rsid w:val="00BD12EA"/>
    <w:rsid w:val="00BD3672"/>
    <w:rsid w:val="00BD65A0"/>
    <w:rsid w:val="00BD6F44"/>
    <w:rsid w:val="00BE0C02"/>
    <w:rsid w:val="00BE2CEF"/>
    <w:rsid w:val="00BE426C"/>
    <w:rsid w:val="00BE5F66"/>
    <w:rsid w:val="00BF33A6"/>
    <w:rsid w:val="00BF4867"/>
    <w:rsid w:val="00BF74DC"/>
    <w:rsid w:val="00C01DA9"/>
    <w:rsid w:val="00C140ED"/>
    <w:rsid w:val="00C233ED"/>
    <w:rsid w:val="00C2760A"/>
    <w:rsid w:val="00C31F7E"/>
    <w:rsid w:val="00C333A7"/>
    <w:rsid w:val="00C33C9D"/>
    <w:rsid w:val="00C42E12"/>
    <w:rsid w:val="00C47E17"/>
    <w:rsid w:val="00C549AA"/>
    <w:rsid w:val="00C5725C"/>
    <w:rsid w:val="00C70664"/>
    <w:rsid w:val="00C70736"/>
    <w:rsid w:val="00C72EEE"/>
    <w:rsid w:val="00C72FBD"/>
    <w:rsid w:val="00C8098E"/>
    <w:rsid w:val="00C86323"/>
    <w:rsid w:val="00C94757"/>
    <w:rsid w:val="00C96503"/>
    <w:rsid w:val="00C9758A"/>
    <w:rsid w:val="00CA0E25"/>
    <w:rsid w:val="00CA47A4"/>
    <w:rsid w:val="00CA571B"/>
    <w:rsid w:val="00CA5730"/>
    <w:rsid w:val="00CB0939"/>
    <w:rsid w:val="00CB0A5F"/>
    <w:rsid w:val="00CB38A2"/>
    <w:rsid w:val="00CB7CA7"/>
    <w:rsid w:val="00CC03A1"/>
    <w:rsid w:val="00CC1CD4"/>
    <w:rsid w:val="00CC2B5D"/>
    <w:rsid w:val="00CC4D34"/>
    <w:rsid w:val="00CC6CC8"/>
    <w:rsid w:val="00CD2322"/>
    <w:rsid w:val="00CD424D"/>
    <w:rsid w:val="00CD684A"/>
    <w:rsid w:val="00CD7D64"/>
    <w:rsid w:val="00CE13AC"/>
    <w:rsid w:val="00CE4D5C"/>
    <w:rsid w:val="00CE5C2F"/>
    <w:rsid w:val="00CF3EC2"/>
    <w:rsid w:val="00CF573D"/>
    <w:rsid w:val="00D02FD1"/>
    <w:rsid w:val="00D03CC9"/>
    <w:rsid w:val="00D06A0B"/>
    <w:rsid w:val="00D10EC0"/>
    <w:rsid w:val="00D14D97"/>
    <w:rsid w:val="00D1717F"/>
    <w:rsid w:val="00D17A6D"/>
    <w:rsid w:val="00D20C07"/>
    <w:rsid w:val="00D26401"/>
    <w:rsid w:val="00D269A0"/>
    <w:rsid w:val="00D300BD"/>
    <w:rsid w:val="00D3598D"/>
    <w:rsid w:val="00D37987"/>
    <w:rsid w:val="00D42C32"/>
    <w:rsid w:val="00D44013"/>
    <w:rsid w:val="00D52376"/>
    <w:rsid w:val="00D5237C"/>
    <w:rsid w:val="00D54A66"/>
    <w:rsid w:val="00D625BB"/>
    <w:rsid w:val="00D62B31"/>
    <w:rsid w:val="00D71F7B"/>
    <w:rsid w:val="00D72059"/>
    <w:rsid w:val="00D7443A"/>
    <w:rsid w:val="00D77231"/>
    <w:rsid w:val="00D77920"/>
    <w:rsid w:val="00D77EFD"/>
    <w:rsid w:val="00D80771"/>
    <w:rsid w:val="00D85DA9"/>
    <w:rsid w:val="00D8620D"/>
    <w:rsid w:val="00D934CA"/>
    <w:rsid w:val="00D966C5"/>
    <w:rsid w:val="00DA4638"/>
    <w:rsid w:val="00DA4B8D"/>
    <w:rsid w:val="00DA665F"/>
    <w:rsid w:val="00DA7A31"/>
    <w:rsid w:val="00DB45A4"/>
    <w:rsid w:val="00DC431D"/>
    <w:rsid w:val="00DC4961"/>
    <w:rsid w:val="00DE0750"/>
    <w:rsid w:val="00DE0DF1"/>
    <w:rsid w:val="00DE3FAF"/>
    <w:rsid w:val="00DF3B90"/>
    <w:rsid w:val="00DF654D"/>
    <w:rsid w:val="00E01784"/>
    <w:rsid w:val="00E06A54"/>
    <w:rsid w:val="00E1128D"/>
    <w:rsid w:val="00E11D1B"/>
    <w:rsid w:val="00E129BA"/>
    <w:rsid w:val="00E16B27"/>
    <w:rsid w:val="00E16FFB"/>
    <w:rsid w:val="00E23439"/>
    <w:rsid w:val="00E27872"/>
    <w:rsid w:val="00E31513"/>
    <w:rsid w:val="00E316AF"/>
    <w:rsid w:val="00E35370"/>
    <w:rsid w:val="00E36172"/>
    <w:rsid w:val="00E371B1"/>
    <w:rsid w:val="00E4399B"/>
    <w:rsid w:val="00E444DF"/>
    <w:rsid w:val="00E6583E"/>
    <w:rsid w:val="00E73B2C"/>
    <w:rsid w:val="00E74AA8"/>
    <w:rsid w:val="00E76391"/>
    <w:rsid w:val="00E7669F"/>
    <w:rsid w:val="00E76AC1"/>
    <w:rsid w:val="00E77839"/>
    <w:rsid w:val="00E77C14"/>
    <w:rsid w:val="00E84EA8"/>
    <w:rsid w:val="00E85F13"/>
    <w:rsid w:val="00E86C03"/>
    <w:rsid w:val="00E87884"/>
    <w:rsid w:val="00E95E13"/>
    <w:rsid w:val="00E96B8A"/>
    <w:rsid w:val="00EA2CB9"/>
    <w:rsid w:val="00EA6F17"/>
    <w:rsid w:val="00EB2A92"/>
    <w:rsid w:val="00EB3156"/>
    <w:rsid w:val="00EB3B04"/>
    <w:rsid w:val="00EB484B"/>
    <w:rsid w:val="00EB7C2D"/>
    <w:rsid w:val="00EC4D0C"/>
    <w:rsid w:val="00EC74C1"/>
    <w:rsid w:val="00ED0ED1"/>
    <w:rsid w:val="00ED67DD"/>
    <w:rsid w:val="00ED705C"/>
    <w:rsid w:val="00EE5CD4"/>
    <w:rsid w:val="00EE6825"/>
    <w:rsid w:val="00EF4692"/>
    <w:rsid w:val="00EF7E7B"/>
    <w:rsid w:val="00F0047A"/>
    <w:rsid w:val="00F06C00"/>
    <w:rsid w:val="00F06FA0"/>
    <w:rsid w:val="00F07C3B"/>
    <w:rsid w:val="00F07D3A"/>
    <w:rsid w:val="00F07DF7"/>
    <w:rsid w:val="00F165DB"/>
    <w:rsid w:val="00F20405"/>
    <w:rsid w:val="00F22C61"/>
    <w:rsid w:val="00F3014F"/>
    <w:rsid w:val="00F31396"/>
    <w:rsid w:val="00F32E3F"/>
    <w:rsid w:val="00F41EF8"/>
    <w:rsid w:val="00F50A09"/>
    <w:rsid w:val="00F52693"/>
    <w:rsid w:val="00F5284D"/>
    <w:rsid w:val="00F544D3"/>
    <w:rsid w:val="00F57DD4"/>
    <w:rsid w:val="00F602CB"/>
    <w:rsid w:val="00F602F1"/>
    <w:rsid w:val="00F61FD6"/>
    <w:rsid w:val="00F65555"/>
    <w:rsid w:val="00F669D6"/>
    <w:rsid w:val="00F66BAF"/>
    <w:rsid w:val="00F7274F"/>
    <w:rsid w:val="00F72CE1"/>
    <w:rsid w:val="00F763D6"/>
    <w:rsid w:val="00F81634"/>
    <w:rsid w:val="00F83501"/>
    <w:rsid w:val="00F84C9F"/>
    <w:rsid w:val="00F90FCA"/>
    <w:rsid w:val="00F931AF"/>
    <w:rsid w:val="00F96BEA"/>
    <w:rsid w:val="00F97B25"/>
    <w:rsid w:val="00FB3509"/>
    <w:rsid w:val="00FB6990"/>
    <w:rsid w:val="00FC4F7C"/>
    <w:rsid w:val="00FC6CE8"/>
    <w:rsid w:val="00FD3293"/>
    <w:rsid w:val="00FD7790"/>
    <w:rsid w:val="00FE07BD"/>
    <w:rsid w:val="00FE1397"/>
    <w:rsid w:val="00FE3A1A"/>
    <w:rsid w:val="00FF0883"/>
    <w:rsid w:val="00FF0D64"/>
    <w:rsid w:val="00FF163B"/>
    <w:rsid w:val="00FF1AC8"/>
    <w:rsid w:val="00FF6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3C94A"/>
  <w15:chartTrackingRefBased/>
  <w15:docId w15:val="{E534C766-EB4E-4945-A1A7-A241E65A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8E"/>
    <w:rPr>
      <w:rFonts w:ascii="Calibri" w:eastAsia="Calibri" w:hAnsi="Calibri" w:cs="Calibri"/>
      <w:lang w:val="en-US" w:eastAsia="es-ES"/>
    </w:rPr>
  </w:style>
  <w:style w:type="paragraph" w:styleId="Heading1">
    <w:name w:val="heading 1"/>
    <w:basedOn w:val="Normal"/>
    <w:next w:val="Normal"/>
    <w:link w:val="Heading1Char"/>
    <w:uiPriority w:val="9"/>
    <w:qFormat/>
    <w:rsid w:val="001622BC"/>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622BC"/>
    <w:pPr>
      <w:keepNext/>
      <w:keepLines/>
      <w:spacing w:before="40" w:after="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semiHidden/>
    <w:unhideWhenUsed/>
    <w:qFormat/>
    <w:rsid w:val="00CA0E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B7E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Legend,Bullets Points"/>
    <w:basedOn w:val="BodyTextIndent"/>
    <w:link w:val="ListParagraphChar"/>
    <w:uiPriority w:val="34"/>
    <w:qFormat/>
    <w:rsid w:val="00C8098E"/>
    <w:pPr>
      <w:spacing w:before="240" w:after="240" w:line="360" w:lineRule="auto"/>
      <w:ind w:left="0" w:right="28"/>
      <w:jc w:val="both"/>
    </w:pPr>
    <w:rPr>
      <w:rFonts w:ascii="Helvetica" w:eastAsia="Times New Roman" w:hAnsi="Helvetica"/>
      <w:szCs w:val="20"/>
      <w:lang w:val="es-ES" w:eastAsia="en-US"/>
    </w:rPr>
  </w:style>
  <w:style w:type="character" w:customStyle="1" w:styleId="ListParagraphChar">
    <w:name w:val="List Paragraph Char"/>
    <w:aliases w:val="Table Legend Char,Bullets Points Char"/>
    <w:basedOn w:val="DefaultParagraphFont"/>
    <w:link w:val="ListParagraph"/>
    <w:uiPriority w:val="34"/>
    <w:rsid w:val="00C8098E"/>
    <w:rPr>
      <w:rFonts w:ascii="Helvetica" w:eastAsia="Times New Roman" w:hAnsi="Helvetica" w:cs="Calibri"/>
      <w:szCs w:val="20"/>
    </w:rPr>
  </w:style>
  <w:style w:type="paragraph" w:styleId="BodyTextIndent">
    <w:name w:val="Body Text Indent"/>
    <w:basedOn w:val="Normal"/>
    <w:link w:val="BodyTextIndentChar"/>
    <w:uiPriority w:val="99"/>
    <w:semiHidden/>
    <w:unhideWhenUsed/>
    <w:rsid w:val="00C8098E"/>
    <w:pPr>
      <w:spacing w:after="120"/>
      <w:ind w:left="283"/>
    </w:pPr>
  </w:style>
  <w:style w:type="character" w:customStyle="1" w:styleId="BodyTextIndentChar">
    <w:name w:val="Body Text Indent Char"/>
    <w:basedOn w:val="DefaultParagraphFont"/>
    <w:link w:val="BodyTextIndent"/>
    <w:uiPriority w:val="99"/>
    <w:semiHidden/>
    <w:rsid w:val="00C8098E"/>
    <w:rPr>
      <w:rFonts w:ascii="Calibri" w:eastAsia="Calibri" w:hAnsi="Calibri" w:cs="Calibri"/>
      <w:lang w:val="en-US" w:eastAsia="es-ES"/>
    </w:rPr>
  </w:style>
  <w:style w:type="character" w:styleId="CommentReference">
    <w:name w:val="annotation reference"/>
    <w:basedOn w:val="DefaultParagraphFont"/>
    <w:uiPriority w:val="99"/>
    <w:semiHidden/>
    <w:unhideWhenUsed/>
    <w:rsid w:val="00C8098E"/>
    <w:rPr>
      <w:sz w:val="16"/>
      <w:szCs w:val="16"/>
    </w:rPr>
  </w:style>
  <w:style w:type="paragraph" w:styleId="CommentText">
    <w:name w:val="annotation text"/>
    <w:basedOn w:val="Normal"/>
    <w:link w:val="CommentTextChar"/>
    <w:uiPriority w:val="99"/>
    <w:unhideWhenUsed/>
    <w:rsid w:val="00C8098E"/>
    <w:pPr>
      <w:spacing w:line="240" w:lineRule="auto"/>
    </w:pPr>
    <w:rPr>
      <w:sz w:val="20"/>
      <w:szCs w:val="20"/>
    </w:rPr>
  </w:style>
  <w:style w:type="character" w:customStyle="1" w:styleId="CommentTextChar">
    <w:name w:val="Comment Text Char"/>
    <w:basedOn w:val="DefaultParagraphFont"/>
    <w:link w:val="CommentText"/>
    <w:uiPriority w:val="99"/>
    <w:rsid w:val="00C8098E"/>
    <w:rPr>
      <w:rFonts w:ascii="Calibri" w:eastAsia="Calibri" w:hAnsi="Calibri" w:cs="Calibri"/>
      <w:sz w:val="20"/>
      <w:szCs w:val="20"/>
      <w:lang w:val="en-US" w:eastAsia="es-ES"/>
    </w:rPr>
  </w:style>
  <w:style w:type="paragraph" w:styleId="CommentSubject">
    <w:name w:val="annotation subject"/>
    <w:basedOn w:val="CommentText"/>
    <w:next w:val="CommentText"/>
    <w:link w:val="CommentSubjectChar"/>
    <w:uiPriority w:val="99"/>
    <w:semiHidden/>
    <w:unhideWhenUsed/>
    <w:rsid w:val="00C8098E"/>
    <w:rPr>
      <w:b/>
      <w:bCs/>
    </w:rPr>
  </w:style>
  <w:style w:type="character" w:customStyle="1" w:styleId="CommentSubjectChar">
    <w:name w:val="Comment Subject Char"/>
    <w:basedOn w:val="CommentTextChar"/>
    <w:link w:val="CommentSubject"/>
    <w:uiPriority w:val="99"/>
    <w:semiHidden/>
    <w:rsid w:val="00C8098E"/>
    <w:rPr>
      <w:rFonts w:ascii="Calibri" w:eastAsia="Calibri" w:hAnsi="Calibri" w:cs="Calibri"/>
      <w:b/>
      <w:bCs/>
      <w:sz w:val="20"/>
      <w:szCs w:val="20"/>
      <w:lang w:val="en-US" w:eastAsia="es-ES"/>
    </w:rPr>
  </w:style>
  <w:style w:type="character" w:styleId="Emphasis">
    <w:name w:val="Emphasis"/>
    <w:basedOn w:val="DefaultParagraphFont"/>
    <w:uiPriority w:val="20"/>
    <w:qFormat/>
    <w:rsid w:val="004B18C6"/>
    <w:rPr>
      <w:i/>
      <w:iCs/>
    </w:rPr>
  </w:style>
  <w:style w:type="character" w:styleId="Hyperlink">
    <w:name w:val="Hyperlink"/>
    <w:basedOn w:val="DefaultParagraphFont"/>
    <w:uiPriority w:val="99"/>
    <w:unhideWhenUsed/>
    <w:rsid w:val="004B18C6"/>
    <w:rPr>
      <w:color w:val="0000FF"/>
      <w:u w:val="single"/>
    </w:rPr>
  </w:style>
  <w:style w:type="paragraph" w:styleId="NoSpacing">
    <w:name w:val="No Spacing"/>
    <w:uiPriority w:val="1"/>
    <w:qFormat/>
    <w:rsid w:val="001622BC"/>
    <w:pPr>
      <w:spacing w:after="0" w:line="240" w:lineRule="auto"/>
    </w:pPr>
    <w:rPr>
      <w:rFonts w:ascii="Calibri" w:eastAsia="Calibri" w:hAnsi="Calibri" w:cs="Calibri"/>
      <w:lang w:val="en-US" w:eastAsia="es-ES"/>
    </w:rPr>
  </w:style>
  <w:style w:type="character" w:customStyle="1" w:styleId="Heading2Char">
    <w:name w:val="Heading 2 Char"/>
    <w:basedOn w:val="DefaultParagraphFont"/>
    <w:link w:val="Heading2"/>
    <w:uiPriority w:val="9"/>
    <w:rsid w:val="001622BC"/>
    <w:rPr>
      <w:rFonts w:ascii="Times New Roman" w:eastAsiaTheme="majorEastAsia" w:hAnsi="Times New Roman" w:cstheme="majorBidi"/>
      <w:i/>
      <w:sz w:val="24"/>
      <w:szCs w:val="26"/>
      <w:lang w:val="en-US" w:eastAsia="es-ES"/>
    </w:rPr>
  </w:style>
  <w:style w:type="character" w:customStyle="1" w:styleId="Heading1Char">
    <w:name w:val="Heading 1 Char"/>
    <w:basedOn w:val="DefaultParagraphFont"/>
    <w:link w:val="Heading1"/>
    <w:uiPriority w:val="9"/>
    <w:rsid w:val="001622BC"/>
    <w:rPr>
      <w:rFonts w:ascii="Times New Roman" w:eastAsiaTheme="majorEastAsia" w:hAnsi="Times New Roman" w:cstheme="majorBidi"/>
      <w:b/>
      <w:sz w:val="24"/>
      <w:szCs w:val="32"/>
      <w:lang w:val="en-US" w:eastAsia="es-ES"/>
    </w:rPr>
  </w:style>
  <w:style w:type="paragraph" w:styleId="NormalWeb">
    <w:name w:val="Normal (Web)"/>
    <w:basedOn w:val="Normal"/>
    <w:uiPriority w:val="99"/>
    <w:unhideWhenUsed/>
    <w:rsid w:val="00B10722"/>
    <w:pPr>
      <w:spacing w:before="100" w:beforeAutospacing="1" w:after="100" w:afterAutospacing="1" w:line="240" w:lineRule="auto"/>
    </w:pPr>
    <w:rPr>
      <w:rFonts w:ascii="Times New Roman" w:eastAsia="Times New Roman" w:hAnsi="Times New Roman" w:cs="Times New Roman"/>
      <w:sz w:val="24"/>
      <w:szCs w:val="24"/>
      <w:lang w:val="es-ES"/>
    </w:rPr>
  </w:style>
  <w:style w:type="table" w:styleId="GridTable4-Accent6">
    <w:name w:val="Grid Table 4 Accent 6"/>
    <w:basedOn w:val="TableNormal"/>
    <w:uiPriority w:val="49"/>
    <w:rsid w:val="00E7669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2C0EC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tulondice">
    <w:name w:val="Título índice"/>
    <w:basedOn w:val="Normal"/>
    <w:qFormat/>
    <w:rsid w:val="00145393"/>
    <w:pPr>
      <w:pBdr>
        <w:bottom w:val="single" w:sz="4" w:space="1" w:color="C45911" w:themeColor="accent2" w:themeShade="BF"/>
      </w:pBdr>
      <w:spacing w:before="240" w:after="600" w:line="360" w:lineRule="auto"/>
      <w:ind w:right="28"/>
      <w:jc w:val="both"/>
    </w:pPr>
    <w:rPr>
      <w:rFonts w:eastAsia="Times New Roman"/>
      <w:b/>
      <w:bCs/>
      <w:color w:val="C45911" w:themeColor="accent2" w:themeShade="BF"/>
      <w:sz w:val="36"/>
      <w:szCs w:val="20"/>
      <w:lang w:val="es-ES" w:eastAsia="en-US"/>
    </w:rPr>
  </w:style>
  <w:style w:type="paragraph" w:customStyle="1" w:styleId="Tablatextogeneral">
    <w:name w:val="Tabla: texto general"/>
    <w:basedOn w:val="Normal"/>
    <w:qFormat/>
    <w:rsid w:val="00374981"/>
    <w:pPr>
      <w:spacing w:after="0" w:line="312" w:lineRule="auto"/>
      <w:ind w:right="28"/>
      <w:jc w:val="both"/>
    </w:pPr>
    <w:rPr>
      <w:rFonts w:eastAsia="Times New Roman"/>
      <w:color w:val="808080"/>
      <w:szCs w:val="20"/>
      <w:lang w:val="es-ES" w:eastAsia="en-US"/>
    </w:rPr>
  </w:style>
  <w:style w:type="table" w:styleId="GridTable1Light-Accent3">
    <w:name w:val="Grid Table 1 Light Accent 3"/>
    <w:basedOn w:val="TableNormal"/>
    <w:uiPriority w:val="46"/>
    <w:rsid w:val="002B798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Mencinsinresolver1">
    <w:name w:val="Mención sin resolver1"/>
    <w:basedOn w:val="DefaultParagraphFont"/>
    <w:uiPriority w:val="99"/>
    <w:semiHidden/>
    <w:unhideWhenUsed/>
    <w:rsid w:val="0062586B"/>
    <w:rPr>
      <w:color w:val="605E5C"/>
      <w:shd w:val="clear" w:color="auto" w:fill="E1DFDD"/>
    </w:rPr>
  </w:style>
  <w:style w:type="character" w:styleId="FollowedHyperlink">
    <w:name w:val="FollowedHyperlink"/>
    <w:basedOn w:val="DefaultParagraphFont"/>
    <w:uiPriority w:val="99"/>
    <w:semiHidden/>
    <w:unhideWhenUsed/>
    <w:rsid w:val="00CC6CC8"/>
    <w:rPr>
      <w:color w:val="954F72" w:themeColor="followedHyperlink"/>
      <w:u w:val="single"/>
    </w:rPr>
  </w:style>
  <w:style w:type="paragraph" w:customStyle="1" w:styleId="Referencias">
    <w:name w:val="Referencias"/>
    <w:basedOn w:val="Normal"/>
    <w:qFormat/>
    <w:rsid w:val="00A3769E"/>
    <w:pPr>
      <w:numPr>
        <w:numId w:val="18"/>
      </w:numPr>
      <w:spacing w:before="240" w:after="120" w:line="360" w:lineRule="auto"/>
      <w:ind w:right="28"/>
      <w:jc w:val="both"/>
    </w:pPr>
    <w:rPr>
      <w:rFonts w:eastAsia="Times New Roman"/>
      <w:szCs w:val="20"/>
      <w:lang w:val="es-ES" w:eastAsia="en-US"/>
    </w:rPr>
  </w:style>
  <w:style w:type="paragraph" w:styleId="BalloonText">
    <w:name w:val="Balloon Text"/>
    <w:basedOn w:val="Normal"/>
    <w:link w:val="BalloonTextChar"/>
    <w:uiPriority w:val="99"/>
    <w:semiHidden/>
    <w:unhideWhenUsed/>
    <w:rsid w:val="00F7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E1"/>
    <w:rPr>
      <w:rFonts w:ascii="Segoe UI" w:eastAsia="Calibri" w:hAnsi="Segoe UI" w:cs="Segoe UI"/>
      <w:sz w:val="18"/>
      <w:szCs w:val="18"/>
      <w:lang w:val="en-US" w:eastAsia="es-ES"/>
    </w:rPr>
  </w:style>
  <w:style w:type="character" w:customStyle="1" w:styleId="Heading5Char">
    <w:name w:val="Heading 5 Char"/>
    <w:basedOn w:val="DefaultParagraphFont"/>
    <w:link w:val="Heading5"/>
    <w:uiPriority w:val="9"/>
    <w:semiHidden/>
    <w:rsid w:val="003B7EFD"/>
    <w:rPr>
      <w:rFonts w:asciiTheme="majorHAnsi" w:eastAsiaTheme="majorEastAsia" w:hAnsiTheme="majorHAnsi" w:cstheme="majorBidi"/>
      <w:color w:val="2F5496" w:themeColor="accent1" w:themeShade="BF"/>
      <w:lang w:val="en-US" w:eastAsia="es-ES"/>
    </w:rPr>
  </w:style>
  <w:style w:type="character" w:customStyle="1" w:styleId="mx-1">
    <w:name w:val="mx-1"/>
    <w:basedOn w:val="DefaultParagraphFont"/>
    <w:rsid w:val="003B7EFD"/>
  </w:style>
  <w:style w:type="character" w:customStyle="1" w:styleId="oncokb">
    <w:name w:val="oncokb"/>
    <w:basedOn w:val="DefaultParagraphFont"/>
    <w:rsid w:val="003B7EFD"/>
  </w:style>
  <w:style w:type="character" w:styleId="UnresolvedMention">
    <w:name w:val="Unresolved Mention"/>
    <w:basedOn w:val="DefaultParagraphFont"/>
    <w:uiPriority w:val="99"/>
    <w:semiHidden/>
    <w:unhideWhenUsed/>
    <w:rsid w:val="005101CB"/>
    <w:rPr>
      <w:color w:val="605E5C"/>
      <w:shd w:val="clear" w:color="auto" w:fill="E1DFDD"/>
    </w:rPr>
  </w:style>
  <w:style w:type="paragraph" w:styleId="Revision">
    <w:name w:val="Revision"/>
    <w:hidden/>
    <w:uiPriority w:val="99"/>
    <w:semiHidden/>
    <w:rsid w:val="005707A7"/>
    <w:pPr>
      <w:spacing w:after="0" w:line="240" w:lineRule="auto"/>
    </w:pPr>
    <w:rPr>
      <w:rFonts w:ascii="Calibri" w:eastAsia="Calibri" w:hAnsi="Calibri" w:cs="Calibri"/>
      <w:lang w:val="en-US" w:eastAsia="es-ES"/>
    </w:rPr>
  </w:style>
  <w:style w:type="character" w:customStyle="1" w:styleId="UnresolvedMention1">
    <w:name w:val="Unresolved Mention1"/>
    <w:basedOn w:val="DefaultParagraphFont"/>
    <w:uiPriority w:val="99"/>
    <w:semiHidden/>
    <w:unhideWhenUsed/>
    <w:rsid w:val="00F544D3"/>
    <w:rPr>
      <w:color w:val="605E5C"/>
      <w:shd w:val="clear" w:color="auto" w:fill="E1DFDD"/>
    </w:rPr>
  </w:style>
  <w:style w:type="paragraph" w:styleId="FootnoteText">
    <w:name w:val="footnote text"/>
    <w:basedOn w:val="Normal"/>
    <w:link w:val="FootnoteTextChar"/>
    <w:uiPriority w:val="99"/>
    <w:semiHidden/>
    <w:unhideWhenUsed/>
    <w:rsid w:val="008D0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864"/>
    <w:rPr>
      <w:rFonts w:ascii="Calibri" w:eastAsia="Calibri" w:hAnsi="Calibri" w:cs="Calibri"/>
      <w:sz w:val="20"/>
      <w:szCs w:val="20"/>
      <w:lang w:val="en-US" w:eastAsia="es-ES"/>
    </w:rPr>
  </w:style>
  <w:style w:type="character" w:styleId="FootnoteReference">
    <w:name w:val="footnote reference"/>
    <w:basedOn w:val="DefaultParagraphFont"/>
    <w:uiPriority w:val="99"/>
    <w:semiHidden/>
    <w:unhideWhenUsed/>
    <w:rsid w:val="008D0864"/>
    <w:rPr>
      <w:vertAlign w:val="superscript"/>
    </w:rPr>
  </w:style>
  <w:style w:type="character" w:customStyle="1" w:styleId="Heading3Char">
    <w:name w:val="Heading 3 Char"/>
    <w:basedOn w:val="DefaultParagraphFont"/>
    <w:link w:val="Heading3"/>
    <w:uiPriority w:val="9"/>
    <w:semiHidden/>
    <w:rsid w:val="00CA0E25"/>
    <w:rPr>
      <w:rFonts w:asciiTheme="majorHAnsi" w:eastAsiaTheme="majorEastAsia" w:hAnsiTheme="majorHAnsi" w:cstheme="majorBidi"/>
      <w:color w:val="1F3763" w:themeColor="accent1" w:themeShade="7F"/>
      <w:sz w:val="24"/>
      <w:szCs w:val="24"/>
      <w:lang w:val="en-US" w:eastAsia="es-ES"/>
    </w:rPr>
  </w:style>
  <w:style w:type="paragraph" w:styleId="Header">
    <w:name w:val="header"/>
    <w:basedOn w:val="Normal"/>
    <w:link w:val="HeaderChar"/>
    <w:uiPriority w:val="99"/>
    <w:unhideWhenUsed/>
    <w:rsid w:val="001335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3537"/>
    <w:rPr>
      <w:rFonts w:ascii="Calibri" w:eastAsia="Calibri" w:hAnsi="Calibri" w:cs="Calibri"/>
      <w:lang w:val="en-US" w:eastAsia="es-ES"/>
    </w:rPr>
  </w:style>
  <w:style w:type="paragraph" w:styleId="Footer">
    <w:name w:val="footer"/>
    <w:basedOn w:val="Normal"/>
    <w:link w:val="FooterChar"/>
    <w:uiPriority w:val="99"/>
    <w:unhideWhenUsed/>
    <w:rsid w:val="001335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3537"/>
    <w:rPr>
      <w:rFonts w:ascii="Calibri" w:eastAsia="Calibri" w:hAnsi="Calibri" w:cs="Calibri"/>
      <w:lang w:val="en-US" w:eastAsia="es-ES"/>
    </w:rPr>
  </w:style>
  <w:style w:type="character" w:styleId="LineNumber">
    <w:name w:val="line number"/>
    <w:basedOn w:val="DefaultParagraphFont"/>
    <w:uiPriority w:val="99"/>
    <w:semiHidden/>
    <w:unhideWhenUsed/>
    <w:rsid w:val="00133537"/>
  </w:style>
  <w:style w:type="table" w:styleId="TableGrid">
    <w:name w:val="Table Grid"/>
    <w:basedOn w:val="TableNormal"/>
    <w:uiPriority w:val="39"/>
    <w:rsid w:val="000F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0560">
      <w:bodyDiv w:val="1"/>
      <w:marLeft w:val="0"/>
      <w:marRight w:val="0"/>
      <w:marTop w:val="0"/>
      <w:marBottom w:val="0"/>
      <w:divBdr>
        <w:top w:val="none" w:sz="0" w:space="0" w:color="auto"/>
        <w:left w:val="none" w:sz="0" w:space="0" w:color="auto"/>
        <w:bottom w:val="none" w:sz="0" w:space="0" w:color="auto"/>
        <w:right w:val="none" w:sz="0" w:space="0" w:color="auto"/>
      </w:divBdr>
      <w:divsChild>
        <w:div w:id="1971477694">
          <w:marLeft w:val="-225"/>
          <w:marRight w:val="-225"/>
          <w:marTop w:val="0"/>
          <w:marBottom w:val="0"/>
          <w:divBdr>
            <w:top w:val="none" w:sz="0" w:space="0" w:color="auto"/>
            <w:left w:val="none" w:sz="0" w:space="0" w:color="auto"/>
            <w:bottom w:val="none" w:sz="0" w:space="0" w:color="auto"/>
            <w:right w:val="none" w:sz="0" w:space="0" w:color="auto"/>
          </w:divBdr>
          <w:divsChild>
            <w:div w:id="1512377211">
              <w:marLeft w:val="0"/>
              <w:marRight w:val="0"/>
              <w:marTop w:val="0"/>
              <w:marBottom w:val="0"/>
              <w:divBdr>
                <w:top w:val="none" w:sz="0" w:space="0" w:color="auto"/>
                <w:left w:val="none" w:sz="0" w:space="0" w:color="auto"/>
                <w:bottom w:val="none" w:sz="0" w:space="0" w:color="auto"/>
                <w:right w:val="none" w:sz="0" w:space="0" w:color="auto"/>
              </w:divBdr>
              <w:divsChild>
                <w:div w:id="16356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2127">
      <w:bodyDiv w:val="1"/>
      <w:marLeft w:val="0"/>
      <w:marRight w:val="0"/>
      <w:marTop w:val="0"/>
      <w:marBottom w:val="0"/>
      <w:divBdr>
        <w:top w:val="none" w:sz="0" w:space="0" w:color="auto"/>
        <w:left w:val="none" w:sz="0" w:space="0" w:color="auto"/>
        <w:bottom w:val="none" w:sz="0" w:space="0" w:color="auto"/>
        <w:right w:val="none" w:sz="0" w:space="0" w:color="auto"/>
      </w:divBdr>
    </w:div>
    <w:div w:id="513425060">
      <w:bodyDiv w:val="1"/>
      <w:marLeft w:val="0"/>
      <w:marRight w:val="0"/>
      <w:marTop w:val="0"/>
      <w:marBottom w:val="0"/>
      <w:divBdr>
        <w:top w:val="none" w:sz="0" w:space="0" w:color="auto"/>
        <w:left w:val="none" w:sz="0" w:space="0" w:color="auto"/>
        <w:bottom w:val="none" w:sz="0" w:space="0" w:color="auto"/>
        <w:right w:val="none" w:sz="0" w:space="0" w:color="auto"/>
      </w:divBdr>
      <w:divsChild>
        <w:div w:id="2101292425">
          <w:marLeft w:val="547"/>
          <w:marRight w:val="0"/>
          <w:marTop w:val="0"/>
          <w:marBottom w:val="0"/>
          <w:divBdr>
            <w:top w:val="none" w:sz="0" w:space="0" w:color="auto"/>
            <w:left w:val="none" w:sz="0" w:space="0" w:color="auto"/>
            <w:bottom w:val="none" w:sz="0" w:space="0" w:color="auto"/>
            <w:right w:val="none" w:sz="0" w:space="0" w:color="auto"/>
          </w:divBdr>
        </w:div>
        <w:div w:id="138546273">
          <w:marLeft w:val="547"/>
          <w:marRight w:val="0"/>
          <w:marTop w:val="0"/>
          <w:marBottom w:val="0"/>
          <w:divBdr>
            <w:top w:val="none" w:sz="0" w:space="0" w:color="auto"/>
            <w:left w:val="none" w:sz="0" w:space="0" w:color="auto"/>
            <w:bottom w:val="none" w:sz="0" w:space="0" w:color="auto"/>
            <w:right w:val="none" w:sz="0" w:space="0" w:color="auto"/>
          </w:divBdr>
        </w:div>
        <w:div w:id="1619411387">
          <w:marLeft w:val="547"/>
          <w:marRight w:val="0"/>
          <w:marTop w:val="0"/>
          <w:marBottom w:val="0"/>
          <w:divBdr>
            <w:top w:val="none" w:sz="0" w:space="0" w:color="auto"/>
            <w:left w:val="none" w:sz="0" w:space="0" w:color="auto"/>
            <w:bottom w:val="none" w:sz="0" w:space="0" w:color="auto"/>
            <w:right w:val="none" w:sz="0" w:space="0" w:color="auto"/>
          </w:divBdr>
        </w:div>
        <w:div w:id="847717552">
          <w:marLeft w:val="547"/>
          <w:marRight w:val="0"/>
          <w:marTop w:val="0"/>
          <w:marBottom w:val="0"/>
          <w:divBdr>
            <w:top w:val="none" w:sz="0" w:space="0" w:color="auto"/>
            <w:left w:val="none" w:sz="0" w:space="0" w:color="auto"/>
            <w:bottom w:val="none" w:sz="0" w:space="0" w:color="auto"/>
            <w:right w:val="none" w:sz="0" w:space="0" w:color="auto"/>
          </w:divBdr>
        </w:div>
        <w:div w:id="805708122">
          <w:marLeft w:val="547"/>
          <w:marRight w:val="0"/>
          <w:marTop w:val="0"/>
          <w:marBottom w:val="0"/>
          <w:divBdr>
            <w:top w:val="none" w:sz="0" w:space="0" w:color="auto"/>
            <w:left w:val="none" w:sz="0" w:space="0" w:color="auto"/>
            <w:bottom w:val="none" w:sz="0" w:space="0" w:color="auto"/>
            <w:right w:val="none" w:sz="0" w:space="0" w:color="auto"/>
          </w:divBdr>
        </w:div>
        <w:div w:id="2071074695">
          <w:marLeft w:val="547"/>
          <w:marRight w:val="0"/>
          <w:marTop w:val="0"/>
          <w:marBottom w:val="160"/>
          <w:divBdr>
            <w:top w:val="none" w:sz="0" w:space="0" w:color="auto"/>
            <w:left w:val="none" w:sz="0" w:space="0" w:color="auto"/>
            <w:bottom w:val="none" w:sz="0" w:space="0" w:color="auto"/>
            <w:right w:val="none" w:sz="0" w:space="0" w:color="auto"/>
          </w:divBdr>
        </w:div>
      </w:divsChild>
    </w:div>
    <w:div w:id="577177478">
      <w:bodyDiv w:val="1"/>
      <w:marLeft w:val="0"/>
      <w:marRight w:val="0"/>
      <w:marTop w:val="0"/>
      <w:marBottom w:val="0"/>
      <w:divBdr>
        <w:top w:val="none" w:sz="0" w:space="0" w:color="auto"/>
        <w:left w:val="none" w:sz="0" w:space="0" w:color="auto"/>
        <w:bottom w:val="none" w:sz="0" w:space="0" w:color="auto"/>
        <w:right w:val="none" w:sz="0" w:space="0" w:color="auto"/>
      </w:divBdr>
    </w:div>
    <w:div w:id="931356046">
      <w:bodyDiv w:val="1"/>
      <w:marLeft w:val="0"/>
      <w:marRight w:val="0"/>
      <w:marTop w:val="0"/>
      <w:marBottom w:val="0"/>
      <w:divBdr>
        <w:top w:val="none" w:sz="0" w:space="0" w:color="auto"/>
        <w:left w:val="none" w:sz="0" w:space="0" w:color="auto"/>
        <w:bottom w:val="none" w:sz="0" w:space="0" w:color="auto"/>
        <w:right w:val="none" w:sz="0" w:space="0" w:color="auto"/>
      </w:divBdr>
    </w:div>
    <w:div w:id="968436609">
      <w:bodyDiv w:val="1"/>
      <w:marLeft w:val="0"/>
      <w:marRight w:val="0"/>
      <w:marTop w:val="0"/>
      <w:marBottom w:val="0"/>
      <w:divBdr>
        <w:top w:val="none" w:sz="0" w:space="0" w:color="auto"/>
        <w:left w:val="none" w:sz="0" w:space="0" w:color="auto"/>
        <w:bottom w:val="none" w:sz="0" w:space="0" w:color="auto"/>
        <w:right w:val="none" w:sz="0" w:space="0" w:color="auto"/>
      </w:divBdr>
    </w:div>
    <w:div w:id="1533109298">
      <w:bodyDiv w:val="1"/>
      <w:marLeft w:val="0"/>
      <w:marRight w:val="0"/>
      <w:marTop w:val="0"/>
      <w:marBottom w:val="0"/>
      <w:divBdr>
        <w:top w:val="none" w:sz="0" w:space="0" w:color="auto"/>
        <w:left w:val="none" w:sz="0" w:space="0" w:color="auto"/>
        <w:bottom w:val="none" w:sz="0" w:space="0" w:color="auto"/>
        <w:right w:val="none" w:sz="0" w:space="0" w:color="auto"/>
      </w:divBdr>
    </w:div>
    <w:div w:id="1553347269">
      <w:bodyDiv w:val="1"/>
      <w:marLeft w:val="0"/>
      <w:marRight w:val="0"/>
      <w:marTop w:val="0"/>
      <w:marBottom w:val="0"/>
      <w:divBdr>
        <w:top w:val="none" w:sz="0" w:space="0" w:color="auto"/>
        <w:left w:val="none" w:sz="0" w:space="0" w:color="auto"/>
        <w:bottom w:val="none" w:sz="0" w:space="0" w:color="auto"/>
        <w:right w:val="none" w:sz="0" w:space="0" w:color="auto"/>
      </w:divBdr>
    </w:div>
    <w:div w:id="16996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72183A38-C7F6-4490-A538-83C3621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28105</Words>
  <Characters>154578</Characters>
  <Application>Microsoft Office Word</Application>
  <DocSecurity>0</DocSecurity>
  <Lines>1288</Lines>
  <Paragraphs>364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Hygeia</dc:creator>
  <cp:keywords/>
  <dc:description/>
  <cp:lastModifiedBy>David</cp:lastModifiedBy>
  <cp:revision>4</cp:revision>
  <dcterms:created xsi:type="dcterms:W3CDTF">2022-02-18T11:08:00Z</dcterms:created>
  <dcterms:modified xsi:type="dcterms:W3CDTF">2022-02-18T11:09:00Z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http://csl.mendeley.com/styles/646157391/american-medical-association-MariaLores</vt:lpwstr>
  </property>
  <property fmtid="{D5CDD505-2E9C-101B-9397-08002B2CF9AE}" pid="5" name="Mendeley Recent Style Name 1_1">
    <vt:lpwstr>American Medical Association 11th edition - Maria Lorés</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http://csl.mendeley.com/styles/646157391/chicago-author-date-MariaLores</vt:lpwstr>
  </property>
  <property fmtid="{D5CDD505-2E9C-101B-9397-08002B2CF9AE}" pid="13" name="Mendeley Recent Style Name 5_1">
    <vt:lpwstr>Chicago Manual of Style 17th edition (author-date) - Maria Lorés</vt:lpwstr>
  </property>
  <property fmtid="{D5CDD505-2E9C-101B-9397-08002B2CF9AE}" pid="14" name="Mendeley Recent Style Id 6_1">
    <vt:lpwstr>http://csl.mendeley.com/styles/646157391/chicago-author-date-MariaLores2</vt:lpwstr>
  </property>
  <property fmtid="{D5CDD505-2E9C-101B-9397-08002B2CF9AE}" pid="15" name="Mendeley Recent Style Name 6_1">
    <vt:lpwstr>Chicago Manual of Style 17th edition (author-date) - Maria Lorés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http://csl.mendeley.com/styles/646157391/vancouver-MariaLores</vt:lpwstr>
  </property>
  <property fmtid="{D5CDD505-2E9C-101B-9397-08002B2CF9AE}" pid="21" name="Mendeley Recent Style Name 9_1">
    <vt:lpwstr>Vancouver - Maria Lorés</vt:lpwstr>
  </property>
  <property fmtid="{D5CDD505-2E9C-101B-9397-08002B2CF9AE}" pid="22" name="Mendeley Document_1">
    <vt:lpwstr>True</vt:lpwstr>
  </property>
  <property fmtid="{D5CDD505-2E9C-101B-9397-08002B2CF9AE}" pid="23" name="Mendeley Unique User Id_1">
    <vt:lpwstr>cf25af73-74e9-3028-946b-912f7ae9ac11</vt:lpwstr>
  </property>
  <property fmtid="{D5CDD505-2E9C-101B-9397-08002B2CF9AE}" pid="24" name="Mendeley Citation Style_1">
    <vt:lpwstr>http://www.zotero.org/styles/vancouver</vt:lpwstr>
  </property>
</Properties>
</file>