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F0900" w14:textId="77777777" w:rsidR="000A5415" w:rsidRDefault="000A5415" w:rsidP="000A5415">
      <w:pPr>
        <w:spacing w:after="0" w:line="480" w:lineRule="auto"/>
        <w:jc w:val="both"/>
        <w:rPr>
          <w:rFonts w:ascii="Times New Roman" w:hAnsi="Times New Roman" w:cs="Times New Roman"/>
          <w:b/>
          <w:bCs/>
          <w:sz w:val="24"/>
          <w:szCs w:val="24"/>
        </w:rPr>
      </w:pPr>
      <w:bookmarkStart w:id="0" w:name="_Hlk67406425"/>
      <w:r w:rsidRPr="00487B5D">
        <w:rPr>
          <w:rFonts w:ascii="Times New Roman" w:hAnsi="Times New Roman" w:cs="Times New Roman"/>
          <w:b/>
          <w:bCs/>
          <w:sz w:val="24"/>
          <w:szCs w:val="24"/>
        </w:rPr>
        <w:t xml:space="preserve">Quantile </w:t>
      </w:r>
      <w:r>
        <w:rPr>
          <w:rFonts w:ascii="Times New Roman" w:hAnsi="Times New Roman" w:cs="Times New Roman"/>
          <w:b/>
          <w:bCs/>
          <w:sz w:val="24"/>
          <w:szCs w:val="24"/>
        </w:rPr>
        <w:t>m</w:t>
      </w:r>
      <w:r w:rsidRPr="00487B5D">
        <w:rPr>
          <w:rFonts w:ascii="Times New Roman" w:hAnsi="Times New Roman" w:cs="Times New Roman"/>
          <w:b/>
          <w:bCs/>
          <w:sz w:val="24"/>
          <w:szCs w:val="24"/>
        </w:rPr>
        <w:t xml:space="preserve">apping </w:t>
      </w:r>
      <w:r>
        <w:rPr>
          <w:rFonts w:ascii="Times New Roman" w:hAnsi="Times New Roman" w:cs="Times New Roman"/>
          <w:b/>
          <w:bCs/>
          <w:sz w:val="24"/>
          <w:szCs w:val="24"/>
        </w:rPr>
        <w:t>b</w:t>
      </w:r>
      <w:r w:rsidRPr="00487B5D">
        <w:rPr>
          <w:rFonts w:ascii="Times New Roman" w:hAnsi="Times New Roman" w:cs="Times New Roman"/>
          <w:b/>
          <w:bCs/>
          <w:sz w:val="24"/>
          <w:szCs w:val="24"/>
        </w:rPr>
        <w:t xml:space="preserve">ias </w:t>
      </w:r>
      <w:r>
        <w:rPr>
          <w:rFonts w:ascii="Times New Roman" w:hAnsi="Times New Roman" w:cs="Times New Roman"/>
          <w:b/>
          <w:bCs/>
          <w:sz w:val="24"/>
          <w:szCs w:val="24"/>
        </w:rPr>
        <w:t>c</w:t>
      </w:r>
      <w:r w:rsidRPr="00487B5D">
        <w:rPr>
          <w:rFonts w:ascii="Times New Roman" w:hAnsi="Times New Roman" w:cs="Times New Roman"/>
          <w:b/>
          <w:bCs/>
          <w:sz w:val="24"/>
          <w:szCs w:val="24"/>
        </w:rPr>
        <w:t xml:space="preserve">orrection </w:t>
      </w:r>
      <w:r>
        <w:rPr>
          <w:rFonts w:ascii="Times New Roman" w:hAnsi="Times New Roman" w:cs="Times New Roman"/>
          <w:b/>
          <w:bCs/>
          <w:sz w:val="24"/>
          <w:szCs w:val="24"/>
        </w:rPr>
        <w:t>m</w:t>
      </w:r>
      <w:r w:rsidRPr="00487B5D">
        <w:rPr>
          <w:rFonts w:ascii="Times New Roman" w:hAnsi="Times New Roman" w:cs="Times New Roman"/>
          <w:b/>
          <w:bCs/>
          <w:sz w:val="24"/>
          <w:szCs w:val="24"/>
        </w:rPr>
        <w:t>ethods</w:t>
      </w:r>
      <w:r>
        <w:rPr>
          <w:rFonts w:ascii="Times New Roman" w:hAnsi="Times New Roman" w:cs="Times New Roman"/>
          <w:b/>
          <w:bCs/>
          <w:sz w:val="24"/>
          <w:szCs w:val="24"/>
        </w:rPr>
        <w:t xml:space="preserve"> to IMDAA reanalysis for calibrating NCMRWF unified model operational forecasts</w:t>
      </w:r>
    </w:p>
    <w:p w14:paraId="14F7AF54" w14:textId="77777777" w:rsidR="007830BD" w:rsidRDefault="007830BD" w:rsidP="001D5725">
      <w:pPr>
        <w:spacing w:after="0"/>
        <w:jc w:val="both"/>
        <w:rPr>
          <w:rFonts w:ascii="Times New Roman" w:hAnsi="Times New Roman" w:cs="Times New Roman"/>
          <w:b/>
          <w:bCs/>
          <w:sz w:val="24"/>
          <w:szCs w:val="24"/>
        </w:rPr>
      </w:pPr>
    </w:p>
    <w:bookmarkEnd w:id="0"/>
    <w:p w14:paraId="2683322F" w14:textId="5DA0FDAF" w:rsidR="001D5725" w:rsidRPr="001D5725" w:rsidRDefault="001D5725" w:rsidP="001D5725">
      <w:pPr>
        <w:jc w:val="both"/>
        <w:rPr>
          <w:rFonts w:ascii="Times New Roman" w:hAnsi="Times New Roman" w:cs="Times New Roman"/>
          <w:sz w:val="24"/>
          <w:szCs w:val="24"/>
        </w:rPr>
      </w:pPr>
      <w:r w:rsidRPr="001D5725">
        <w:rPr>
          <w:rFonts w:ascii="Times New Roman" w:hAnsi="Times New Roman" w:cs="Times New Roman"/>
          <w:sz w:val="24"/>
          <w:szCs w:val="24"/>
        </w:rPr>
        <w:t>Kondapalli Niranjan Kumar</w:t>
      </w:r>
      <w:r w:rsidRPr="001D5725">
        <w:rPr>
          <w:rFonts w:ascii="Times New Roman" w:hAnsi="Times New Roman" w:cs="Times New Roman"/>
          <w:sz w:val="24"/>
          <w:szCs w:val="24"/>
          <w:vertAlign w:val="superscript"/>
        </w:rPr>
        <w:t>1</w:t>
      </w:r>
      <w:r w:rsidRPr="001D5725">
        <w:rPr>
          <w:rFonts w:ascii="Times New Roman" w:hAnsi="Times New Roman" w:cs="Times New Roman"/>
          <w:sz w:val="24"/>
          <w:szCs w:val="24"/>
        </w:rPr>
        <w:t xml:space="preserve">*, </w:t>
      </w:r>
      <w:r w:rsidR="003F1801" w:rsidRPr="003F1801">
        <w:rPr>
          <w:rFonts w:ascii="Times New Roman" w:hAnsi="Times New Roman" w:cs="Times New Roman"/>
          <w:sz w:val="24"/>
          <w:szCs w:val="24"/>
        </w:rPr>
        <w:t>Mohana Satyanarayana Thota</w:t>
      </w:r>
      <w:r w:rsidRPr="001D5725">
        <w:rPr>
          <w:rFonts w:ascii="Times New Roman" w:hAnsi="Times New Roman" w:cs="Times New Roman"/>
          <w:sz w:val="24"/>
          <w:szCs w:val="24"/>
          <w:vertAlign w:val="superscript"/>
        </w:rPr>
        <w:t>1</w:t>
      </w:r>
      <w:r w:rsidRPr="001D5725">
        <w:rPr>
          <w:rFonts w:ascii="Times New Roman" w:hAnsi="Times New Roman" w:cs="Times New Roman"/>
          <w:sz w:val="24"/>
          <w:szCs w:val="24"/>
        </w:rPr>
        <w:t>, Raghavendra Ashrit</w:t>
      </w:r>
      <w:r w:rsidRPr="001D5725">
        <w:rPr>
          <w:rFonts w:ascii="Times New Roman" w:hAnsi="Times New Roman" w:cs="Times New Roman"/>
          <w:sz w:val="24"/>
          <w:szCs w:val="24"/>
          <w:vertAlign w:val="superscript"/>
        </w:rPr>
        <w:t>1</w:t>
      </w:r>
      <w:r w:rsidRPr="001D5725">
        <w:rPr>
          <w:rFonts w:ascii="Times New Roman" w:hAnsi="Times New Roman" w:cs="Times New Roman"/>
          <w:sz w:val="24"/>
          <w:szCs w:val="24"/>
        </w:rPr>
        <w:t xml:space="preserve">, </w:t>
      </w:r>
      <w:proofErr w:type="spellStart"/>
      <w:r w:rsidRPr="001D5725">
        <w:rPr>
          <w:rFonts w:ascii="Times New Roman" w:hAnsi="Times New Roman" w:cs="Times New Roman"/>
          <w:sz w:val="24"/>
          <w:szCs w:val="24"/>
        </w:rPr>
        <w:t>Ashis</w:t>
      </w:r>
      <w:proofErr w:type="spellEnd"/>
      <w:r w:rsidRPr="001D5725">
        <w:rPr>
          <w:rFonts w:ascii="Times New Roman" w:hAnsi="Times New Roman" w:cs="Times New Roman"/>
          <w:sz w:val="24"/>
          <w:szCs w:val="24"/>
        </w:rPr>
        <w:t xml:space="preserve"> K. Mitra</w:t>
      </w:r>
      <w:r w:rsidRPr="001D5725">
        <w:rPr>
          <w:rFonts w:ascii="Times New Roman" w:hAnsi="Times New Roman" w:cs="Times New Roman"/>
          <w:sz w:val="24"/>
          <w:szCs w:val="24"/>
          <w:vertAlign w:val="superscript"/>
        </w:rPr>
        <w:t>1</w:t>
      </w:r>
      <w:r w:rsidRPr="001D5725">
        <w:rPr>
          <w:rFonts w:ascii="Times New Roman" w:hAnsi="Times New Roman" w:cs="Times New Roman"/>
          <w:sz w:val="24"/>
          <w:szCs w:val="24"/>
        </w:rPr>
        <w:t xml:space="preserve">, </w:t>
      </w:r>
      <w:proofErr w:type="spellStart"/>
      <w:r w:rsidR="003F1801" w:rsidRPr="003F1801">
        <w:rPr>
          <w:rFonts w:ascii="Times New Roman" w:hAnsi="Times New Roman" w:cs="Times New Roman"/>
          <w:sz w:val="24"/>
          <w:szCs w:val="24"/>
        </w:rPr>
        <w:t>Madhavan</w:t>
      </w:r>
      <w:proofErr w:type="spellEnd"/>
      <w:r w:rsidR="003F1801" w:rsidRPr="003F1801">
        <w:rPr>
          <w:rFonts w:ascii="Times New Roman" w:hAnsi="Times New Roman" w:cs="Times New Roman"/>
          <w:sz w:val="24"/>
          <w:szCs w:val="24"/>
        </w:rPr>
        <w:t xml:space="preserve"> Nair Rajeevan</w:t>
      </w:r>
      <w:r w:rsidRPr="001D5725">
        <w:rPr>
          <w:rFonts w:ascii="Times New Roman" w:hAnsi="Times New Roman" w:cs="Times New Roman"/>
          <w:sz w:val="24"/>
          <w:szCs w:val="24"/>
          <w:vertAlign w:val="superscript"/>
        </w:rPr>
        <w:t>2</w:t>
      </w:r>
    </w:p>
    <w:p w14:paraId="3C0081D4" w14:textId="77777777" w:rsidR="00547A0E" w:rsidRDefault="00547A0E" w:rsidP="00547A0E">
      <w:pPr>
        <w:rPr>
          <w:rFonts w:ascii="Times New Roman" w:hAnsi="Times New Roman" w:cs="Times New Roman"/>
          <w:sz w:val="24"/>
          <w:szCs w:val="24"/>
        </w:rPr>
      </w:pPr>
      <w:r w:rsidRPr="00D35F35">
        <w:rPr>
          <w:rFonts w:ascii="Times New Roman" w:hAnsi="Times New Roman" w:cs="Times New Roman"/>
          <w:sz w:val="24"/>
          <w:szCs w:val="24"/>
          <w:vertAlign w:val="superscript"/>
        </w:rPr>
        <w:t>1</w:t>
      </w:r>
      <w:r>
        <w:rPr>
          <w:rFonts w:ascii="Times New Roman" w:hAnsi="Times New Roman" w:cs="Times New Roman"/>
          <w:sz w:val="24"/>
          <w:szCs w:val="24"/>
        </w:rPr>
        <w:t>National Centre for Medium Range Weather Forecasting, Ministry of Earth Sciences, India</w:t>
      </w:r>
    </w:p>
    <w:p w14:paraId="7A816E84" w14:textId="3E5AECEB" w:rsidR="00547A0E" w:rsidRPr="00D35F35" w:rsidRDefault="00547A0E" w:rsidP="00547A0E">
      <w:pPr>
        <w:rPr>
          <w:rFonts w:ascii="Times New Roman" w:hAnsi="Times New Roman" w:cs="Times New Roman"/>
          <w:sz w:val="24"/>
          <w:szCs w:val="24"/>
        </w:rPr>
      </w:pPr>
      <w:r w:rsidRPr="00D35F35">
        <w:rPr>
          <w:rFonts w:ascii="Times New Roman" w:hAnsi="Times New Roman" w:cs="Times New Roman"/>
          <w:sz w:val="24"/>
          <w:szCs w:val="24"/>
          <w:vertAlign w:val="superscript"/>
        </w:rPr>
        <w:t>2</w:t>
      </w:r>
      <w:r>
        <w:rPr>
          <w:rFonts w:ascii="Times New Roman" w:hAnsi="Times New Roman" w:cs="Times New Roman"/>
          <w:sz w:val="24"/>
          <w:szCs w:val="24"/>
        </w:rPr>
        <w:t>Ministry of Earth Sciences, India.</w:t>
      </w:r>
    </w:p>
    <w:p w14:paraId="44AA1A05" w14:textId="77E2415F" w:rsidR="0087728A" w:rsidRDefault="0087728A">
      <w:pPr>
        <w:rPr>
          <w:noProof/>
        </w:rPr>
      </w:pPr>
    </w:p>
    <w:p w14:paraId="6469D661" w14:textId="46B4AC2F" w:rsidR="0087728A" w:rsidRDefault="001F51D3">
      <w:r w:rsidRPr="00F270E2">
        <w:rPr>
          <w:rFonts w:ascii="Times New Roman" w:hAnsi="Times New Roman" w:cs="Times New Roman"/>
          <w:b/>
          <w:bCs/>
          <w:noProof/>
          <w:sz w:val="24"/>
          <w:szCs w:val="24"/>
        </w:rPr>
        <w:drawing>
          <wp:anchor distT="0" distB="0" distL="114300" distR="114300" simplePos="0" relativeHeight="251658240" behindDoc="1" locked="0" layoutInCell="1" allowOverlap="1" wp14:anchorId="7615FD81" wp14:editId="293EB0FE">
            <wp:simplePos x="0" y="0"/>
            <wp:positionH relativeFrom="margin">
              <wp:align>center</wp:align>
            </wp:positionH>
            <wp:positionV relativeFrom="paragraph">
              <wp:posOffset>77525</wp:posOffset>
            </wp:positionV>
            <wp:extent cx="6243930" cy="2089150"/>
            <wp:effectExtent l="0" t="0" r="5080" b="6350"/>
            <wp:wrapNone/>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5" cstate="print">
                      <a:extLst>
                        <a:ext uri="{28A0092B-C50C-407E-A947-70E740481C1C}">
                          <a14:useLocalDpi xmlns:a14="http://schemas.microsoft.com/office/drawing/2010/main" val="0"/>
                        </a:ext>
                      </a:extLst>
                    </a:blip>
                    <a:srcRect l="14293" t="18150" r="1617" b="17822"/>
                    <a:stretch/>
                  </pic:blipFill>
                  <pic:spPr bwMode="auto">
                    <a:xfrm>
                      <a:off x="0" y="0"/>
                      <a:ext cx="6243930" cy="208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C0F58" w14:textId="42295528" w:rsidR="00F270E2" w:rsidRPr="00F270E2" w:rsidRDefault="00F270E2" w:rsidP="00F270E2">
      <w:pPr>
        <w:rPr>
          <w:sz w:val="24"/>
          <w:szCs w:val="24"/>
        </w:rPr>
      </w:pPr>
    </w:p>
    <w:p w14:paraId="471D6CC2" w14:textId="4EE219C7" w:rsidR="00F270E2" w:rsidRPr="00F270E2" w:rsidRDefault="00F270E2" w:rsidP="00F270E2">
      <w:pPr>
        <w:rPr>
          <w:sz w:val="24"/>
          <w:szCs w:val="24"/>
        </w:rPr>
      </w:pPr>
    </w:p>
    <w:p w14:paraId="5303D630" w14:textId="553CC2AF" w:rsidR="00F270E2" w:rsidRPr="00F270E2" w:rsidRDefault="00F270E2" w:rsidP="00F270E2">
      <w:pPr>
        <w:rPr>
          <w:sz w:val="24"/>
          <w:szCs w:val="24"/>
        </w:rPr>
      </w:pPr>
    </w:p>
    <w:p w14:paraId="170585D9" w14:textId="49EC9A3E" w:rsidR="00F270E2" w:rsidRPr="00F270E2" w:rsidRDefault="00F270E2" w:rsidP="00F270E2">
      <w:pPr>
        <w:rPr>
          <w:sz w:val="24"/>
          <w:szCs w:val="24"/>
        </w:rPr>
      </w:pPr>
    </w:p>
    <w:p w14:paraId="14E61025" w14:textId="59062A31" w:rsidR="00F270E2" w:rsidRPr="00F270E2" w:rsidRDefault="00F270E2" w:rsidP="00F270E2">
      <w:pPr>
        <w:rPr>
          <w:sz w:val="24"/>
          <w:szCs w:val="24"/>
        </w:rPr>
      </w:pPr>
    </w:p>
    <w:p w14:paraId="5C8D6FF8" w14:textId="390D5296" w:rsidR="00F270E2" w:rsidRPr="00F270E2" w:rsidRDefault="00F270E2" w:rsidP="00F270E2">
      <w:pPr>
        <w:rPr>
          <w:sz w:val="24"/>
          <w:szCs w:val="24"/>
        </w:rPr>
      </w:pPr>
    </w:p>
    <w:p w14:paraId="4F2627FF" w14:textId="05D943DF" w:rsidR="00F270E2" w:rsidRPr="00F270E2" w:rsidRDefault="00F270E2" w:rsidP="00F270E2">
      <w:pPr>
        <w:rPr>
          <w:sz w:val="24"/>
          <w:szCs w:val="24"/>
        </w:rPr>
      </w:pPr>
    </w:p>
    <w:p w14:paraId="58D3CBC4" w14:textId="4139D05B" w:rsidR="00F270E2" w:rsidRPr="00AF0E0E" w:rsidRDefault="00AF0E0E" w:rsidP="00496830">
      <w:pPr>
        <w:jc w:val="both"/>
        <w:rPr>
          <w:rFonts w:ascii="Times New Roman" w:hAnsi="Times New Roman" w:cs="Times New Roman"/>
          <w:b/>
          <w:bCs/>
          <w:sz w:val="24"/>
          <w:szCs w:val="24"/>
        </w:rPr>
      </w:pPr>
      <w:r w:rsidRPr="00AF0E0E">
        <w:rPr>
          <w:rFonts w:ascii="Times New Roman" w:hAnsi="Times New Roman" w:cs="Times New Roman"/>
          <w:b/>
          <w:bCs/>
          <w:sz w:val="24"/>
          <w:szCs w:val="24"/>
        </w:rPr>
        <w:t>Figure S1</w:t>
      </w:r>
      <w:r w:rsidR="00FD0E7D">
        <w:rPr>
          <w:rFonts w:ascii="Times New Roman" w:hAnsi="Times New Roman" w:cs="Times New Roman"/>
          <w:b/>
          <w:bCs/>
          <w:sz w:val="24"/>
          <w:szCs w:val="24"/>
        </w:rPr>
        <w:t>.</w:t>
      </w:r>
      <w:r w:rsidRPr="00AF0E0E">
        <w:rPr>
          <w:rFonts w:ascii="Times New Roman" w:hAnsi="Times New Roman" w:cs="Times New Roman"/>
          <w:b/>
          <w:bCs/>
          <w:sz w:val="24"/>
          <w:szCs w:val="24"/>
        </w:rPr>
        <w:t xml:space="preserve"> </w:t>
      </w:r>
      <w:r w:rsidRPr="00024F53">
        <w:rPr>
          <w:rFonts w:ascii="Times New Roman" w:hAnsi="Times New Roman" w:cs="Times New Roman"/>
          <w:i/>
          <w:iCs/>
          <w:sz w:val="24"/>
          <w:szCs w:val="24"/>
        </w:rPr>
        <w:t xml:space="preserve">The </w:t>
      </w:r>
      <w:r>
        <w:rPr>
          <w:rFonts w:ascii="Times New Roman" w:hAnsi="Times New Roman" w:cs="Times New Roman"/>
          <w:i/>
          <w:iCs/>
          <w:sz w:val="24"/>
          <w:szCs w:val="24"/>
        </w:rPr>
        <w:t xml:space="preserve">cumulative distribution from daily precipitation </w:t>
      </w:r>
      <w:r w:rsidRPr="00024F53">
        <w:rPr>
          <w:rFonts w:ascii="Times New Roman" w:hAnsi="Times New Roman" w:cs="Times New Roman"/>
          <w:i/>
          <w:iCs/>
          <w:sz w:val="24"/>
          <w:szCs w:val="24"/>
        </w:rPr>
        <w:t>over CHN</w:t>
      </w:r>
      <w:r>
        <w:rPr>
          <w:rFonts w:ascii="Times New Roman" w:hAnsi="Times New Roman" w:cs="Times New Roman"/>
          <w:i/>
          <w:iCs/>
          <w:sz w:val="24"/>
          <w:szCs w:val="24"/>
        </w:rPr>
        <w:t xml:space="preserve"> (left panel)</w:t>
      </w:r>
      <w:r w:rsidRPr="00024F53">
        <w:rPr>
          <w:rFonts w:ascii="Times New Roman" w:hAnsi="Times New Roman" w:cs="Times New Roman"/>
          <w:i/>
          <w:iCs/>
          <w:sz w:val="24"/>
          <w:szCs w:val="24"/>
        </w:rPr>
        <w:t xml:space="preserve"> and BOM</w:t>
      </w:r>
      <w:r>
        <w:rPr>
          <w:rFonts w:ascii="Times New Roman" w:hAnsi="Times New Roman" w:cs="Times New Roman"/>
          <w:i/>
          <w:iCs/>
          <w:sz w:val="24"/>
          <w:szCs w:val="24"/>
        </w:rPr>
        <w:t xml:space="preserve"> (right panel)</w:t>
      </w:r>
      <w:r w:rsidRPr="00024F53">
        <w:rPr>
          <w:rFonts w:ascii="Times New Roman" w:hAnsi="Times New Roman" w:cs="Times New Roman"/>
          <w:i/>
          <w:iCs/>
          <w:sz w:val="24"/>
          <w:szCs w:val="24"/>
        </w:rPr>
        <w:t xml:space="preserve"> locations</w:t>
      </w:r>
      <w:r>
        <w:rPr>
          <w:rFonts w:ascii="Times New Roman" w:hAnsi="Times New Roman" w:cs="Times New Roman"/>
          <w:i/>
          <w:iCs/>
          <w:sz w:val="24"/>
          <w:szCs w:val="24"/>
        </w:rPr>
        <w:t xml:space="preserve"> over the validation period (2009-2018)</w:t>
      </w:r>
      <w:r w:rsidRPr="00024F53">
        <w:rPr>
          <w:rFonts w:ascii="Times New Roman" w:hAnsi="Times New Roman" w:cs="Times New Roman"/>
          <w:i/>
          <w:iCs/>
          <w:sz w:val="24"/>
          <w:szCs w:val="24"/>
        </w:rPr>
        <w:t xml:space="preserve">. </w:t>
      </w:r>
      <w:r>
        <w:rPr>
          <w:rFonts w:ascii="Times New Roman" w:hAnsi="Times New Roman" w:cs="Times New Roman"/>
          <w:i/>
          <w:iCs/>
          <w:sz w:val="24"/>
          <w:szCs w:val="24"/>
        </w:rPr>
        <w:t>The observed (GHCN)  and raw IMDAA (</w:t>
      </w:r>
      <w:proofErr w:type="spellStart"/>
      <w:r>
        <w:rPr>
          <w:rFonts w:ascii="Times New Roman" w:hAnsi="Times New Roman" w:cs="Times New Roman"/>
          <w:i/>
          <w:iCs/>
          <w:sz w:val="24"/>
          <w:szCs w:val="24"/>
        </w:rPr>
        <w:t>IMDAA</w:t>
      </w:r>
      <w:r w:rsidRPr="00AF0E0E">
        <w:rPr>
          <w:rFonts w:ascii="Times New Roman" w:hAnsi="Times New Roman" w:cs="Times New Roman"/>
          <w:i/>
          <w:iCs/>
          <w:sz w:val="24"/>
          <w:szCs w:val="24"/>
          <w:vertAlign w:val="subscript"/>
        </w:rPr>
        <w:t>nocal</w:t>
      </w:r>
      <w:proofErr w:type="spellEnd"/>
      <w:r>
        <w:rPr>
          <w:rFonts w:ascii="Times New Roman" w:hAnsi="Times New Roman" w:cs="Times New Roman"/>
          <w:i/>
          <w:iCs/>
          <w:sz w:val="24"/>
          <w:szCs w:val="24"/>
        </w:rPr>
        <w:t>) are indicated by “black” and “red” lines. While the bias-corrected precipitation distribution from empirical quantile methods (EQM[</w:t>
      </w:r>
      <w:proofErr w:type="spellStart"/>
      <w:r w:rsidRPr="00024F53">
        <w:rPr>
          <w:rFonts w:ascii="Times New Roman" w:hAnsi="Times New Roman" w:cs="Times New Roman"/>
          <w:i/>
          <w:iCs/>
          <w:sz w:val="24"/>
          <w:szCs w:val="24"/>
        </w:rPr>
        <w:t>IMDAA</w:t>
      </w:r>
      <w:r>
        <w:rPr>
          <w:rFonts w:ascii="Times New Roman" w:hAnsi="Times New Roman" w:cs="Times New Roman"/>
          <w:i/>
          <w:iCs/>
          <w:sz w:val="24"/>
          <w:szCs w:val="24"/>
          <w:vertAlign w:val="subscript"/>
        </w:rPr>
        <w:t>eqm</w:t>
      </w:r>
      <w:proofErr w:type="spellEnd"/>
      <w:r>
        <w:rPr>
          <w:rFonts w:ascii="Times New Roman" w:hAnsi="Times New Roman" w:cs="Times New Roman"/>
          <w:i/>
          <w:iCs/>
          <w:sz w:val="24"/>
          <w:szCs w:val="24"/>
        </w:rPr>
        <w:t>] and EQM-MV[</w:t>
      </w:r>
      <w:r w:rsidRPr="00024F53">
        <w:rPr>
          <w:rFonts w:ascii="Times New Roman" w:hAnsi="Times New Roman" w:cs="Times New Roman"/>
          <w:i/>
          <w:iCs/>
          <w:sz w:val="24"/>
          <w:szCs w:val="24"/>
        </w:rPr>
        <w:t>(</w:t>
      </w:r>
      <w:proofErr w:type="spellStart"/>
      <w:r w:rsidRPr="00024F53">
        <w:rPr>
          <w:rFonts w:ascii="Times New Roman" w:hAnsi="Times New Roman" w:cs="Times New Roman"/>
          <w:i/>
          <w:iCs/>
          <w:sz w:val="24"/>
          <w:szCs w:val="24"/>
        </w:rPr>
        <w:t>IMDAA</w:t>
      </w:r>
      <w:r>
        <w:rPr>
          <w:rFonts w:ascii="Times New Roman" w:hAnsi="Times New Roman" w:cs="Times New Roman"/>
          <w:i/>
          <w:iCs/>
          <w:sz w:val="24"/>
          <w:szCs w:val="24"/>
          <w:vertAlign w:val="subscript"/>
        </w:rPr>
        <w:t>eqmv</w:t>
      </w:r>
      <w:proofErr w:type="spellEnd"/>
      <w:r>
        <w:rPr>
          <w:rFonts w:ascii="Times New Roman" w:hAnsi="Times New Roman" w:cs="Times New Roman"/>
          <w:i/>
          <w:iCs/>
          <w:sz w:val="24"/>
          <w:szCs w:val="24"/>
        </w:rPr>
        <w:t>]) and parametric quantile methods (PQM[</w:t>
      </w:r>
      <w:proofErr w:type="spellStart"/>
      <w:r w:rsidRPr="00024F53">
        <w:rPr>
          <w:rFonts w:ascii="Times New Roman" w:hAnsi="Times New Roman" w:cs="Times New Roman"/>
          <w:i/>
          <w:iCs/>
          <w:sz w:val="24"/>
          <w:szCs w:val="24"/>
        </w:rPr>
        <w:t>IMDAA</w:t>
      </w:r>
      <w:r>
        <w:rPr>
          <w:rFonts w:ascii="Times New Roman" w:hAnsi="Times New Roman" w:cs="Times New Roman"/>
          <w:i/>
          <w:iCs/>
          <w:sz w:val="24"/>
          <w:szCs w:val="24"/>
          <w:vertAlign w:val="subscript"/>
        </w:rPr>
        <w:t>pqm</w:t>
      </w:r>
      <w:proofErr w:type="spellEnd"/>
      <w:r>
        <w:rPr>
          <w:rFonts w:ascii="Times New Roman" w:hAnsi="Times New Roman" w:cs="Times New Roman"/>
          <w:i/>
          <w:iCs/>
          <w:sz w:val="24"/>
          <w:szCs w:val="24"/>
        </w:rPr>
        <w:t>] and GPQM[</w:t>
      </w:r>
      <w:proofErr w:type="spellStart"/>
      <w:r w:rsidRPr="00024F53">
        <w:rPr>
          <w:rFonts w:ascii="Times New Roman" w:hAnsi="Times New Roman" w:cs="Times New Roman"/>
          <w:i/>
          <w:iCs/>
          <w:sz w:val="24"/>
          <w:szCs w:val="24"/>
        </w:rPr>
        <w:t>IMDAA</w:t>
      </w:r>
      <w:r>
        <w:rPr>
          <w:rFonts w:ascii="Times New Roman" w:hAnsi="Times New Roman" w:cs="Times New Roman"/>
          <w:i/>
          <w:iCs/>
          <w:sz w:val="24"/>
          <w:szCs w:val="24"/>
          <w:vertAlign w:val="subscript"/>
        </w:rPr>
        <w:t>gpqm</w:t>
      </w:r>
      <w:proofErr w:type="spellEnd"/>
      <w:r>
        <w:rPr>
          <w:rFonts w:ascii="Times New Roman" w:hAnsi="Times New Roman" w:cs="Times New Roman"/>
          <w:i/>
          <w:iCs/>
          <w:sz w:val="24"/>
          <w:szCs w:val="24"/>
        </w:rPr>
        <w:t xml:space="preserve">]) are indicated in different </w:t>
      </w:r>
      <w:proofErr w:type="spellStart"/>
      <w:r>
        <w:rPr>
          <w:rFonts w:ascii="Times New Roman" w:hAnsi="Times New Roman" w:cs="Times New Roman"/>
          <w:i/>
          <w:iCs/>
          <w:sz w:val="24"/>
          <w:szCs w:val="24"/>
        </w:rPr>
        <w:t>colors</w:t>
      </w:r>
      <w:proofErr w:type="spellEnd"/>
    </w:p>
    <w:p w14:paraId="51154C5C" w14:textId="58C5EACD" w:rsidR="00F270E2" w:rsidRDefault="00F270E2" w:rsidP="00F270E2">
      <w:pPr>
        <w:tabs>
          <w:tab w:val="left" w:pos="5060"/>
        </w:tabs>
        <w:jc w:val="both"/>
        <w:rPr>
          <w:rFonts w:ascii="Times New Roman" w:hAnsi="Times New Roman" w:cs="Times New Roman"/>
          <w:sz w:val="24"/>
          <w:szCs w:val="24"/>
        </w:rPr>
      </w:pPr>
      <w:r w:rsidRPr="00F270E2">
        <w:rPr>
          <w:rFonts w:ascii="Times New Roman" w:hAnsi="Times New Roman" w:cs="Times New Roman"/>
          <w:sz w:val="24"/>
          <w:szCs w:val="24"/>
        </w:rPr>
        <w:t>The cumulative distribution in Figure S1 is plotted for the post-monsoon and summer monsoon seasons over the Chennai(CHN) and Mumbai(BOM) locations</w:t>
      </w:r>
      <w:r>
        <w:rPr>
          <w:rFonts w:ascii="Times New Roman" w:hAnsi="Times New Roman" w:cs="Times New Roman"/>
          <w:sz w:val="24"/>
          <w:szCs w:val="24"/>
        </w:rPr>
        <w:t xml:space="preserve"> over the validation period between 2009-2018</w:t>
      </w:r>
      <w:r w:rsidRPr="00F270E2">
        <w:rPr>
          <w:rFonts w:ascii="Times New Roman" w:hAnsi="Times New Roman" w:cs="Times New Roman"/>
          <w:sz w:val="24"/>
          <w:szCs w:val="24"/>
        </w:rPr>
        <w:t xml:space="preserve">. </w:t>
      </w:r>
      <w:r>
        <w:rPr>
          <w:rFonts w:ascii="Times New Roman" w:hAnsi="Times New Roman" w:cs="Times New Roman"/>
          <w:sz w:val="24"/>
          <w:szCs w:val="24"/>
        </w:rPr>
        <w:t>W</w:t>
      </w:r>
      <w:r w:rsidRPr="00F270E2">
        <w:rPr>
          <w:rFonts w:ascii="Times New Roman" w:hAnsi="Times New Roman" w:cs="Times New Roman"/>
          <w:sz w:val="24"/>
          <w:szCs w:val="24"/>
        </w:rPr>
        <w:t>e showed the observed (GHCN), raw IMDAA precipitation (</w:t>
      </w:r>
      <w:proofErr w:type="spellStart"/>
      <w:r w:rsidRPr="00F270E2">
        <w:rPr>
          <w:rFonts w:ascii="Times New Roman" w:hAnsi="Times New Roman" w:cs="Times New Roman"/>
          <w:sz w:val="24"/>
          <w:szCs w:val="24"/>
        </w:rPr>
        <w:t>IMDAA</w:t>
      </w:r>
      <w:r w:rsidRPr="00F270E2">
        <w:rPr>
          <w:rFonts w:ascii="Times New Roman" w:hAnsi="Times New Roman" w:cs="Times New Roman"/>
          <w:sz w:val="24"/>
          <w:szCs w:val="24"/>
          <w:vertAlign w:val="subscript"/>
        </w:rPr>
        <w:t>nocal</w:t>
      </w:r>
      <w:proofErr w:type="spellEnd"/>
      <w:r w:rsidRPr="00F270E2">
        <w:rPr>
          <w:rFonts w:ascii="Times New Roman" w:hAnsi="Times New Roman" w:cs="Times New Roman"/>
          <w:sz w:val="24"/>
          <w:szCs w:val="24"/>
        </w:rPr>
        <w:t xml:space="preserve">), and calibrated precipitation from different quantile </w:t>
      </w:r>
      <w:r>
        <w:rPr>
          <w:rFonts w:ascii="Times New Roman" w:hAnsi="Times New Roman" w:cs="Times New Roman"/>
          <w:sz w:val="24"/>
          <w:szCs w:val="24"/>
        </w:rPr>
        <w:t xml:space="preserve">mapping </w:t>
      </w:r>
      <w:r w:rsidRPr="00F270E2">
        <w:rPr>
          <w:rFonts w:ascii="Times New Roman" w:hAnsi="Times New Roman" w:cs="Times New Roman"/>
          <w:sz w:val="24"/>
          <w:szCs w:val="24"/>
        </w:rPr>
        <w:t xml:space="preserve">methods described in section </w:t>
      </w:r>
      <w:r>
        <w:rPr>
          <w:rFonts w:ascii="Times New Roman" w:hAnsi="Times New Roman" w:cs="Times New Roman"/>
          <w:sz w:val="24"/>
          <w:szCs w:val="24"/>
        </w:rPr>
        <w:t xml:space="preserve">3. The </w:t>
      </w:r>
      <w:proofErr w:type="spellStart"/>
      <w:r w:rsidRPr="00F270E2">
        <w:rPr>
          <w:rFonts w:ascii="Times New Roman" w:hAnsi="Times New Roman" w:cs="Times New Roman"/>
          <w:sz w:val="24"/>
          <w:szCs w:val="24"/>
        </w:rPr>
        <w:t>IMDAA</w:t>
      </w:r>
      <w:r w:rsidRPr="00F270E2">
        <w:rPr>
          <w:rFonts w:ascii="Times New Roman" w:hAnsi="Times New Roman" w:cs="Times New Roman"/>
          <w:sz w:val="24"/>
          <w:szCs w:val="24"/>
          <w:vertAlign w:val="subscript"/>
        </w:rPr>
        <w:t>nocal</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distribution is overestimating the </w:t>
      </w:r>
      <w:proofErr w:type="spellStart"/>
      <w:r>
        <w:rPr>
          <w:rFonts w:ascii="Times New Roman" w:hAnsi="Times New Roman" w:cs="Times New Roman"/>
          <w:sz w:val="24"/>
          <w:szCs w:val="24"/>
        </w:rPr>
        <w:t>weday</w:t>
      </w:r>
      <w:proofErr w:type="spellEnd"/>
      <w:r>
        <w:rPr>
          <w:rFonts w:ascii="Times New Roman" w:hAnsi="Times New Roman" w:cs="Times New Roman"/>
          <w:sz w:val="24"/>
          <w:szCs w:val="24"/>
        </w:rPr>
        <w:t xml:space="preserve"> frequency with respect to observed precipitation in the very light rainfall regime (&lt;1mm/day). However, even the distribution in the light and moderate rainfall regimes does not follow the observed distribution. The different calibrated methods used in this study clearly improves the distribution close to the observed GHCN data. For instance, the empirical distribution methods are quite impressive in correcting adjusting the </w:t>
      </w:r>
      <w:proofErr w:type="spellStart"/>
      <w:r>
        <w:rPr>
          <w:rFonts w:ascii="Times New Roman" w:hAnsi="Times New Roman" w:cs="Times New Roman"/>
          <w:sz w:val="24"/>
          <w:szCs w:val="24"/>
        </w:rPr>
        <w:t>IMDAAnocal</w:t>
      </w:r>
      <w:proofErr w:type="spellEnd"/>
      <w:r>
        <w:rPr>
          <w:rFonts w:ascii="Times New Roman" w:hAnsi="Times New Roman" w:cs="Times New Roman"/>
          <w:sz w:val="24"/>
          <w:szCs w:val="24"/>
        </w:rPr>
        <w:t xml:space="preserve"> distribution very close to GHCN data. </w:t>
      </w:r>
      <w:proofErr w:type="spellStart"/>
      <w:r>
        <w:rPr>
          <w:rFonts w:ascii="Times New Roman" w:hAnsi="Times New Roman" w:cs="Times New Roman"/>
          <w:sz w:val="24"/>
          <w:szCs w:val="24"/>
        </w:rPr>
        <w:t>Nonethless</w:t>
      </w:r>
      <w:proofErr w:type="spellEnd"/>
      <w:r>
        <w:rPr>
          <w:rFonts w:ascii="Times New Roman" w:hAnsi="Times New Roman" w:cs="Times New Roman"/>
          <w:sz w:val="24"/>
          <w:szCs w:val="24"/>
        </w:rPr>
        <w:t xml:space="preserve">, the parametric method based on gamma (PQM) also well fixed the raw precipitation. However, the </w:t>
      </w:r>
      <w:r w:rsidRPr="00F270E2">
        <w:rPr>
          <w:rFonts w:ascii="Times New Roman" w:hAnsi="Times New Roman" w:cs="Times New Roman"/>
          <w:sz w:val="24"/>
          <w:szCs w:val="24"/>
        </w:rPr>
        <w:t>PQM based on gamma and Generalised Pareto Distribution (GPQM)</w:t>
      </w:r>
      <w:r>
        <w:rPr>
          <w:rFonts w:ascii="Times New Roman" w:hAnsi="Times New Roman" w:cs="Times New Roman"/>
          <w:sz w:val="24"/>
          <w:szCs w:val="24"/>
        </w:rPr>
        <w:t xml:space="preserve"> in the moderate rainfall regime deviates from observed distribution. Nevertheless, it quite interesting to see all the methods have significantly corrected the raw distribution. </w:t>
      </w:r>
    </w:p>
    <w:p w14:paraId="67DD291B" w14:textId="77777777" w:rsidR="009668F2" w:rsidRDefault="009668F2" w:rsidP="009025DF">
      <w:pPr>
        <w:tabs>
          <w:tab w:val="left" w:pos="1800"/>
        </w:tabs>
        <w:spacing w:after="0" w:line="240" w:lineRule="auto"/>
        <w:jc w:val="both"/>
        <w:rPr>
          <w:rFonts w:ascii="Times New Roman" w:hAnsi="Times New Roman" w:cs="Times New Roman"/>
          <w:sz w:val="24"/>
          <w:szCs w:val="24"/>
        </w:rPr>
      </w:pPr>
    </w:p>
    <w:p w14:paraId="5D95AF73" w14:textId="77777777" w:rsidR="009668F2" w:rsidRDefault="009668F2" w:rsidP="009025DF">
      <w:pPr>
        <w:tabs>
          <w:tab w:val="left" w:pos="1800"/>
        </w:tabs>
        <w:spacing w:after="0" w:line="240" w:lineRule="auto"/>
        <w:jc w:val="both"/>
        <w:rPr>
          <w:rFonts w:ascii="Times New Roman" w:hAnsi="Times New Roman" w:cs="Times New Roman"/>
          <w:sz w:val="24"/>
          <w:szCs w:val="24"/>
        </w:rPr>
      </w:pPr>
    </w:p>
    <w:p w14:paraId="4FDA8F7F" w14:textId="2A7ECD46" w:rsidR="009025DF" w:rsidRDefault="009025DF" w:rsidP="009025DF">
      <w:p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A21960">
        <w:rPr>
          <w:rFonts w:ascii="Times New Roman" w:hAnsi="Times New Roman" w:cs="Times New Roman"/>
          <w:sz w:val="24"/>
          <w:szCs w:val="24"/>
        </w:rPr>
        <w:t>he quantile-quantile plot (</w:t>
      </w:r>
      <w:r>
        <w:rPr>
          <w:rFonts w:ascii="Times New Roman" w:hAnsi="Times New Roman" w:cs="Times New Roman"/>
          <w:sz w:val="24"/>
          <w:szCs w:val="24"/>
        </w:rPr>
        <w:t>QQ</w:t>
      </w:r>
      <w:r w:rsidRPr="00A21960">
        <w:rPr>
          <w:rFonts w:ascii="Times New Roman" w:hAnsi="Times New Roman" w:cs="Times New Roman"/>
          <w:sz w:val="24"/>
          <w:szCs w:val="24"/>
        </w:rPr>
        <w:t>-plot) of observed (</w:t>
      </w:r>
      <w:proofErr w:type="spellStart"/>
      <w:r w:rsidRPr="00A21960">
        <w:rPr>
          <w:rFonts w:ascii="Times New Roman" w:hAnsi="Times New Roman" w:cs="Times New Roman"/>
          <w:sz w:val="24"/>
          <w:szCs w:val="24"/>
        </w:rPr>
        <w:t>OBS;”black</w:t>
      </w:r>
      <w:proofErr w:type="spellEnd"/>
      <w:r w:rsidRPr="00A21960">
        <w:rPr>
          <w:rFonts w:ascii="Times New Roman" w:hAnsi="Times New Roman" w:cs="Times New Roman"/>
          <w:sz w:val="24"/>
          <w:szCs w:val="24"/>
        </w:rPr>
        <w:t xml:space="preserve"> line”), raw IMDAA reanalysis (</w:t>
      </w:r>
      <w:proofErr w:type="spellStart"/>
      <w:r w:rsidRPr="00A21960">
        <w:rPr>
          <w:rFonts w:ascii="Times New Roman" w:hAnsi="Times New Roman" w:cs="Times New Roman"/>
          <w:sz w:val="24"/>
          <w:szCs w:val="24"/>
        </w:rPr>
        <w:t>IMDAA</w:t>
      </w:r>
      <w:r w:rsidRPr="00A21960">
        <w:rPr>
          <w:rFonts w:ascii="Times New Roman" w:hAnsi="Times New Roman" w:cs="Times New Roman"/>
          <w:sz w:val="24"/>
          <w:szCs w:val="24"/>
          <w:vertAlign w:val="subscript"/>
        </w:rPr>
        <w:t>nocal</w:t>
      </w:r>
      <w:proofErr w:type="spellEnd"/>
      <w:r w:rsidRPr="00A21960">
        <w:rPr>
          <w:rFonts w:ascii="Times New Roman" w:hAnsi="Times New Roman" w:cs="Times New Roman"/>
          <w:sz w:val="24"/>
          <w:szCs w:val="24"/>
        </w:rPr>
        <w:t>; ”</w:t>
      </w:r>
      <w:r>
        <w:rPr>
          <w:rFonts w:ascii="Times New Roman" w:hAnsi="Times New Roman" w:cs="Times New Roman"/>
          <w:sz w:val="24"/>
          <w:szCs w:val="24"/>
        </w:rPr>
        <w:t xml:space="preserve"> solid blue</w:t>
      </w:r>
      <w:r w:rsidRPr="00A21960">
        <w:rPr>
          <w:rFonts w:ascii="Times New Roman" w:hAnsi="Times New Roman" w:cs="Times New Roman"/>
          <w:sz w:val="24"/>
          <w:szCs w:val="24"/>
        </w:rPr>
        <w:t xml:space="preserve"> circles”)</w:t>
      </w:r>
      <w:r>
        <w:rPr>
          <w:rFonts w:ascii="Times New Roman" w:hAnsi="Times New Roman" w:cs="Times New Roman"/>
          <w:sz w:val="24"/>
          <w:szCs w:val="24"/>
        </w:rPr>
        <w:t>,</w:t>
      </w:r>
      <w:r w:rsidRPr="00A21960">
        <w:rPr>
          <w:rFonts w:ascii="Times New Roman" w:hAnsi="Times New Roman" w:cs="Times New Roman"/>
          <w:sz w:val="24"/>
          <w:szCs w:val="24"/>
        </w:rPr>
        <w:t xml:space="preserve"> and calibrated IMDAA precipitation (</w:t>
      </w:r>
      <w:proofErr w:type="spellStart"/>
      <w:r w:rsidRPr="00A21960">
        <w:rPr>
          <w:rFonts w:ascii="Times New Roman" w:hAnsi="Times New Roman" w:cs="Times New Roman"/>
          <w:sz w:val="24"/>
          <w:szCs w:val="24"/>
        </w:rPr>
        <w:t>IMDAA</w:t>
      </w:r>
      <w:r w:rsidRPr="00A21960">
        <w:rPr>
          <w:rFonts w:ascii="Times New Roman" w:hAnsi="Times New Roman" w:cs="Times New Roman"/>
          <w:sz w:val="24"/>
          <w:szCs w:val="24"/>
          <w:vertAlign w:val="subscript"/>
        </w:rPr>
        <w:t>cal</w:t>
      </w:r>
      <w:proofErr w:type="spellEnd"/>
      <w:r w:rsidRPr="00A21960">
        <w:rPr>
          <w:rFonts w:ascii="Times New Roman" w:hAnsi="Times New Roman" w:cs="Times New Roman"/>
          <w:sz w:val="24"/>
          <w:szCs w:val="24"/>
        </w:rPr>
        <w:t>; “</w:t>
      </w:r>
      <w:r>
        <w:rPr>
          <w:rFonts w:ascii="Times New Roman" w:hAnsi="Times New Roman" w:cs="Times New Roman"/>
          <w:sz w:val="24"/>
          <w:szCs w:val="24"/>
        </w:rPr>
        <w:t>solid re</w:t>
      </w:r>
      <w:r w:rsidRPr="00A21960">
        <w:rPr>
          <w:rFonts w:ascii="Times New Roman" w:hAnsi="Times New Roman" w:cs="Times New Roman"/>
          <w:sz w:val="24"/>
          <w:szCs w:val="24"/>
        </w:rPr>
        <w:t>d circles) over the CHN location for the validation period of 2009-2018</w:t>
      </w:r>
      <w:r>
        <w:rPr>
          <w:rFonts w:ascii="Times New Roman" w:hAnsi="Times New Roman" w:cs="Times New Roman"/>
          <w:sz w:val="24"/>
          <w:szCs w:val="24"/>
        </w:rPr>
        <w:t xml:space="preserve"> is shown in Figure S2 shown below</w:t>
      </w:r>
      <w:r w:rsidRPr="00A21960">
        <w:rPr>
          <w:rFonts w:ascii="Times New Roman" w:hAnsi="Times New Roman" w:cs="Times New Roman"/>
          <w:sz w:val="24"/>
          <w:szCs w:val="24"/>
        </w:rPr>
        <w:t>.</w:t>
      </w:r>
    </w:p>
    <w:p w14:paraId="75575C51" w14:textId="77777777" w:rsidR="009025DF" w:rsidRPr="009025DF" w:rsidRDefault="009025DF" w:rsidP="009025DF">
      <w:pPr>
        <w:tabs>
          <w:tab w:val="left" w:pos="1800"/>
        </w:tabs>
        <w:spacing w:after="0" w:line="240" w:lineRule="auto"/>
        <w:jc w:val="both"/>
        <w:rPr>
          <w:rFonts w:ascii="Times New Roman" w:hAnsi="Times New Roman" w:cs="Times New Roman"/>
          <w:b/>
          <w:bCs/>
          <w:i/>
          <w:iCs/>
          <w:sz w:val="24"/>
          <w:szCs w:val="24"/>
        </w:rPr>
      </w:pPr>
    </w:p>
    <w:p w14:paraId="72C170D0" w14:textId="0211DBC5" w:rsidR="009025DF" w:rsidRPr="00C8094B" w:rsidRDefault="009025DF" w:rsidP="00C8094B">
      <w:pPr>
        <w:tabs>
          <w:tab w:val="left" w:pos="1800"/>
        </w:tabs>
        <w:spacing w:line="480" w:lineRule="auto"/>
        <w:jc w:val="both"/>
        <w:rPr>
          <w:rFonts w:ascii="Times New Roman" w:hAnsi="Times New Roman" w:cs="Times New Roman"/>
          <w:b/>
          <w:bCs/>
          <w:i/>
          <w:iCs/>
          <w:sz w:val="24"/>
          <w:szCs w:val="24"/>
        </w:rPr>
      </w:pPr>
      <w:r>
        <w:rPr>
          <w:noProof/>
        </w:rPr>
        <w:drawing>
          <wp:inline distT="0" distB="0" distL="0" distR="0" wp14:anchorId="0228BFF4" wp14:editId="7058ADA3">
            <wp:extent cx="5727700" cy="3492500"/>
            <wp:effectExtent l="0" t="0" r="635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492500"/>
                    </a:xfrm>
                    <a:prstGeom prst="rect">
                      <a:avLst/>
                    </a:prstGeom>
                    <a:noFill/>
                    <a:ln>
                      <a:noFill/>
                    </a:ln>
                  </pic:spPr>
                </pic:pic>
              </a:graphicData>
            </a:graphic>
          </wp:inline>
        </w:drawing>
      </w:r>
    </w:p>
    <w:p w14:paraId="766902B3" w14:textId="77BA5EC2" w:rsidR="009025DF" w:rsidRPr="009025DF" w:rsidRDefault="009025DF" w:rsidP="009025DF">
      <w:pPr>
        <w:tabs>
          <w:tab w:val="left" w:pos="1800"/>
        </w:tabs>
        <w:spacing w:line="240" w:lineRule="auto"/>
        <w:jc w:val="both"/>
        <w:rPr>
          <w:rFonts w:ascii="Times New Roman" w:hAnsi="Times New Roman" w:cs="Times New Roman"/>
          <w:i/>
          <w:iCs/>
          <w:sz w:val="24"/>
          <w:szCs w:val="24"/>
        </w:rPr>
      </w:pPr>
      <w:r w:rsidRPr="009025DF">
        <w:rPr>
          <w:rFonts w:ascii="Times New Roman" w:hAnsi="Times New Roman" w:cs="Times New Roman"/>
          <w:b/>
          <w:bCs/>
          <w:sz w:val="24"/>
          <w:szCs w:val="24"/>
        </w:rPr>
        <w:t>Figure S2</w:t>
      </w:r>
      <w:r w:rsidR="00FD0E7D">
        <w:rPr>
          <w:rFonts w:ascii="Times New Roman" w:hAnsi="Times New Roman" w:cs="Times New Roman"/>
          <w:b/>
          <w:bCs/>
          <w:sz w:val="24"/>
          <w:szCs w:val="24"/>
        </w:rPr>
        <w:t>.</w:t>
      </w:r>
      <w:r w:rsidRPr="009025DF">
        <w:rPr>
          <w:rFonts w:ascii="Times New Roman" w:hAnsi="Times New Roman" w:cs="Times New Roman"/>
          <w:i/>
          <w:iCs/>
          <w:sz w:val="24"/>
          <w:szCs w:val="24"/>
        </w:rPr>
        <w:t xml:space="preserve"> The quantile-quantile plot between Observed (GHCN) and IMDAA precipitation at CHN location over a period 2009-2018. The “blue” solid circles indicate the raw IMDAA precipitation (</w:t>
      </w:r>
      <w:proofErr w:type="spellStart"/>
      <w:r w:rsidRPr="009025DF">
        <w:rPr>
          <w:rFonts w:ascii="Times New Roman" w:hAnsi="Times New Roman" w:cs="Times New Roman"/>
          <w:i/>
          <w:iCs/>
          <w:sz w:val="24"/>
          <w:szCs w:val="24"/>
        </w:rPr>
        <w:t>IMDAA</w:t>
      </w:r>
      <w:r w:rsidRPr="009025DF">
        <w:rPr>
          <w:rFonts w:ascii="Times New Roman" w:hAnsi="Times New Roman" w:cs="Times New Roman"/>
          <w:i/>
          <w:iCs/>
          <w:sz w:val="24"/>
          <w:szCs w:val="24"/>
          <w:vertAlign w:val="subscript"/>
        </w:rPr>
        <w:t>nocal</w:t>
      </w:r>
      <w:proofErr w:type="spellEnd"/>
      <w:r w:rsidRPr="009025DF">
        <w:rPr>
          <w:rFonts w:ascii="Times New Roman" w:hAnsi="Times New Roman" w:cs="Times New Roman"/>
          <w:i/>
          <w:iCs/>
          <w:sz w:val="24"/>
          <w:szCs w:val="24"/>
        </w:rPr>
        <w:t>) before bias correction, while the “red” solid circles indicates the bias corrected or calibrated precipitation (</w:t>
      </w:r>
      <w:proofErr w:type="spellStart"/>
      <w:r w:rsidRPr="009025DF">
        <w:rPr>
          <w:rFonts w:ascii="Times New Roman" w:hAnsi="Times New Roman" w:cs="Times New Roman"/>
          <w:i/>
          <w:iCs/>
          <w:sz w:val="24"/>
          <w:szCs w:val="24"/>
        </w:rPr>
        <w:t>IMDAA</w:t>
      </w:r>
      <w:r w:rsidRPr="009025DF">
        <w:rPr>
          <w:rFonts w:ascii="Times New Roman" w:hAnsi="Times New Roman" w:cs="Times New Roman"/>
          <w:i/>
          <w:iCs/>
          <w:sz w:val="24"/>
          <w:szCs w:val="24"/>
          <w:vertAlign w:val="subscript"/>
        </w:rPr>
        <w:t>cal</w:t>
      </w:r>
      <w:proofErr w:type="spellEnd"/>
      <w:r w:rsidRPr="009025DF">
        <w:rPr>
          <w:rFonts w:ascii="Times New Roman" w:hAnsi="Times New Roman" w:cs="Times New Roman"/>
          <w:i/>
          <w:iCs/>
          <w:sz w:val="24"/>
          <w:szCs w:val="24"/>
        </w:rPr>
        <w:t>) using (a) EQM (b) PQM (c) GPQM and (d) EQM-MV quantile methods.</w:t>
      </w:r>
    </w:p>
    <w:p w14:paraId="3DEA333D" w14:textId="46AEA506" w:rsidR="000131B1" w:rsidRDefault="00C8094B" w:rsidP="000131B1">
      <w:pPr>
        <w:tabs>
          <w:tab w:val="left" w:pos="1800"/>
        </w:tabs>
        <w:spacing w:after="0" w:line="240" w:lineRule="auto"/>
        <w:jc w:val="both"/>
        <w:rPr>
          <w:rFonts w:ascii="Times New Roman" w:hAnsi="Times New Roman" w:cs="Times New Roman"/>
          <w:sz w:val="24"/>
          <w:szCs w:val="24"/>
        </w:rPr>
      </w:pPr>
      <w:r w:rsidRPr="00A21960">
        <w:rPr>
          <w:rFonts w:ascii="Times New Roman" w:hAnsi="Times New Roman" w:cs="Times New Roman"/>
          <w:sz w:val="24"/>
          <w:szCs w:val="24"/>
        </w:rPr>
        <w:t>A clear underestimation of moderately</w:t>
      </w:r>
      <w:r>
        <w:rPr>
          <w:rFonts w:ascii="Times New Roman" w:hAnsi="Times New Roman" w:cs="Times New Roman"/>
          <w:sz w:val="24"/>
          <w:szCs w:val="24"/>
        </w:rPr>
        <w:t xml:space="preserve"> </w:t>
      </w:r>
      <w:r w:rsidRPr="00A21960">
        <w:rPr>
          <w:rFonts w:ascii="Times New Roman" w:hAnsi="Times New Roman" w:cs="Times New Roman"/>
          <w:sz w:val="24"/>
          <w:szCs w:val="24"/>
        </w:rPr>
        <w:t>heavy rainfall (approx. 5-100mm/day)</w:t>
      </w:r>
      <w:r>
        <w:rPr>
          <w:rFonts w:ascii="Times New Roman" w:hAnsi="Times New Roman" w:cs="Times New Roman"/>
          <w:sz w:val="24"/>
          <w:szCs w:val="24"/>
        </w:rPr>
        <w:t xml:space="preserve"> </w:t>
      </w:r>
      <w:r w:rsidRPr="00A21960">
        <w:rPr>
          <w:rFonts w:ascii="Times New Roman" w:hAnsi="Times New Roman" w:cs="Times New Roman"/>
          <w:sz w:val="24"/>
          <w:szCs w:val="24"/>
        </w:rPr>
        <w:t xml:space="preserve">and heavy to very heavy rainfall regime (&gt;100mm/day) can be seen </w:t>
      </w:r>
      <w:r>
        <w:rPr>
          <w:rFonts w:ascii="Times New Roman" w:hAnsi="Times New Roman" w:cs="Times New Roman"/>
          <w:sz w:val="24"/>
          <w:szCs w:val="24"/>
        </w:rPr>
        <w:t>from</w:t>
      </w:r>
      <w:r w:rsidRPr="00A21960">
        <w:rPr>
          <w:rFonts w:ascii="Times New Roman" w:hAnsi="Times New Roman" w:cs="Times New Roman"/>
          <w:sz w:val="24"/>
          <w:szCs w:val="24"/>
        </w:rPr>
        <w:t xml:space="preserve"> the IMDAA dataset (Figure </w:t>
      </w:r>
      <w:r w:rsidR="00D67BDC">
        <w:rPr>
          <w:rFonts w:ascii="Times New Roman" w:hAnsi="Times New Roman" w:cs="Times New Roman"/>
          <w:sz w:val="24"/>
          <w:szCs w:val="24"/>
        </w:rPr>
        <w:t>S2</w:t>
      </w:r>
      <w:r w:rsidRPr="00A21960">
        <w:rPr>
          <w:rFonts w:ascii="Times New Roman" w:hAnsi="Times New Roman" w:cs="Times New Roman"/>
          <w:sz w:val="24"/>
          <w:szCs w:val="24"/>
        </w:rPr>
        <w:t>; “</w:t>
      </w:r>
      <w:r>
        <w:rPr>
          <w:rFonts w:ascii="Times New Roman" w:hAnsi="Times New Roman" w:cs="Times New Roman"/>
          <w:sz w:val="24"/>
          <w:szCs w:val="24"/>
        </w:rPr>
        <w:t>solid blue</w:t>
      </w:r>
      <w:r w:rsidRPr="00A21960">
        <w:rPr>
          <w:rFonts w:ascii="Times New Roman" w:hAnsi="Times New Roman" w:cs="Times New Roman"/>
          <w:sz w:val="24"/>
          <w:szCs w:val="24"/>
        </w:rPr>
        <w:t xml:space="preserve"> circles”) relative to observed station dataset (Figure </w:t>
      </w:r>
      <w:r w:rsidR="00D67BDC">
        <w:rPr>
          <w:rFonts w:ascii="Times New Roman" w:hAnsi="Times New Roman" w:cs="Times New Roman"/>
          <w:sz w:val="24"/>
          <w:szCs w:val="24"/>
        </w:rPr>
        <w:t>S2</w:t>
      </w:r>
      <w:r w:rsidRPr="00A21960">
        <w:rPr>
          <w:rFonts w:ascii="Times New Roman" w:hAnsi="Times New Roman" w:cs="Times New Roman"/>
          <w:sz w:val="24"/>
          <w:szCs w:val="24"/>
        </w:rPr>
        <w:t>; “black line”).</w:t>
      </w:r>
      <w:r>
        <w:rPr>
          <w:rFonts w:ascii="Times New Roman" w:hAnsi="Times New Roman" w:cs="Times New Roman"/>
          <w:sz w:val="24"/>
          <w:szCs w:val="24"/>
        </w:rPr>
        <w:t xml:space="preserve"> </w:t>
      </w:r>
      <w:r w:rsidR="000131B1">
        <w:rPr>
          <w:rFonts w:ascii="Times New Roman" w:hAnsi="Times New Roman" w:cs="Times New Roman"/>
          <w:sz w:val="24"/>
          <w:szCs w:val="24"/>
        </w:rPr>
        <w:t>Here</w:t>
      </w:r>
      <w:r w:rsidRPr="00A21960">
        <w:rPr>
          <w:rFonts w:ascii="Times New Roman" w:hAnsi="Times New Roman" w:cs="Times New Roman"/>
          <w:sz w:val="24"/>
          <w:szCs w:val="24"/>
        </w:rPr>
        <w:t xml:space="preserve">, </w:t>
      </w:r>
      <w:r>
        <w:rPr>
          <w:rFonts w:ascii="Times New Roman" w:hAnsi="Times New Roman" w:cs="Times New Roman"/>
          <w:sz w:val="24"/>
          <w:szCs w:val="24"/>
        </w:rPr>
        <w:t>we used empirical (EQM) and parametric (PQM and GPQM) quantile methods to correct</w:t>
      </w:r>
      <w:r w:rsidRPr="00A21960">
        <w:rPr>
          <w:rFonts w:ascii="Times New Roman" w:hAnsi="Times New Roman" w:cs="Times New Roman"/>
          <w:sz w:val="24"/>
          <w:szCs w:val="24"/>
        </w:rPr>
        <w:t xml:space="preserve"> these biases. For instance, Figure </w:t>
      </w:r>
      <w:r w:rsidR="00D67BDC">
        <w:rPr>
          <w:rFonts w:ascii="Times New Roman" w:hAnsi="Times New Roman" w:cs="Times New Roman"/>
          <w:sz w:val="24"/>
          <w:szCs w:val="24"/>
        </w:rPr>
        <w:t>S2</w:t>
      </w:r>
      <w:r w:rsidRPr="00A21960">
        <w:rPr>
          <w:rFonts w:ascii="Times New Roman" w:hAnsi="Times New Roman" w:cs="Times New Roman"/>
          <w:sz w:val="24"/>
          <w:szCs w:val="24"/>
        </w:rPr>
        <w:t xml:space="preserve">a shows the </w:t>
      </w:r>
      <w:r>
        <w:rPr>
          <w:rFonts w:ascii="Times New Roman" w:hAnsi="Times New Roman" w:cs="Times New Roman"/>
          <w:sz w:val="24"/>
          <w:szCs w:val="24"/>
        </w:rPr>
        <w:t>calibrated</w:t>
      </w:r>
      <w:r w:rsidRPr="00A21960">
        <w:rPr>
          <w:rFonts w:ascii="Times New Roman" w:hAnsi="Times New Roman" w:cs="Times New Roman"/>
          <w:sz w:val="24"/>
          <w:szCs w:val="24"/>
        </w:rPr>
        <w:t xml:space="preserve"> precipitation (“</w:t>
      </w:r>
      <w:r>
        <w:rPr>
          <w:rFonts w:ascii="Times New Roman" w:hAnsi="Times New Roman" w:cs="Times New Roman"/>
          <w:sz w:val="24"/>
          <w:szCs w:val="24"/>
        </w:rPr>
        <w:t>solid re</w:t>
      </w:r>
      <w:r w:rsidRPr="00A21960">
        <w:rPr>
          <w:rFonts w:ascii="Times New Roman" w:hAnsi="Times New Roman" w:cs="Times New Roman"/>
          <w:sz w:val="24"/>
          <w:szCs w:val="24"/>
        </w:rPr>
        <w:t xml:space="preserve">d circles”) based on the EQM method. It is noted from </w:t>
      </w:r>
      <w:r>
        <w:rPr>
          <w:rFonts w:ascii="Times New Roman" w:hAnsi="Times New Roman" w:cs="Times New Roman"/>
          <w:sz w:val="24"/>
          <w:szCs w:val="24"/>
        </w:rPr>
        <w:t>the QQ</w:t>
      </w:r>
      <w:r w:rsidRPr="00A21960">
        <w:rPr>
          <w:rFonts w:ascii="Times New Roman" w:hAnsi="Times New Roman" w:cs="Times New Roman"/>
          <w:sz w:val="24"/>
          <w:szCs w:val="24"/>
        </w:rPr>
        <w:t xml:space="preserve">-plot that the EQM </w:t>
      </w:r>
      <w:r>
        <w:rPr>
          <w:rFonts w:ascii="Times New Roman" w:hAnsi="Times New Roman" w:cs="Times New Roman"/>
          <w:sz w:val="24"/>
          <w:szCs w:val="24"/>
        </w:rPr>
        <w:t>calibrated</w:t>
      </w:r>
      <w:r w:rsidRPr="00A21960">
        <w:rPr>
          <w:rFonts w:ascii="Times New Roman" w:hAnsi="Times New Roman" w:cs="Times New Roman"/>
          <w:sz w:val="24"/>
          <w:szCs w:val="24"/>
        </w:rPr>
        <w:t xml:space="preserve"> precipitation is very well close to the observed distribution until low- to moderate- rainfall</w:t>
      </w:r>
      <w:r>
        <w:rPr>
          <w:rFonts w:ascii="Times New Roman" w:hAnsi="Times New Roman" w:cs="Times New Roman"/>
          <w:sz w:val="24"/>
          <w:szCs w:val="24"/>
        </w:rPr>
        <w:t>,</w:t>
      </w:r>
      <w:r w:rsidRPr="00A21960">
        <w:rPr>
          <w:rFonts w:ascii="Times New Roman" w:hAnsi="Times New Roman" w:cs="Times New Roman"/>
          <w:sz w:val="24"/>
          <w:szCs w:val="24"/>
        </w:rPr>
        <w:t xml:space="preserve"> while slight overestimation can be noted at heavy- to very heavy rainfall amounts. Similarly, the PQM </w:t>
      </w:r>
      <w:r>
        <w:rPr>
          <w:rFonts w:ascii="Times New Roman" w:hAnsi="Times New Roman" w:cs="Times New Roman"/>
          <w:sz w:val="24"/>
          <w:szCs w:val="24"/>
        </w:rPr>
        <w:t>calibrated</w:t>
      </w:r>
      <w:r w:rsidRPr="00A21960">
        <w:rPr>
          <w:rFonts w:ascii="Times New Roman" w:hAnsi="Times New Roman" w:cs="Times New Roman"/>
          <w:sz w:val="24"/>
          <w:szCs w:val="24"/>
        </w:rPr>
        <w:t xml:space="preserve"> precipitation indicates th</w:t>
      </w:r>
      <w:r>
        <w:rPr>
          <w:rFonts w:ascii="Times New Roman" w:hAnsi="Times New Roman" w:cs="Times New Roman"/>
          <w:sz w:val="24"/>
          <w:szCs w:val="24"/>
        </w:rPr>
        <w:t>at the distribution is relatively well-matched, except that the overestimation is higher in heavy rainfall amounts relative to the</w:t>
      </w:r>
      <w:r w:rsidRPr="00A21960">
        <w:rPr>
          <w:rFonts w:ascii="Times New Roman" w:hAnsi="Times New Roman" w:cs="Times New Roman"/>
          <w:sz w:val="24"/>
          <w:szCs w:val="24"/>
        </w:rPr>
        <w:t xml:space="preserve"> EQM method. The GPQM further overestimates even in the low precipitation regime along with extreme rainfall amounts (Figure </w:t>
      </w:r>
      <w:r w:rsidR="00D67BDC">
        <w:rPr>
          <w:rFonts w:ascii="Times New Roman" w:hAnsi="Times New Roman" w:cs="Times New Roman"/>
          <w:sz w:val="24"/>
          <w:szCs w:val="24"/>
        </w:rPr>
        <w:t>S2</w:t>
      </w:r>
      <w:r w:rsidRPr="00A21960">
        <w:rPr>
          <w:rFonts w:ascii="Times New Roman" w:hAnsi="Times New Roman" w:cs="Times New Roman"/>
          <w:sz w:val="24"/>
          <w:szCs w:val="24"/>
        </w:rPr>
        <w:t xml:space="preserve">c). Therefore, both the gamma distribution and gamma + GPD parametric distributions overestimate the extreme rainfalls. Noting that the EQM performance better relative to the other parametric methods, we further </w:t>
      </w:r>
      <w:r>
        <w:rPr>
          <w:rFonts w:ascii="Times New Roman" w:hAnsi="Times New Roman" w:cs="Times New Roman"/>
          <w:sz w:val="24"/>
          <w:szCs w:val="24"/>
        </w:rPr>
        <w:t>applied</w:t>
      </w:r>
      <w:r w:rsidRPr="00A21960">
        <w:rPr>
          <w:rFonts w:ascii="Times New Roman" w:hAnsi="Times New Roman" w:cs="Times New Roman"/>
          <w:sz w:val="24"/>
          <w:szCs w:val="24"/>
        </w:rPr>
        <w:t xml:space="preserve"> the moving window technique that depends on the EQM. The EQM method in Figure </w:t>
      </w:r>
      <w:r w:rsidR="00D67BDC">
        <w:rPr>
          <w:rFonts w:ascii="Times New Roman" w:hAnsi="Times New Roman" w:cs="Times New Roman"/>
          <w:sz w:val="24"/>
          <w:szCs w:val="24"/>
        </w:rPr>
        <w:t>S2a</w:t>
      </w:r>
      <w:r w:rsidRPr="00A21960">
        <w:rPr>
          <w:rFonts w:ascii="Times New Roman" w:hAnsi="Times New Roman" w:cs="Times New Roman"/>
          <w:sz w:val="24"/>
          <w:szCs w:val="24"/>
        </w:rPr>
        <w:t xml:space="preserve"> uses </w:t>
      </w:r>
      <w:r>
        <w:rPr>
          <w:rFonts w:ascii="Times New Roman" w:hAnsi="Times New Roman" w:cs="Times New Roman"/>
          <w:sz w:val="24"/>
          <w:szCs w:val="24"/>
        </w:rPr>
        <w:t xml:space="preserve">the </w:t>
      </w:r>
      <w:r w:rsidRPr="00A21960">
        <w:rPr>
          <w:rFonts w:ascii="Times New Roman" w:hAnsi="Times New Roman" w:cs="Times New Roman"/>
          <w:sz w:val="24"/>
          <w:szCs w:val="24"/>
        </w:rPr>
        <w:t>whole training period</w:t>
      </w:r>
      <w:r>
        <w:rPr>
          <w:rFonts w:ascii="Times New Roman" w:hAnsi="Times New Roman" w:cs="Times New Roman"/>
          <w:sz w:val="24"/>
          <w:szCs w:val="24"/>
        </w:rPr>
        <w:t>;</w:t>
      </w:r>
      <w:r w:rsidRPr="00A21960">
        <w:rPr>
          <w:rFonts w:ascii="Times New Roman" w:hAnsi="Times New Roman" w:cs="Times New Roman"/>
          <w:sz w:val="24"/>
          <w:szCs w:val="24"/>
        </w:rPr>
        <w:t xml:space="preserve"> however, it is also interesting to see the correction of each day or a group of days independently by using a moving window (EQM-MV) technique. Hence, instead of </w:t>
      </w:r>
      <w:r>
        <w:rPr>
          <w:rFonts w:ascii="Times New Roman" w:hAnsi="Times New Roman" w:cs="Times New Roman"/>
          <w:sz w:val="24"/>
          <w:szCs w:val="24"/>
        </w:rPr>
        <w:t xml:space="preserve">the </w:t>
      </w:r>
      <w:r w:rsidRPr="00A21960">
        <w:rPr>
          <w:rFonts w:ascii="Times New Roman" w:hAnsi="Times New Roman" w:cs="Times New Roman"/>
          <w:sz w:val="24"/>
          <w:szCs w:val="24"/>
        </w:rPr>
        <w:t xml:space="preserve">same correction function for </w:t>
      </w:r>
      <w:r>
        <w:rPr>
          <w:rFonts w:ascii="Times New Roman" w:hAnsi="Times New Roman" w:cs="Times New Roman"/>
          <w:sz w:val="24"/>
          <w:szCs w:val="24"/>
        </w:rPr>
        <w:lastRenderedPageBreak/>
        <w:t xml:space="preserve">the </w:t>
      </w:r>
      <w:r w:rsidRPr="00A21960">
        <w:rPr>
          <w:rFonts w:ascii="Times New Roman" w:hAnsi="Times New Roman" w:cs="Times New Roman"/>
          <w:sz w:val="24"/>
          <w:szCs w:val="24"/>
        </w:rPr>
        <w:t>whole group, each day of the year cent</w:t>
      </w:r>
      <w:r>
        <w:rPr>
          <w:rFonts w:ascii="Times New Roman" w:hAnsi="Times New Roman" w:cs="Times New Roman"/>
          <w:sz w:val="24"/>
          <w:szCs w:val="24"/>
        </w:rPr>
        <w:t>r</w:t>
      </w:r>
      <w:r w:rsidRPr="00A21960">
        <w:rPr>
          <w:rFonts w:ascii="Times New Roman" w:hAnsi="Times New Roman" w:cs="Times New Roman"/>
          <w:sz w:val="24"/>
          <w:szCs w:val="24"/>
        </w:rPr>
        <w:t xml:space="preserve">ed in a moving window </w:t>
      </w:r>
      <w:r>
        <w:rPr>
          <w:rFonts w:ascii="Times New Roman" w:hAnsi="Times New Roman" w:cs="Times New Roman"/>
          <w:sz w:val="24"/>
          <w:szCs w:val="24"/>
        </w:rPr>
        <w:t>for precipitation correction</w:t>
      </w:r>
      <w:r w:rsidRPr="00A21960">
        <w:rPr>
          <w:rFonts w:ascii="Times New Roman" w:hAnsi="Times New Roman" w:cs="Times New Roman"/>
          <w:sz w:val="24"/>
          <w:szCs w:val="24"/>
        </w:rPr>
        <w:t>. Here, we used a correction window of 30 days after several tr</w:t>
      </w:r>
      <w:r>
        <w:rPr>
          <w:rFonts w:ascii="Times New Roman" w:hAnsi="Times New Roman" w:cs="Times New Roman"/>
          <w:sz w:val="24"/>
          <w:szCs w:val="24"/>
        </w:rPr>
        <w:t>ia</w:t>
      </w:r>
      <w:r w:rsidRPr="00A21960">
        <w:rPr>
          <w:rFonts w:ascii="Times New Roman" w:hAnsi="Times New Roman" w:cs="Times New Roman"/>
          <w:sz w:val="24"/>
          <w:szCs w:val="24"/>
        </w:rPr>
        <w:t>l</w:t>
      </w:r>
      <w:r>
        <w:rPr>
          <w:rFonts w:ascii="Times New Roman" w:hAnsi="Times New Roman" w:cs="Times New Roman"/>
          <w:sz w:val="24"/>
          <w:szCs w:val="24"/>
        </w:rPr>
        <w:t>s</w:t>
      </w:r>
      <w:r w:rsidRPr="00A21960">
        <w:rPr>
          <w:rFonts w:ascii="Times New Roman" w:hAnsi="Times New Roman" w:cs="Times New Roman"/>
          <w:sz w:val="24"/>
          <w:szCs w:val="24"/>
        </w:rPr>
        <w:t xml:space="preserve"> and errors</w:t>
      </w:r>
      <w:r>
        <w:rPr>
          <w:rFonts w:ascii="Times New Roman" w:hAnsi="Times New Roman" w:cs="Times New Roman"/>
          <w:sz w:val="24"/>
          <w:szCs w:val="24"/>
        </w:rPr>
        <w:t>,</w:t>
      </w:r>
      <w:r w:rsidRPr="00A21960">
        <w:rPr>
          <w:rFonts w:ascii="Times New Roman" w:hAnsi="Times New Roman" w:cs="Times New Roman"/>
          <w:sz w:val="24"/>
          <w:szCs w:val="24"/>
        </w:rPr>
        <w:t xml:space="preserve"> and the result of calibrated precipitation is shown in Figure </w:t>
      </w:r>
      <w:r w:rsidR="00D67BDC">
        <w:rPr>
          <w:rFonts w:ascii="Times New Roman" w:hAnsi="Times New Roman" w:cs="Times New Roman"/>
          <w:sz w:val="24"/>
          <w:szCs w:val="24"/>
        </w:rPr>
        <w:t>S2</w:t>
      </w:r>
      <w:r w:rsidRPr="00A21960">
        <w:rPr>
          <w:rFonts w:ascii="Times New Roman" w:hAnsi="Times New Roman" w:cs="Times New Roman"/>
          <w:sz w:val="24"/>
          <w:szCs w:val="24"/>
        </w:rPr>
        <w:t xml:space="preserve">d. It is interesting </w:t>
      </w:r>
      <w:r>
        <w:rPr>
          <w:rFonts w:ascii="Times New Roman" w:hAnsi="Times New Roman" w:cs="Times New Roman"/>
          <w:sz w:val="24"/>
          <w:szCs w:val="24"/>
        </w:rPr>
        <w:t xml:space="preserve">to </w:t>
      </w:r>
      <w:r w:rsidRPr="00A21960">
        <w:rPr>
          <w:rFonts w:ascii="Times New Roman" w:hAnsi="Times New Roman" w:cs="Times New Roman"/>
          <w:sz w:val="24"/>
          <w:szCs w:val="24"/>
        </w:rPr>
        <w:t xml:space="preserve">note that both EQM and EQM-MV indicate similar calibrated precipitation distribution. However, the very heavy rainfall distribution is now slightly better in </w:t>
      </w:r>
      <w:r>
        <w:rPr>
          <w:rFonts w:ascii="Times New Roman" w:hAnsi="Times New Roman" w:cs="Times New Roman"/>
          <w:sz w:val="24"/>
          <w:szCs w:val="24"/>
        </w:rPr>
        <w:t xml:space="preserve">the </w:t>
      </w:r>
      <w:r w:rsidRPr="00A21960">
        <w:rPr>
          <w:rFonts w:ascii="Times New Roman" w:hAnsi="Times New Roman" w:cs="Times New Roman"/>
          <w:sz w:val="24"/>
          <w:szCs w:val="24"/>
        </w:rPr>
        <w:t>EQM-MV method.</w:t>
      </w:r>
      <w:r>
        <w:rPr>
          <w:rFonts w:ascii="Times New Roman" w:hAnsi="Times New Roman" w:cs="Times New Roman"/>
          <w:sz w:val="24"/>
          <w:szCs w:val="24"/>
        </w:rPr>
        <w:t xml:space="preserve"> </w:t>
      </w:r>
      <w:r w:rsidR="000131B1" w:rsidRPr="00A21960">
        <w:rPr>
          <w:rFonts w:ascii="Times New Roman" w:hAnsi="Times New Roman" w:cs="Times New Roman"/>
          <w:sz w:val="24"/>
          <w:szCs w:val="24"/>
        </w:rPr>
        <w:t xml:space="preserve">Similarly, over the BOM location (Figure </w:t>
      </w:r>
      <w:r w:rsidR="000131B1">
        <w:rPr>
          <w:rFonts w:ascii="Times New Roman" w:hAnsi="Times New Roman" w:cs="Times New Roman"/>
          <w:sz w:val="24"/>
          <w:szCs w:val="24"/>
        </w:rPr>
        <w:t>S</w:t>
      </w:r>
      <w:r w:rsidR="000003E1">
        <w:rPr>
          <w:rFonts w:ascii="Times New Roman" w:hAnsi="Times New Roman" w:cs="Times New Roman"/>
          <w:sz w:val="24"/>
          <w:szCs w:val="24"/>
        </w:rPr>
        <w:t>3</w:t>
      </w:r>
      <w:r w:rsidR="000131B1" w:rsidRPr="00A21960">
        <w:rPr>
          <w:rFonts w:ascii="Times New Roman" w:hAnsi="Times New Roman" w:cs="Times New Roman"/>
          <w:sz w:val="24"/>
          <w:szCs w:val="24"/>
        </w:rPr>
        <w:t xml:space="preserve">), we can see the IMDAA precipitation is underestimated relative to observed station data. It is interesting to note that both empirical and parametric quantile methods are performing </w:t>
      </w:r>
      <w:r w:rsidR="000131B1">
        <w:rPr>
          <w:rFonts w:ascii="Times New Roman" w:hAnsi="Times New Roman" w:cs="Times New Roman"/>
          <w:sz w:val="24"/>
          <w:szCs w:val="24"/>
        </w:rPr>
        <w:t>well</w:t>
      </w:r>
      <w:r w:rsidR="000131B1" w:rsidRPr="00A21960">
        <w:rPr>
          <w:rFonts w:ascii="Times New Roman" w:hAnsi="Times New Roman" w:cs="Times New Roman"/>
          <w:sz w:val="24"/>
          <w:szCs w:val="24"/>
        </w:rPr>
        <w:t xml:space="preserve"> for BOM locations. Specifically, the light, moderate, and heavy rainfall amounts are well</w:t>
      </w:r>
      <w:r w:rsidR="000131B1">
        <w:rPr>
          <w:rFonts w:ascii="Times New Roman" w:hAnsi="Times New Roman" w:cs="Times New Roman"/>
          <w:sz w:val="24"/>
          <w:szCs w:val="24"/>
        </w:rPr>
        <w:t>-</w:t>
      </w:r>
      <w:r w:rsidR="000131B1" w:rsidRPr="00A21960">
        <w:rPr>
          <w:rFonts w:ascii="Times New Roman" w:hAnsi="Times New Roman" w:cs="Times New Roman"/>
          <w:sz w:val="24"/>
          <w:szCs w:val="24"/>
        </w:rPr>
        <w:t>matched with the observed precipitation distribution. However, the very heavy rainfall distribution still has slightly deviate</w:t>
      </w:r>
      <w:r w:rsidR="000131B1">
        <w:rPr>
          <w:rFonts w:ascii="Times New Roman" w:hAnsi="Times New Roman" w:cs="Times New Roman"/>
          <w:sz w:val="24"/>
          <w:szCs w:val="24"/>
        </w:rPr>
        <w:t>d</w:t>
      </w:r>
      <w:r w:rsidR="000131B1" w:rsidRPr="00A21960">
        <w:rPr>
          <w:rFonts w:ascii="Times New Roman" w:hAnsi="Times New Roman" w:cs="Times New Roman"/>
          <w:sz w:val="24"/>
          <w:szCs w:val="24"/>
        </w:rPr>
        <w:t xml:space="preserve"> from the observed quantiles. Overall, at both locations, the performance of </w:t>
      </w:r>
      <w:r w:rsidR="000131B1">
        <w:rPr>
          <w:rFonts w:ascii="Times New Roman" w:hAnsi="Times New Roman" w:cs="Times New Roman"/>
          <w:sz w:val="24"/>
          <w:szCs w:val="24"/>
        </w:rPr>
        <w:t xml:space="preserve">the </w:t>
      </w:r>
      <w:r w:rsidR="000131B1" w:rsidRPr="00A21960">
        <w:rPr>
          <w:rFonts w:ascii="Times New Roman" w:hAnsi="Times New Roman" w:cs="Times New Roman"/>
          <w:sz w:val="24"/>
          <w:szCs w:val="24"/>
        </w:rPr>
        <w:t>empirical method is relatively better.</w:t>
      </w:r>
    </w:p>
    <w:p w14:paraId="31159A1C" w14:textId="5CBC7ACF" w:rsidR="00D67BDC" w:rsidRDefault="00D67BDC" w:rsidP="000131B1">
      <w:pPr>
        <w:tabs>
          <w:tab w:val="left" w:pos="1800"/>
        </w:tabs>
        <w:spacing w:line="240" w:lineRule="auto"/>
        <w:jc w:val="both"/>
        <w:rPr>
          <w:rFonts w:ascii="Times New Roman" w:hAnsi="Times New Roman" w:cs="Times New Roman"/>
          <w:sz w:val="24"/>
          <w:szCs w:val="24"/>
        </w:rPr>
      </w:pPr>
    </w:p>
    <w:p w14:paraId="5C134116" w14:textId="77777777" w:rsidR="000131B1" w:rsidRDefault="000131B1" w:rsidP="000131B1">
      <w:pPr>
        <w:tabs>
          <w:tab w:val="left" w:pos="1800"/>
        </w:tabs>
        <w:spacing w:line="240" w:lineRule="auto"/>
        <w:jc w:val="both"/>
        <w:rPr>
          <w:rFonts w:ascii="Times New Roman" w:hAnsi="Times New Roman" w:cs="Times New Roman"/>
          <w:sz w:val="24"/>
          <w:szCs w:val="24"/>
        </w:rPr>
      </w:pPr>
    </w:p>
    <w:p w14:paraId="5AF0A7C9" w14:textId="26772244" w:rsidR="00D67BDC" w:rsidRDefault="000131B1" w:rsidP="009025DF">
      <w:pPr>
        <w:tabs>
          <w:tab w:val="left" w:pos="1800"/>
        </w:tabs>
        <w:spacing w:after="0" w:line="240" w:lineRule="auto"/>
        <w:jc w:val="both"/>
        <w:rPr>
          <w:rFonts w:ascii="Times New Roman" w:hAnsi="Times New Roman" w:cs="Times New Roman"/>
          <w:sz w:val="24"/>
          <w:szCs w:val="24"/>
        </w:rPr>
      </w:pPr>
      <w:r>
        <w:rPr>
          <w:noProof/>
        </w:rPr>
        <w:drawing>
          <wp:inline distT="0" distB="0" distL="0" distR="0" wp14:anchorId="74DA4AE7" wp14:editId="08C91D56">
            <wp:extent cx="5731510" cy="3451860"/>
            <wp:effectExtent l="0" t="0" r="254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noFill/>
                    <a:ln>
                      <a:noFill/>
                    </a:ln>
                  </pic:spPr>
                </pic:pic>
              </a:graphicData>
            </a:graphic>
          </wp:inline>
        </w:drawing>
      </w:r>
    </w:p>
    <w:p w14:paraId="436A631E" w14:textId="77777777" w:rsidR="000131B1" w:rsidRDefault="000131B1" w:rsidP="009025DF">
      <w:pPr>
        <w:tabs>
          <w:tab w:val="left" w:pos="1800"/>
        </w:tabs>
        <w:spacing w:after="0" w:line="240" w:lineRule="auto"/>
        <w:jc w:val="both"/>
        <w:rPr>
          <w:rFonts w:ascii="Times New Roman" w:hAnsi="Times New Roman" w:cs="Times New Roman"/>
          <w:sz w:val="24"/>
          <w:szCs w:val="24"/>
        </w:rPr>
      </w:pPr>
    </w:p>
    <w:p w14:paraId="7163445F" w14:textId="70A1D64E" w:rsidR="00C8094B" w:rsidRPr="00A21960" w:rsidRDefault="000131B1" w:rsidP="00C8094B">
      <w:pPr>
        <w:tabs>
          <w:tab w:val="left" w:pos="1800"/>
        </w:tabs>
        <w:spacing w:after="0" w:line="480" w:lineRule="auto"/>
        <w:jc w:val="both"/>
        <w:rPr>
          <w:rFonts w:ascii="Times New Roman" w:hAnsi="Times New Roman" w:cs="Times New Roman"/>
          <w:sz w:val="24"/>
          <w:szCs w:val="24"/>
        </w:rPr>
      </w:pPr>
      <w:r w:rsidRPr="000131B1">
        <w:rPr>
          <w:rFonts w:ascii="Times New Roman" w:hAnsi="Times New Roman" w:cs="Times New Roman"/>
          <w:b/>
          <w:bCs/>
          <w:sz w:val="24"/>
          <w:szCs w:val="24"/>
        </w:rPr>
        <w:t xml:space="preserve">Figure </w:t>
      </w:r>
      <w:r w:rsidR="00866BBB">
        <w:rPr>
          <w:rFonts w:ascii="Times New Roman" w:hAnsi="Times New Roman" w:cs="Times New Roman"/>
          <w:b/>
          <w:bCs/>
          <w:sz w:val="24"/>
          <w:szCs w:val="24"/>
        </w:rPr>
        <w:t>S</w:t>
      </w:r>
      <w:r w:rsidR="000003E1">
        <w:rPr>
          <w:rFonts w:ascii="Times New Roman" w:hAnsi="Times New Roman" w:cs="Times New Roman"/>
          <w:b/>
          <w:bCs/>
          <w:sz w:val="24"/>
          <w:szCs w:val="24"/>
        </w:rPr>
        <w:t>3</w:t>
      </w:r>
      <w:r w:rsidR="00FD0E7D">
        <w:rPr>
          <w:rFonts w:ascii="Times New Roman" w:hAnsi="Times New Roman" w:cs="Times New Roman"/>
          <w:b/>
          <w:bCs/>
          <w:sz w:val="24"/>
          <w:szCs w:val="24"/>
        </w:rPr>
        <w:t>.</w:t>
      </w:r>
      <w:r w:rsidRPr="000131B1">
        <w:rPr>
          <w:rFonts w:ascii="Times New Roman" w:hAnsi="Times New Roman" w:cs="Times New Roman"/>
          <w:sz w:val="24"/>
          <w:szCs w:val="24"/>
        </w:rPr>
        <w:t xml:space="preserve"> </w:t>
      </w:r>
      <w:r w:rsidRPr="000131B1">
        <w:rPr>
          <w:rFonts w:ascii="Times New Roman" w:hAnsi="Times New Roman" w:cs="Times New Roman"/>
          <w:i/>
          <w:iCs/>
          <w:sz w:val="24"/>
          <w:szCs w:val="24"/>
        </w:rPr>
        <w:t xml:space="preserve">Same as Figure </w:t>
      </w:r>
      <w:r w:rsidR="000003E1">
        <w:rPr>
          <w:rFonts w:ascii="Times New Roman" w:hAnsi="Times New Roman" w:cs="Times New Roman"/>
          <w:i/>
          <w:iCs/>
          <w:sz w:val="24"/>
          <w:szCs w:val="24"/>
        </w:rPr>
        <w:t>S2</w:t>
      </w:r>
      <w:r w:rsidRPr="000131B1">
        <w:rPr>
          <w:rFonts w:ascii="Times New Roman" w:hAnsi="Times New Roman" w:cs="Times New Roman"/>
          <w:i/>
          <w:iCs/>
          <w:sz w:val="24"/>
          <w:szCs w:val="24"/>
        </w:rPr>
        <w:t xml:space="preserve"> except for “BOM” location</w:t>
      </w:r>
    </w:p>
    <w:p w14:paraId="0842F6A3" w14:textId="189C3DE3" w:rsidR="00C8094B" w:rsidRDefault="00C8094B" w:rsidP="009025DF">
      <w:pPr>
        <w:tabs>
          <w:tab w:val="left" w:pos="1800"/>
        </w:tabs>
        <w:spacing w:after="0" w:line="240" w:lineRule="auto"/>
        <w:jc w:val="both"/>
        <w:rPr>
          <w:rFonts w:ascii="Times New Roman" w:hAnsi="Times New Roman" w:cs="Times New Roman"/>
          <w:sz w:val="24"/>
          <w:szCs w:val="24"/>
        </w:rPr>
      </w:pPr>
      <w:r w:rsidRPr="00A21960">
        <w:rPr>
          <w:rFonts w:ascii="Times New Roman" w:hAnsi="Times New Roman" w:cs="Times New Roman"/>
          <w:sz w:val="24"/>
          <w:szCs w:val="24"/>
        </w:rPr>
        <w:t>Further, the annual cycle of monthly accumulated precipitation</w:t>
      </w:r>
      <w:r>
        <w:rPr>
          <w:rFonts w:ascii="Times New Roman" w:hAnsi="Times New Roman" w:cs="Times New Roman"/>
          <w:sz w:val="24"/>
          <w:szCs w:val="24"/>
        </w:rPr>
        <w:t xml:space="preserve"> </w:t>
      </w:r>
      <w:r w:rsidRPr="00A21960">
        <w:rPr>
          <w:rFonts w:ascii="Times New Roman" w:hAnsi="Times New Roman" w:cs="Times New Roman"/>
          <w:sz w:val="24"/>
          <w:szCs w:val="24"/>
        </w:rPr>
        <w:t xml:space="preserve">for the validation period (2009-2018) is shown for CHN and BOM locations in Figure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w:t>
      </w:r>
      <w:r w:rsidRPr="00CE59FE">
        <w:rPr>
          <w:rFonts w:ascii="Times New Roman" w:hAnsi="Times New Roman" w:cs="Times New Roman"/>
          <w:sz w:val="24"/>
          <w:szCs w:val="24"/>
        </w:rPr>
        <w:t>left panel</w:t>
      </w:r>
      <w:r w:rsidRPr="00A21960">
        <w:rPr>
          <w:rFonts w:ascii="Times New Roman" w:hAnsi="Times New Roman" w:cs="Times New Roman"/>
          <w:sz w:val="24"/>
          <w:szCs w:val="24"/>
        </w:rPr>
        <w:t xml:space="preserve">) and Figure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w:t>
      </w:r>
      <w:r w:rsidRPr="00CE59FE">
        <w:rPr>
          <w:rFonts w:ascii="Times New Roman" w:hAnsi="Times New Roman" w:cs="Times New Roman"/>
          <w:sz w:val="24"/>
          <w:szCs w:val="24"/>
        </w:rPr>
        <w:t>right panel</w:t>
      </w:r>
      <w:r w:rsidRPr="00A21960">
        <w:rPr>
          <w:rFonts w:ascii="Times New Roman" w:hAnsi="Times New Roman" w:cs="Times New Roman"/>
          <w:sz w:val="24"/>
          <w:szCs w:val="24"/>
        </w:rPr>
        <w:t>)</w:t>
      </w:r>
      <w:r>
        <w:rPr>
          <w:rFonts w:ascii="Times New Roman" w:hAnsi="Times New Roman" w:cs="Times New Roman"/>
          <w:sz w:val="24"/>
          <w:szCs w:val="24"/>
        </w:rPr>
        <w:t>,</w:t>
      </w:r>
      <w:r w:rsidRPr="00A21960">
        <w:rPr>
          <w:rFonts w:ascii="Times New Roman" w:hAnsi="Times New Roman" w:cs="Times New Roman"/>
          <w:sz w:val="24"/>
          <w:szCs w:val="24"/>
        </w:rPr>
        <w:t xml:space="preserve"> respectively. Figure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 xml:space="preserve">a and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 xml:space="preserve">b show the empirical (EQM and EQM-MV) and parametric quantile (PQM and GPQM) methods over CHN location along with observed (GHCN) and raw </w:t>
      </w:r>
      <w:proofErr w:type="spellStart"/>
      <w:r w:rsidRPr="00A21960">
        <w:rPr>
          <w:rFonts w:ascii="Times New Roman" w:hAnsi="Times New Roman" w:cs="Times New Roman"/>
          <w:sz w:val="24"/>
          <w:szCs w:val="24"/>
        </w:rPr>
        <w:t>IMDAA</w:t>
      </w:r>
      <w:r w:rsidRPr="00A21960">
        <w:rPr>
          <w:rFonts w:ascii="Times New Roman" w:hAnsi="Times New Roman" w:cs="Times New Roman"/>
          <w:sz w:val="24"/>
          <w:szCs w:val="24"/>
          <w:vertAlign w:val="subscript"/>
        </w:rPr>
        <w:t>nocal</w:t>
      </w:r>
      <w:proofErr w:type="spellEnd"/>
      <w:r w:rsidRPr="00A21960">
        <w:rPr>
          <w:rFonts w:ascii="Times New Roman" w:hAnsi="Times New Roman" w:cs="Times New Roman"/>
          <w:sz w:val="24"/>
          <w:szCs w:val="24"/>
        </w:rPr>
        <w:t xml:space="preserve"> precipitation. As we can see, the </w:t>
      </w:r>
      <w:proofErr w:type="spellStart"/>
      <w:r w:rsidRPr="00A21960">
        <w:rPr>
          <w:rFonts w:ascii="Times New Roman" w:hAnsi="Times New Roman" w:cs="Times New Roman"/>
          <w:sz w:val="24"/>
          <w:szCs w:val="24"/>
        </w:rPr>
        <w:t>IMDAA</w:t>
      </w:r>
      <w:r w:rsidRPr="00A21960">
        <w:rPr>
          <w:rFonts w:ascii="Times New Roman" w:hAnsi="Times New Roman" w:cs="Times New Roman"/>
          <w:sz w:val="24"/>
          <w:szCs w:val="24"/>
          <w:vertAlign w:val="subscript"/>
        </w:rPr>
        <w:t>nocal</w:t>
      </w:r>
      <w:proofErr w:type="spellEnd"/>
      <w:r w:rsidRPr="00A21960">
        <w:rPr>
          <w:rFonts w:ascii="Times New Roman" w:hAnsi="Times New Roman" w:cs="Times New Roman"/>
          <w:sz w:val="24"/>
          <w:szCs w:val="24"/>
        </w:rPr>
        <w:t xml:space="preserve"> is underestimated relative to observed precipitation at both the CHN (also refer </w:t>
      </w:r>
      <w:r>
        <w:rPr>
          <w:rFonts w:ascii="Times New Roman" w:hAnsi="Times New Roman" w:cs="Times New Roman"/>
          <w:sz w:val="24"/>
          <w:szCs w:val="24"/>
        </w:rPr>
        <w:t xml:space="preserve">to </w:t>
      </w:r>
      <w:r w:rsidRPr="00A21960">
        <w:rPr>
          <w:rFonts w:ascii="Times New Roman" w:hAnsi="Times New Roman" w:cs="Times New Roman"/>
          <w:sz w:val="24"/>
          <w:szCs w:val="24"/>
        </w:rPr>
        <w:t xml:space="preserve">Figure </w:t>
      </w:r>
      <w:r w:rsidR="00866BBB">
        <w:rPr>
          <w:rFonts w:ascii="Times New Roman" w:hAnsi="Times New Roman" w:cs="Times New Roman"/>
          <w:sz w:val="24"/>
          <w:szCs w:val="24"/>
        </w:rPr>
        <w:t>S2</w:t>
      </w:r>
      <w:r w:rsidRPr="00A21960">
        <w:rPr>
          <w:rFonts w:ascii="Times New Roman" w:hAnsi="Times New Roman" w:cs="Times New Roman"/>
          <w:sz w:val="24"/>
          <w:szCs w:val="24"/>
        </w:rPr>
        <w:t xml:space="preserve"> and Figure </w:t>
      </w:r>
      <w:r w:rsidR="00866BBB">
        <w:rPr>
          <w:rFonts w:ascii="Times New Roman" w:hAnsi="Times New Roman" w:cs="Times New Roman"/>
          <w:sz w:val="24"/>
          <w:szCs w:val="24"/>
        </w:rPr>
        <w:t>S</w:t>
      </w:r>
      <w:r w:rsidR="000003E1">
        <w:rPr>
          <w:rFonts w:ascii="Times New Roman" w:hAnsi="Times New Roman" w:cs="Times New Roman"/>
          <w:sz w:val="24"/>
          <w:szCs w:val="24"/>
        </w:rPr>
        <w:t>3</w:t>
      </w:r>
      <w:r w:rsidRPr="00A21960">
        <w:rPr>
          <w:rFonts w:ascii="Times New Roman" w:hAnsi="Times New Roman" w:cs="Times New Roman"/>
          <w:sz w:val="24"/>
          <w:szCs w:val="24"/>
        </w:rPr>
        <w:t>), specifically, during the post-monsoon.</w:t>
      </w:r>
      <w:r>
        <w:rPr>
          <w:rFonts w:ascii="Times New Roman" w:hAnsi="Times New Roman" w:cs="Times New Roman"/>
          <w:sz w:val="24"/>
          <w:szCs w:val="24"/>
        </w:rPr>
        <w:t xml:space="preserve"> While t</w:t>
      </w:r>
      <w:r w:rsidRPr="00A21960">
        <w:rPr>
          <w:rFonts w:ascii="Times New Roman" w:hAnsi="Times New Roman" w:cs="Times New Roman"/>
          <w:sz w:val="24"/>
          <w:szCs w:val="24"/>
        </w:rPr>
        <w:t>he calibrated IMDAA precipitation (</w:t>
      </w:r>
      <w:proofErr w:type="spellStart"/>
      <w:r w:rsidRPr="00A21960">
        <w:rPr>
          <w:rFonts w:ascii="Times New Roman" w:hAnsi="Times New Roman" w:cs="Times New Roman"/>
          <w:sz w:val="24"/>
          <w:szCs w:val="24"/>
        </w:rPr>
        <w:t>IMDAA</w:t>
      </w:r>
      <w:r w:rsidRPr="00A21960">
        <w:rPr>
          <w:rFonts w:ascii="Times New Roman" w:hAnsi="Times New Roman" w:cs="Times New Roman"/>
          <w:sz w:val="24"/>
          <w:szCs w:val="24"/>
          <w:vertAlign w:val="subscript"/>
        </w:rPr>
        <w:t>eqm</w:t>
      </w:r>
      <w:proofErr w:type="spellEnd"/>
      <w:r w:rsidRPr="00A21960">
        <w:rPr>
          <w:rFonts w:ascii="Times New Roman" w:hAnsi="Times New Roman" w:cs="Times New Roman"/>
          <w:sz w:val="24"/>
          <w:szCs w:val="24"/>
        </w:rPr>
        <w:t xml:space="preserve"> and </w:t>
      </w:r>
      <w:proofErr w:type="spellStart"/>
      <w:r w:rsidRPr="00A21960">
        <w:rPr>
          <w:rFonts w:ascii="Times New Roman" w:hAnsi="Times New Roman" w:cs="Times New Roman"/>
          <w:sz w:val="24"/>
          <w:szCs w:val="24"/>
        </w:rPr>
        <w:t>IMDAA</w:t>
      </w:r>
      <w:r w:rsidRPr="00A21960">
        <w:rPr>
          <w:rFonts w:ascii="Times New Roman" w:hAnsi="Times New Roman" w:cs="Times New Roman"/>
          <w:sz w:val="24"/>
          <w:szCs w:val="24"/>
          <w:vertAlign w:val="subscript"/>
        </w:rPr>
        <w:t>eqmv</w:t>
      </w:r>
      <w:proofErr w:type="spellEnd"/>
      <w:r w:rsidRPr="00A21960">
        <w:rPr>
          <w:rFonts w:ascii="Times New Roman" w:hAnsi="Times New Roman" w:cs="Times New Roman"/>
          <w:sz w:val="24"/>
          <w:szCs w:val="24"/>
        </w:rPr>
        <w:t xml:space="preserve">) </w:t>
      </w:r>
      <w:r>
        <w:rPr>
          <w:rFonts w:ascii="Times New Roman" w:hAnsi="Times New Roman" w:cs="Times New Roman"/>
          <w:sz w:val="24"/>
          <w:szCs w:val="24"/>
        </w:rPr>
        <w:t xml:space="preserve">significantly improves the monthly totals in the inter-quantile range (IQR)along with </w:t>
      </w:r>
      <w:r w:rsidRPr="00A21960">
        <w:rPr>
          <w:rFonts w:ascii="Times New Roman" w:hAnsi="Times New Roman" w:cs="Times New Roman"/>
          <w:sz w:val="24"/>
          <w:szCs w:val="24"/>
        </w:rPr>
        <w:t>extreme rainfall amounts.</w:t>
      </w:r>
      <w:r>
        <w:rPr>
          <w:rFonts w:ascii="Times New Roman" w:hAnsi="Times New Roman" w:cs="Times New Roman"/>
          <w:sz w:val="24"/>
          <w:szCs w:val="24"/>
        </w:rPr>
        <w:t xml:space="preserve"> The</w:t>
      </w:r>
      <w:r w:rsidRPr="00A21960">
        <w:rPr>
          <w:rFonts w:ascii="Times New Roman" w:hAnsi="Times New Roman" w:cs="Times New Roman"/>
          <w:sz w:val="24"/>
          <w:szCs w:val="24"/>
        </w:rPr>
        <w:t xml:space="preserve"> EQM and EQM-MV </w:t>
      </w:r>
      <w:r>
        <w:rPr>
          <w:rFonts w:ascii="Times New Roman" w:hAnsi="Times New Roman" w:cs="Times New Roman"/>
          <w:sz w:val="24"/>
          <w:szCs w:val="24"/>
        </w:rPr>
        <w:t>approaches show</w:t>
      </w:r>
      <w:r w:rsidRPr="00A21960">
        <w:rPr>
          <w:rFonts w:ascii="Times New Roman" w:hAnsi="Times New Roman" w:cs="Times New Roman"/>
          <w:sz w:val="24"/>
          <w:szCs w:val="24"/>
        </w:rPr>
        <w:t xml:space="preserve"> similar </w:t>
      </w:r>
      <w:r>
        <w:rPr>
          <w:rFonts w:ascii="Times New Roman" w:hAnsi="Times New Roman" w:cs="Times New Roman"/>
          <w:sz w:val="24"/>
          <w:szCs w:val="24"/>
        </w:rPr>
        <w:t xml:space="preserve">precipitation </w:t>
      </w:r>
      <w:r w:rsidRPr="00A21960">
        <w:rPr>
          <w:rFonts w:ascii="Times New Roman" w:hAnsi="Times New Roman" w:cs="Times New Roman"/>
          <w:sz w:val="24"/>
          <w:szCs w:val="24"/>
        </w:rPr>
        <w:t xml:space="preserve">improvement </w:t>
      </w:r>
      <w:r>
        <w:rPr>
          <w:rFonts w:ascii="Times New Roman" w:hAnsi="Times New Roman" w:cs="Times New Roman"/>
          <w:sz w:val="24"/>
          <w:szCs w:val="24"/>
        </w:rPr>
        <w:t>relative to</w:t>
      </w:r>
      <w:r w:rsidRPr="00A21960">
        <w:rPr>
          <w:rFonts w:ascii="Times New Roman" w:hAnsi="Times New Roman" w:cs="Times New Roman"/>
          <w:sz w:val="24"/>
          <w:szCs w:val="24"/>
        </w:rPr>
        <w:t xml:space="preserve"> observ</w:t>
      </w:r>
      <w:r>
        <w:rPr>
          <w:rFonts w:ascii="Times New Roman" w:hAnsi="Times New Roman" w:cs="Times New Roman"/>
          <w:sz w:val="24"/>
          <w:szCs w:val="24"/>
        </w:rPr>
        <w:t>ation</w:t>
      </w:r>
      <w:r w:rsidRPr="00A21960">
        <w:rPr>
          <w:rFonts w:ascii="Times New Roman" w:hAnsi="Times New Roman" w:cs="Times New Roman"/>
          <w:sz w:val="24"/>
          <w:szCs w:val="24"/>
        </w:rPr>
        <w:t xml:space="preserve"> (GHCN).</w:t>
      </w:r>
    </w:p>
    <w:p w14:paraId="0BFC8417" w14:textId="77777777" w:rsidR="00C8094B" w:rsidRDefault="00C8094B" w:rsidP="009025DF">
      <w:pPr>
        <w:tabs>
          <w:tab w:val="left" w:pos="1800"/>
        </w:tabs>
        <w:spacing w:after="0" w:line="240" w:lineRule="auto"/>
        <w:jc w:val="both"/>
        <w:rPr>
          <w:rFonts w:ascii="Times New Roman" w:hAnsi="Times New Roman" w:cs="Times New Roman"/>
          <w:sz w:val="24"/>
          <w:szCs w:val="24"/>
        </w:rPr>
      </w:pPr>
    </w:p>
    <w:p w14:paraId="76B4DBD6" w14:textId="77777777" w:rsidR="00866BBB" w:rsidRDefault="00866BBB" w:rsidP="009025DF">
      <w:pPr>
        <w:tabs>
          <w:tab w:val="left" w:pos="1800"/>
        </w:tabs>
        <w:spacing w:after="0" w:line="240" w:lineRule="auto"/>
        <w:jc w:val="both"/>
        <w:rPr>
          <w:rFonts w:ascii="Times New Roman" w:hAnsi="Times New Roman" w:cs="Times New Roman"/>
          <w:sz w:val="24"/>
          <w:szCs w:val="24"/>
        </w:rPr>
      </w:pPr>
    </w:p>
    <w:p w14:paraId="498BB83F" w14:textId="61CC3C81" w:rsidR="00866BBB" w:rsidRDefault="005C1AE2" w:rsidP="009025DF">
      <w:pPr>
        <w:tabs>
          <w:tab w:val="left" w:pos="1800"/>
        </w:tabs>
        <w:spacing w:after="0" w:line="240" w:lineRule="auto"/>
        <w:jc w:val="both"/>
        <w:rPr>
          <w:rFonts w:ascii="Times New Roman" w:hAnsi="Times New Roman" w:cs="Times New Roman"/>
          <w:sz w:val="24"/>
          <w:szCs w:val="24"/>
        </w:rPr>
      </w:pPr>
      <w:r>
        <w:rPr>
          <w:noProof/>
        </w:rPr>
        <w:lastRenderedPageBreak/>
        <w:drawing>
          <wp:inline distT="0" distB="0" distL="0" distR="0" wp14:anchorId="0337517B" wp14:editId="7C3D96B9">
            <wp:extent cx="5723890" cy="2879725"/>
            <wp:effectExtent l="0" t="0" r="0" b="0"/>
            <wp:docPr id="4" name="Picture 4"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riting implement, stationary, penci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2879725"/>
                    </a:xfrm>
                    <a:prstGeom prst="rect">
                      <a:avLst/>
                    </a:prstGeom>
                    <a:noFill/>
                    <a:ln>
                      <a:noFill/>
                    </a:ln>
                  </pic:spPr>
                </pic:pic>
              </a:graphicData>
            </a:graphic>
          </wp:inline>
        </w:drawing>
      </w:r>
    </w:p>
    <w:p w14:paraId="733A1706" w14:textId="16922C2E" w:rsidR="005C1AE2" w:rsidRDefault="005C1AE2" w:rsidP="009025DF">
      <w:pPr>
        <w:tabs>
          <w:tab w:val="left" w:pos="1800"/>
        </w:tabs>
        <w:spacing w:after="0" w:line="240" w:lineRule="auto"/>
        <w:jc w:val="both"/>
        <w:rPr>
          <w:rFonts w:ascii="Times New Roman" w:hAnsi="Times New Roman" w:cs="Times New Roman"/>
          <w:sz w:val="24"/>
          <w:szCs w:val="24"/>
        </w:rPr>
      </w:pPr>
    </w:p>
    <w:p w14:paraId="08A0BBA8" w14:textId="2CD3494C" w:rsidR="005C1AE2" w:rsidRPr="005C1AE2" w:rsidRDefault="005C1AE2" w:rsidP="005C1AE2">
      <w:pPr>
        <w:tabs>
          <w:tab w:val="left" w:pos="1800"/>
        </w:tabs>
        <w:spacing w:line="240" w:lineRule="auto"/>
        <w:jc w:val="both"/>
        <w:rPr>
          <w:rFonts w:ascii="Times New Roman" w:hAnsi="Times New Roman" w:cs="Times New Roman"/>
          <w:i/>
          <w:iCs/>
          <w:sz w:val="24"/>
          <w:szCs w:val="24"/>
        </w:rPr>
      </w:pPr>
      <w:r w:rsidRPr="00F25A6B">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0003E1">
        <w:rPr>
          <w:rFonts w:ascii="Times New Roman" w:hAnsi="Times New Roman" w:cs="Times New Roman"/>
          <w:b/>
          <w:bCs/>
          <w:sz w:val="24"/>
          <w:szCs w:val="24"/>
        </w:rPr>
        <w:t>4</w:t>
      </w:r>
      <w:r w:rsidR="00FD0E7D">
        <w:rPr>
          <w:rFonts w:ascii="Times New Roman" w:hAnsi="Times New Roman" w:cs="Times New Roman"/>
          <w:b/>
          <w:bCs/>
          <w:sz w:val="24"/>
          <w:szCs w:val="24"/>
        </w:rPr>
        <w:t>.</w:t>
      </w:r>
      <w:r w:rsidRPr="00F25A6B">
        <w:rPr>
          <w:rFonts w:ascii="Times New Roman" w:hAnsi="Times New Roman" w:cs="Times New Roman"/>
          <w:sz w:val="24"/>
          <w:szCs w:val="24"/>
        </w:rPr>
        <w:t xml:space="preserve"> </w:t>
      </w:r>
      <w:r w:rsidRPr="005C1AE2">
        <w:rPr>
          <w:rFonts w:ascii="Times New Roman" w:hAnsi="Times New Roman" w:cs="Times New Roman"/>
          <w:i/>
          <w:iCs/>
          <w:sz w:val="24"/>
          <w:szCs w:val="24"/>
        </w:rPr>
        <w:t>The box plot indicating annual cycle of monthly accumulated precipitation over CHN (left panel) and BOM (right panel) locations over the validation period (2009-2018). The top panel indicates the bias corrected precipitation from empirical quantile methods (EQM[</w:t>
      </w:r>
      <w:proofErr w:type="spellStart"/>
      <w:r w:rsidRPr="005C1AE2">
        <w:rPr>
          <w:rFonts w:ascii="Times New Roman" w:hAnsi="Times New Roman" w:cs="Times New Roman"/>
          <w:i/>
          <w:iCs/>
          <w:sz w:val="24"/>
          <w:szCs w:val="24"/>
        </w:rPr>
        <w:t>IMDAA</w:t>
      </w:r>
      <w:r w:rsidRPr="005C1AE2">
        <w:rPr>
          <w:rFonts w:ascii="Times New Roman" w:hAnsi="Times New Roman" w:cs="Times New Roman"/>
          <w:i/>
          <w:iCs/>
          <w:sz w:val="24"/>
          <w:szCs w:val="24"/>
          <w:vertAlign w:val="subscript"/>
        </w:rPr>
        <w:t>eqm</w:t>
      </w:r>
      <w:proofErr w:type="spellEnd"/>
      <w:r w:rsidRPr="005C1AE2">
        <w:rPr>
          <w:rFonts w:ascii="Times New Roman" w:hAnsi="Times New Roman" w:cs="Times New Roman"/>
          <w:i/>
          <w:iCs/>
          <w:sz w:val="24"/>
          <w:szCs w:val="24"/>
        </w:rPr>
        <w:t>] and EQM-MV[(</w:t>
      </w:r>
      <w:proofErr w:type="spellStart"/>
      <w:r w:rsidRPr="005C1AE2">
        <w:rPr>
          <w:rFonts w:ascii="Times New Roman" w:hAnsi="Times New Roman" w:cs="Times New Roman"/>
          <w:i/>
          <w:iCs/>
          <w:sz w:val="24"/>
          <w:szCs w:val="24"/>
        </w:rPr>
        <w:t>IMDAA</w:t>
      </w:r>
      <w:r w:rsidRPr="005C1AE2">
        <w:rPr>
          <w:rFonts w:ascii="Times New Roman" w:hAnsi="Times New Roman" w:cs="Times New Roman"/>
          <w:i/>
          <w:iCs/>
          <w:sz w:val="24"/>
          <w:szCs w:val="24"/>
          <w:vertAlign w:val="subscript"/>
        </w:rPr>
        <w:t>eqmv</w:t>
      </w:r>
      <w:proofErr w:type="spellEnd"/>
      <w:r w:rsidRPr="005C1AE2">
        <w:rPr>
          <w:rFonts w:ascii="Times New Roman" w:hAnsi="Times New Roman" w:cs="Times New Roman"/>
          <w:i/>
          <w:iCs/>
          <w:sz w:val="24"/>
          <w:szCs w:val="24"/>
        </w:rPr>
        <w:t>]) while bottom panel indicates the parametric quantile methods (PQM[</w:t>
      </w:r>
      <w:proofErr w:type="spellStart"/>
      <w:r w:rsidRPr="005C1AE2">
        <w:rPr>
          <w:rFonts w:ascii="Times New Roman" w:hAnsi="Times New Roman" w:cs="Times New Roman"/>
          <w:i/>
          <w:iCs/>
          <w:sz w:val="24"/>
          <w:szCs w:val="24"/>
        </w:rPr>
        <w:t>IMDAA</w:t>
      </w:r>
      <w:r w:rsidRPr="005C1AE2">
        <w:rPr>
          <w:rFonts w:ascii="Times New Roman" w:hAnsi="Times New Roman" w:cs="Times New Roman"/>
          <w:i/>
          <w:iCs/>
          <w:sz w:val="24"/>
          <w:szCs w:val="24"/>
          <w:vertAlign w:val="subscript"/>
        </w:rPr>
        <w:t>pqm</w:t>
      </w:r>
      <w:proofErr w:type="spellEnd"/>
      <w:r w:rsidRPr="005C1AE2">
        <w:rPr>
          <w:rFonts w:ascii="Times New Roman" w:hAnsi="Times New Roman" w:cs="Times New Roman"/>
          <w:i/>
          <w:iCs/>
          <w:sz w:val="24"/>
          <w:szCs w:val="24"/>
        </w:rPr>
        <w:t>] and GPQM[</w:t>
      </w:r>
      <w:proofErr w:type="spellStart"/>
      <w:r w:rsidRPr="005C1AE2">
        <w:rPr>
          <w:rFonts w:ascii="Times New Roman" w:hAnsi="Times New Roman" w:cs="Times New Roman"/>
          <w:i/>
          <w:iCs/>
          <w:sz w:val="24"/>
          <w:szCs w:val="24"/>
        </w:rPr>
        <w:t>IMDAA</w:t>
      </w:r>
      <w:r w:rsidRPr="005C1AE2">
        <w:rPr>
          <w:rFonts w:ascii="Times New Roman" w:hAnsi="Times New Roman" w:cs="Times New Roman"/>
          <w:i/>
          <w:iCs/>
          <w:sz w:val="24"/>
          <w:szCs w:val="24"/>
          <w:vertAlign w:val="subscript"/>
        </w:rPr>
        <w:t>gpqm</w:t>
      </w:r>
      <w:proofErr w:type="spellEnd"/>
      <w:r w:rsidRPr="005C1AE2">
        <w:rPr>
          <w:rFonts w:ascii="Times New Roman" w:hAnsi="Times New Roman" w:cs="Times New Roman"/>
          <w:i/>
          <w:iCs/>
          <w:sz w:val="24"/>
          <w:szCs w:val="24"/>
        </w:rPr>
        <w:t>]). In both panels also shown are observed (GHCN) and raw IMDAA (</w:t>
      </w:r>
      <w:proofErr w:type="spellStart"/>
      <w:r w:rsidRPr="005C1AE2">
        <w:rPr>
          <w:rFonts w:ascii="Times New Roman" w:hAnsi="Times New Roman" w:cs="Times New Roman"/>
          <w:i/>
          <w:iCs/>
          <w:sz w:val="24"/>
          <w:szCs w:val="24"/>
        </w:rPr>
        <w:t>IMDAA</w:t>
      </w:r>
      <w:r w:rsidRPr="005C1AE2">
        <w:rPr>
          <w:rFonts w:ascii="Times New Roman" w:hAnsi="Times New Roman" w:cs="Times New Roman"/>
          <w:i/>
          <w:iCs/>
          <w:sz w:val="24"/>
          <w:szCs w:val="24"/>
          <w:vertAlign w:val="subscript"/>
        </w:rPr>
        <w:t>nocal</w:t>
      </w:r>
      <w:proofErr w:type="spellEnd"/>
      <w:r w:rsidRPr="005C1AE2">
        <w:rPr>
          <w:rFonts w:ascii="Times New Roman" w:hAnsi="Times New Roman" w:cs="Times New Roman"/>
          <w:i/>
          <w:iCs/>
          <w:sz w:val="24"/>
          <w:szCs w:val="24"/>
        </w:rPr>
        <w:t>) precipitation at the respective locations. On each box, the central line is the median, and the edges of the box are 25th and 75th percentiles. The outliers are shown ‘o’ symbol.</w:t>
      </w:r>
    </w:p>
    <w:p w14:paraId="00B5A2E0" w14:textId="77777777" w:rsidR="005C1AE2" w:rsidRDefault="005C1AE2" w:rsidP="009025DF">
      <w:pPr>
        <w:tabs>
          <w:tab w:val="left" w:pos="1800"/>
        </w:tabs>
        <w:spacing w:after="0" w:line="240" w:lineRule="auto"/>
        <w:jc w:val="both"/>
        <w:rPr>
          <w:rFonts w:ascii="Times New Roman" w:hAnsi="Times New Roman" w:cs="Times New Roman"/>
          <w:sz w:val="24"/>
          <w:szCs w:val="24"/>
        </w:rPr>
      </w:pPr>
    </w:p>
    <w:p w14:paraId="322578FA" w14:textId="0E16C197" w:rsidR="00C8094B" w:rsidRPr="00F270E2" w:rsidRDefault="00C8094B" w:rsidP="00A31651">
      <w:p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w:t>
      </w:r>
      <w:r w:rsidRPr="00A21960">
        <w:rPr>
          <w:rFonts w:ascii="Times New Roman" w:hAnsi="Times New Roman" w:cs="Times New Roman"/>
          <w:sz w:val="24"/>
          <w:szCs w:val="24"/>
        </w:rPr>
        <w:t xml:space="preserve">the parametric quantile methods (PQM and GPQM) overestimate the monthly rainfall amounts relative to empirical methods, </w:t>
      </w:r>
      <w:r>
        <w:rPr>
          <w:rFonts w:ascii="Times New Roman" w:hAnsi="Times New Roman" w:cs="Times New Roman"/>
          <w:sz w:val="24"/>
          <w:szCs w:val="24"/>
        </w:rPr>
        <w:t>primari</w:t>
      </w:r>
      <w:r w:rsidRPr="00A21960">
        <w:rPr>
          <w:rFonts w:ascii="Times New Roman" w:hAnsi="Times New Roman" w:cs="Times New Roman"/>
          <w:sz w:val="24"/>
          <w:szCs w:val="24"/>
        </w:rPr>
        <w:t xml:space="preserve">ly through </w:t>
      </w:r>
      <w:r>
        <w:rPr>
          <w:rFonts w:ascii="Times New Roman" w:hAnsi="Times New Roman" w:cs="Times New Roman"/>
          <w:sz w:val="24"/>
          <w:szCs w:val="24"/>
        </w:rPr>
        <w:t xml:space="preserve">the </w:t>
      </w:r>
      <w:r w:rsidRPr="00A21960">
        <w:rPr>
          <w:rFonts w:ascii="Times New Roman" w:hAnsi="Times New Roman" w:cs="Times New Roman"/>
          <w:sz w:val="24"/>
          <w:szCs w:val="24"/>
        </w:rPr>
        <w:t>GPQM approach. Similar to Figure</w:t>
      </w:r>
      <w:r>
        <w:rPr>
          <w:rFonts w:ascii="Times New Roman" w:hAnsi="Times New Roman" w:cs="Times New Roman"/>
          <w:sz w:val="24"/>
          <w:szCs w:val="24"/>
        </w:rPr>
        <w:t>s</w:t>
      </w:r>
      <w:r w:rsidRPr="00A21960">
        <w:rPr>
          <w:rFonts w:ascii="Times New Roman" w:hAnsi="Times New Roman" w:cs="Times New Roman"/>
          <w:sz w:val="24"/>
          <w:szCs w:val="24"/>
        </w:rPr>
        <w:t xml:space="preserve">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 xml:space="preserve">a and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b, Figure</w:t>
      </w:r>
      <w:r>
        <w:rPr>
          <w:rFonts w:ascii="Times New Roman" w:hAnsi="Times New Roman" w:cs="Times New Roman"/>
          <w:sz w:val="24"/>
          <w:szCs w:val="24"/>
        </w:rPr>
        <w:t>s</w:t>
      </w:r>
      <w:r w:rsidRPr="00A21960">
        <w:rPr>
          <w:rFonts w:ascii="Times New Roman" w:hAnsi="Times New Roman" w:cs="Times New Roman"/>
          <w:sz w:val="24"/>
          <w:szCs w:val="24"/>
        </w:rPr>
        <w:t xml:space="preserve">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 xml:space="preserve">c and </w:t>
      </w:r>
      <w:r w:rsidR="00866BBB">
        <w:rPr>
          <w:rFonts w:ascii="Times New Roman" w:hAnsi="Times New Roman" w:cs="Times New Roman"/>
          <w:sz w:val="24"/>
          <w:szCs w:val="24"/>
        </w:rPr>
        <w:t>S</w:t>
      </w:r>
      <w:r w:rsidR="000003E1">
        <w:rPr>
          <w:rFonts w:ascii="Times New Roman" w:hAnsi="Times New Roman" w:cs="Times New Roman"/>
          <w:sz w:val="24"/>
          <w:szCs w:val="24"/>
        </w:rPr>
        <w:t>4</w:t>
      </w:r>
      <w:r w:rsidRPr="00A21960">
        <w:rPr>
          <w:rFonts w:ascii="Times New Roman" w:hAnsi="Times New Roman" w:cs="Times New Roman"/>
          <w:sz w:val="24"/>
          <w:szCs w:val="24"/>
        </w:rPr>
        <w:t xml:space="preserve">d are at </w:t>
      </w:r>
      <w:r>
        <w:rPr>
          <w:rFonts w:ascii="Times New Roman" w:hAnsi="Times New Roman" w:cs="Times New Roman"/>
          <w:sz w:val="24"/>
          <w:szCs w:val="24"/>
        </w:rPr>
        <w:t xml:space="preserve">the </w:t>
      </w:r>
      <w:r w:rsidRPr="00A21960">
        <w:rPr>
          <w:rFonts w:ascii="Times New Roman" w:hAnsi="Times New Roman" w:cs="Times New Roman"/>
          <w:sz w:val="24"/>
          <w:szCs w:val="24"/>
        </w:rPr>
        <w:t xml:space="preserve">BOM location. As noted in CHN location,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IMDAA</w:t>
      </w:r>
      <w:r w:rsidRPr="006C63AB">
        <w:rPr>
          <w:rFonts w:ascii="Times New Roman" w:hAnsi="Times New Roman" w:cs="Times New Roman"/>
          <w:sz w:val="24"/>
          <w:szCs w:val="24"/>
          <w:vertAlign w:val="subscript"/>
        </w:rPr>
        <w:t>nocal</w:t>
      </w:r>
      <w:proofErr w:type="spellEnd"/>
      <w:r>
        <w:rPr>
          <w:rFonts w:ascii="Times New Roman" w:hAnsi="Times New Roman" w:cs="Times New Roman"/>
          <w:sz w:val="24"/>
          <w:szCs w:val="24"/>
        </w:rPr>
        <w:t xml:space="preserve"> underestimates the monthly rainfall amounts relative to observed precipitation over the BOM</w:t>
      </w:r>
      <w:r w:rsidRPr="00A21960">
        <w:rPr>
          <w:rFonts w:ascii="Times New Roman" w:hAnsi="Times New Roman" w:cs="Times New Roman"/>
          <w:sz w:val="24"/>
          <w:szCs w:val="24"/>
        </w:rPr>
        <w:t xml:space="preserve">. While the empirical methods (Figure </w:t>
      </w:r>
      <w:r w:rsidR="00866BBB">
        <w:rPr>
          <w:rFonts w:ascii="Times New Roman" w:hAnsi="Times New Roman" w:cs="Times New Roman"/>
          <w:sz w:val="24"/>
          <w:szCs w:val="24"/>
        </w:rPr>
        <w:t>S</w:t>
      </w:r>
      <w:r w:rsidR="001B1405">
        <w:rPr>
          <w:rFonts w:ascii="Times New Roman" w:hAnsi="Times New Roman" w:cs="Times New Roman"/>
          <w:sz w:val="24"/>
          <w:szCs w:val="24"/>
        </w:rPr>
        <w:t>4</w:t>
      </w:r>
      <w:r w:rsidRPr="00A21960">
        <w:rPr>
          <w:rFonts w:ascii="Times New Roman" w:hAnsi="Times New Roman" w:cs="Times New Roman"/>
          <w:sz w:val="24"/>
          <w:szCs w:val="24"/>
        </w:rPr>
        <w:t xml:space="preserve">c) again significantly improve the rainfall amounts during </w:t>
      </w:r>
      <w:r>
        <w:rPr>
          <w:rFonts w:ascii="Times New Roman" w:hAnsi="Times New Roman" w:cs="Times New Roman"/>
          <w:sz w:val="24"/>
          <w:szCs w:val="24"/>
        </w:rPr>
        <w:t xml:space="preserve">the </w:t>
      </w:r>
      <w:r w:rsidRPr="00A21960">
        <w:rPr>
          <w:rFonts w:ascii="Times New Roman" w:hAnsi="Times New Roman" w:cs="Times New Roman"/>
          <w:sz w:val="24"/>
          <w:szCs w:val="24"/>
        </w:rPr>
        <w:t>summer monsoon season</w:t>
      </w:r>
      <w:r>
        <w:rPr>
          <w:rFonts w:ascii="Times New Roman" w:hAnsi="Times New Roman" w:cs="Times New Roman"/>
          <w:sz w:val="24"/>
          <w:szCs w:val="24"/>
        </w:rPr>
        <w:t>.</w:t>
      </w:r>
      <w:r w:rsidRPr="00A21960">
        <w:rPr>
          <w:rFonts w:ascii="Times New Roman" w:hAnsi="Times New Roman" w:cs="Times New Roman"/>
          <w:sz w:val="24"/>
          <w:szCs w:val="24"/>
        </w:rPr>
        <w:t xml:space="preserve"> The parametric methods (PQM and GPQM) also adjust the monthly totals relative to observed rainfall</w:t>
      </w:r>
      <w:r>
        <w:rPr>
          <w:rFonts w:ascii="Times New Roman" w:hAnsi="Times New Roman" w:cs="Times New Roman"/>
          <w:sz w:val="24"/>
          <w:szCs w:val="24"/>
        </w:rPr>
        <w:t>;</w:t>
      </w:r>
      <w:r w:rsidRPr="00A21960">
        <w:rPr>
          <w:rFonts w:ascii="Times New Roman" w:hAnsi="Times New Roman" w:cs="Times New Roman"/>
          <w:sz w:val="24"/>
          <w:szCs w:val="24"/>
        </w:rPr>
        <w:t xml:space="preserve"> however, the overestimation is still discernible</w:t>
      </w:r>
      <w:r>
        <w:rPr>
          <w:rFonts w:ascii="Times New Roman" w:hAnsi="Times New Roman" w:cs="Times New Roman"/>
          <w:sz w:val="24"/>
          <w:szCs w:val="24"/>
        </w:rPr>
        <w:t>,</w:t>
      </w:r>
      <w:r w:rsidRPr="00A21960">
        <w:rPr>
          <w:rFonts w:ascii="Times New Roman" w:hAnsi="Times New Roman" w:cs="Times New Roman"/>
          <w:sz w:val="24"/>
          <w:szCs w:val="24"/>
        </w:rPr>
        <w:t xml:space="preserve"> especially during June and July. It is worth </w:t>
      </w:r>
      <w:r>
        <w:rPr>
          <w:rFonts w:ascii="Times New Roman" w:hAnsi="Times New Roman" w:cs="Times New Roman"/>
          <w:sz w:val="24"/>
          <w:szCs w:val="24"/>
        </w:rPr>
        <w:t xml:space="preserve">noting </w:t>
      </w:r>
      <w:r w:rsidRPr="00A21960">
        <w:rPr>
          <w:rFonts w:ascii="Times New Roman" w:hAnsi="Times New Roman" w:cs="Times New Roman"/>
          <w:sz w:val="24"/>
          <w:szCs w:val="24"/>
        </w:rPr>
        <w:t xml:space="preserve">that the calibrated precipitation shows clear improvement </w:t>
      </w:r>
      <w:r>
        <w:rPr>
          <w:rFonts w:ascii="Times New Roman" w:hAnsi="Times New Roman" w:cs="Times New Roman"/>
          <w:sz w:val="24"/>
          <w:szCs w:val="24"/>
        </w:rPr>
        <w:t>relative to</w:t>
      </w:r>
      <w:r w:rsidRPr="00A21960">
        <w:rPr>
          <w:rFonts w:ascii="Times New Roman" w:hAnsi="Times New Roman" w:cs="Times New Roman"/>
          <w:sz w:val="24"/>
          <w:szCs w:val="24"/>
        </w:rPr>
        <w:t xml:space="preserve"> observed GHCN precipitation, specifically in IQR. However, it </w:t>
      </w:r>
      <w:r>
        <w:rPr>
          <w:rFonts w:ascii="Times New Roman" w:hAnsi="Times New Roman" w:cs="Times New Roman"/>
          <w:sz w:val="24"/>
          <w:szCs w:val="24"/>
        </w:rPr>
        <w:t>is also important to note some overestimations compared to observed precipitation totals from the PQM and GPQM methods, resulting from overestimating</w:t>
      </w:r>
      <w:r w:rsidRPr="00A21960">
        <w:rPr>
          <w:rFonts w:ascii="Times New Roman" w:hAnsi="Times New Roman" w:cs="Times New Roman"/>
          <w:sz w:val="24"/>
          <w:szCs w:val="24"/>
        </w:rPr>
        <w:t xml:space="preserve"> extreme rainfalls.</w:t>
      </w:r>
      <w:r w:rsidR="00A31651">
        <w:rPr>
          <w:rFonts w:ascii="Times New Roman" w:hAnsi="Times New Roman" w:cs="Times New Roman"/>
          <w:sz w:val="24"/>
          <w:szCs w:val="24"/>
        </w:rPr>
        <w:t xml:space="preserve"> </w:t>
      </w:r>
      <w:r w:rsidRPr="00A21960">
        <w:rPr>
          <w:rFonts w:ascii="Times New Roman" w:hAnsi="Times New Roman" w:cs="Times New Roman"/>
          <w:sz w:val="24"/>
          <w:szCs w:val="24"/>
        </w:rPr>
        <w:t xml:space="preserve">Nevertheless, the downscaled IMDAA rainfall </w:t>
      </w:r>
      <w:r>
        <w:rPr>
          <w:rFonts w:ascii="Times New Roman" w:hAnsi="Times New Roman" w:cs="Times New Roman"/>
          <w:sz w:val="24"/>
          <w:szCs w:val="24"/>
        </w:rPr>
        <w:t xml:space="preserve">has a </w:t>
      </w:r>
      <w:r w:rsidRPr="00A21960">
        <w:rPr>
          <w:rFonts w:ascii="Times New Roman" w:hAnsi="Times New Roman" w:cs="Times New Roman"/>
          <w:sz w:val="24"/>
          <w:szCs w:val="24"/>
        </w:rPr>
        <w:t>better</w:t>
      </w:r>
      <w:r>
        <w:rPr>
          <w:rFonts w:ascii="Times New Roman" w:hAnsi="Times New Roman" w:cs="Times New Roman"/>
          <w:sz w:val="24"/>
          <w:szCs w:val="24"/>
        </w:rPr>
        <w:t xml:space="preserve"> </w:t>
      </w:r>
      <w:r w:rsidRPr="00A21960">
        <w:rPr>
          <w:rFonts w:ascii="Times New Roman" w:hAnsi="Times New Roman" w:cs="Times New Roman"/>
          <w:sz w:val="24"/>
          <w:szCs w:val="24"/>
        </w:rPr>
        <w:t xml:space="preserve">annual cycle of monthly accumulated precipitation. The </w:t>
      </w:r>
      <w:r>
        <w:rPr>
          <w:rFonts w:ascii="Times New Roman" w:hAnsi="Times New Roman" w:cs="Times New Roman"/>
          <w:sz w:val="24"/>
          <w:szCs w:val="24"/>
        </w:rPr>
        <w:t>critical</w:t>
      </w:r>
      <w:r w:rsidRPr="00A21960">
        <w:rPr>
          <w:rFonts w:ascii="Times New Roman" w:hAnsi="Times New Roman" w:cs="Times New Roman"/>
          <w:sz w:val="24"/>
          <w:szCs w:val="24"/>
        </w:rPr>
        <w:t xml:space="preserve"> point to be noted here that we have chosen annual quantiles irrespective of </w:t>
      </w:r>
      <w:r>
        <w:rPr>
          <w:rFonts w:ascii="Times New Roman" w:hAnsi="Times New Roman" w:cs="Times New Roman"/>
          <w:sz w:val="24"/>
          <w:szCs w:val="24"/>
        </w:rPr>
        <w:t xml:space="preserve">the </w:t>
      </w:r>
      <w:r w:rsidRPr="00A21960">
        <w:rPr>
          <w:rFonts w:ascii="Times New Roman" w:hAnsi="Times New Roman" w:cs="Times New Roman"/>
          <w:sz w:val="24"/>
          <w:szCs w:val="24"/>
        </w:rPr>
        <w:t>season for bias correcting.</w:t>
      </w:r>
      <w:r w:rsidR="00A31651">
        <w:rPr>
          <w:rFonts w:ascii="Times New Roman" w:hAnsi="Times New Roman" w:cs="Times New Roman"/>
          <w:sz w:val="24"/>
          <w:szCs w:val="24"/>
        </w:rPr>
        <w:t xml:space="preserve"> However, the rainfall occurrence over these two stations is highly seasonal. Hence, a seasonal quantile correction would be more appropriate for better results</w:t>
      </w:r>
      <w:r w:rsidR="00FB0B5C">
        <w:rPr>
          <w:rFonts w:ascii="Times New Roman" w:hAnsi="Times New Roman" w:cs="Times New Roman"/>
          <w:sz w:val="24"/>
          <w:szCs w:val="24"/>
        </w:rPr>
        <w:t xml:space="preserve"> (</w:t>
      </w:r>
      <w:r w:rsidR="00226A5B" w:rsidRPr="00226A5B">
        <w:rPr>
          <w:rFonts w:ascii="Times New Roman" w:hAnsi="Times New Roman" w:cs="Times New Roman"/>
          <w:i/>
          <w:iCs/>
          <w:sz w:val="24"/>
          <w:szCs w:val="24"/>
        </w:rPr>
        <w:t>refer</w:t>
      </w:r>
      <w:r w:rsidR="00FB0B5C" w:rsidRPr="00226A5B">
        <w:rPr>
          <w:rFonts w:ascii="Times New Roman" w:hAnsi="Times New Roman" w:cs="Times New Roman"/>
          <w:i/>
          <w:iCs/>
          <w:sz w:val="24"/>
          <w:szCs w:val="24"/>
        </w:rPr>
        <w:t xml:space="preserve"> main manuscript for more details</w:t>
      </w:r>
      <w:r w:rsidR="00FB0B5C">
        <w:rPr>
          <w:rFonts w:ascii="Times New Roman" w:hAnsi="Times New Roman" w:cs="Times New Roman"/>
          <w:sz w:val="24"/>
          <w:szCs w:val="24"/>
        </w:rPr>
        <w:t>)</w:t>
      </w:r>
      <w:r w:rsidR="00A31651">
        <w:rPr>
          <w:rFonts w:ascii="Times New Roman" w:hAnsi="Times New Roman" w:cs="Times New Roman"/>
          <w:sz w:val="24"/>
          <w:szCs w:val="24"/>
        </w:rPr>
        <w:t>.</w:t>
      </w:r>
    </w:p>
    <w:sectPr w:rsidR="00C8094B" w:rsidRPr="00F270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C67E1"/>
    <w:multiLevelType w:val="hybridMultilevel"/>
    <w:tmpl w:val="18806DD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A35496"/>
    <w:multiLevelType w:val="hybridMultilevel"/>
    <w:tmpl w:val="A9A48FDE"/>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zczsDC1NLI0NbRQ0lEKTi0uzszPAykwrwUAlMjcUiwAAAA="/>
  </w:docVars>
  <w:rsids>
    <w:rsidRoot w:val="0087728A"/>
    <w:rsid w:val="000003E1"/>
    <w:rsid w:val="000131B1"/>
    <w:rsid w:val="0002351E"/>
    <w:rsid w:val="000A5415"/>
    <w:rsid w:val="001B1405"/>
    <w:rsid w:val="001D5725"/>
    <w:rsid w:val="001F51D3"/>
    <w:rsid w:val="00226A5B"/>
    <w:rsid w:val="002917AC"/>
    <w:rsid w:val="003F1801"/>
    <w:rsid w:val="00496830"/>
    <w:rsid w:val="00547A0E"/>
    <w:rsid w:val="005A5370"/>
    <w:rsid w:val="005C1AE2"/>
    <w:rsid w:val="007830BD"/>
    <w:rsid w:val="00866BBB"/>
    <w:rsid w:val="0087728A"/>
    <w:rsid w:val="009025DF"/>
    <w:rsid w:val="009668F2"/>
    <w:rsid w:val="00A31651"/>
    <w:rsid w:val="00A35CA9"/>
    <w:rsid w:val="00AF0E0E"/>
    <w:rsid w:val="00B31BF8"/>
    <w:rsid w:val="00BF7991"/>
    <w:rsid w:val="00C8094B"/>
    <w:rsid w:val="00D67BDC"/>
    <w:rsid w:val="00F1681D"/>
    <w:rsid w:val="00F270E2"/>
    <w:rsid w:val="00FB0B5C"/>
    <w:rsid w:val="00FD0E7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A07A8"/>
  <w15:chartTrackingRefBased/>
  <w15:docId w15:val="{640F9C30-24A1-45A7-9461-9917199B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Lottie Rundall</cp:lastModifiedBy>
  <cp:revision>3</cp:revision>
  <dcterms:created xsi:type="dcterms:W3CDTF">2022-03-01T12:17:00Z</dcterms:created>
  <dcterms:modified xsi:type="dcterms:W3CDTF">2022-03-01T12:33:00Z</dcterms:modified>
</cp:coreProperties>
</file>