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media/image1.jpeg" ContentType="image/jpeg"/>
  <Override PartName="/word/media/image2.png" ContentType="image/png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ocument.xml" ContentType="application/vnd.openxmlformats-officedocument.wordprocessingml.document.main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pplementaryMaterial"/>
        <w:spacing w:before="240" w:after="120"/>
        <w:rPr>
          <w:b w:val="false"/>
          <w:b w:val="false"/>
        </w:rPr>
      </w:pPr>
      <w:r>
        <w:rPr/>
        <w:t>Supplementary Material</w:t>
      </w:r>
    </w:p>
    <w:p>
      <w:pPr>
        <w:pStyle w:val="Heading1"/>
        <w:numPr>
          <w:ilvl w:val="0"/>
          <w:numId w:val="2"/>
        </w:numPr>
        <w:rPr/>
      </w:pPr>
      <w:r>
        <w:rPr/>
        <w:t>Supplementary Figures and Tables</w:t>
      </w:r>
    </w:p>
    <w:p>
      <w:pPr>
        <w:pStyle w:val="Heading2"/>
        <w:numPr>
          <w:ilvl w:val="1"/>
          <w:numId w:val="2"/>
        </w:numPr>
        <w:rPr/>
      </w:pPr>
      <w:r>
        <w:rPr/>
        <w:t>Supplementary Figures</w:t>
      </w:r>
    </w:p>
    <w:p>
      <w:pPr>
        <w:pStyle w:val="Normal"/>
        <w:keepNext w:val="true"/>
        <w:rPr>
          <w:rFonts w:cs="Times New Roman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944235" cy="2968625"/>
                <wp:effectExtent l="0" t="0" r="0" b="0"/>
                <wp:docPr id="1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29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bookmarkStart w:id="0" w:name="_GoBack"/>
                            <w:bookmarkEnd w:id="0"/>
                            <w:r>
                              <w:rPr/>
                              <w:t xml:space="preserve"> </w:t>
                              <w:drawing>
                                <wp:inline distT="0" distB="0" distL="0" distR="0">
                                  <wp:extent cx="5943600" cy="2465070"/>
                                  <wp:effectExtent l="0" t="0" r="0" b="0"/>
                                  <wp:docPr id="3" name=""/>
                                  <wp:cNvGraphicFramePr/>
                                  <a:graphic xmlns:a="http://schemas.openxmlformats.org/drawingml/2006/main">
                                    <a:graphicData uri="http://schemas.openxmlformats.org/drawingml/2006/chart">
                                      <c:chart xmlns:c="http://schemas.openxmlformats.org/drawingml/2006/chart" xmlns:r="http://schemas.openxmlformats.org/officeDocument/2006/relationships" r:id="rId2"/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>Figure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Figure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1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>: Typical DP in structure with no dynamics (generated from structure calculation of PDB id 1A1Z) with an experimental error of ±1Hz.</w:t>
                            </w:r>
                          </w:p>
                        </w:txbxContent>
                      </wps:txbx>
                      <wps:bodyPr lIns="90000" rIns="90000" tIns="45000" bIns="450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1" stroked="f" style="position:absolute;margin-left:0pt;margin-top:-233.75pt;width:467.95pt;height:233.65pt;mso-position-vertical:top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/>
                        <w:t xml:space="preserve"> </w:t>
                        <w:drawing>
                          <wp:inline distT="0" distB="0" distL="0" distR="0">
                            <wp:extent cx="5943600" cy="2465070"/>
                            <wp:effectExtent l="0" t="0" r="0" b="0"/>
                            <wp:docPr id="4" name=""/>
                            <wp:cNvGraphicFramePr/>
                            <a:graphic xmlns:a="http://schemas.openxmlformats.org/drawingml/2006/main">
                              <a:graphicData uri="http://schemas.openxmlformats.org/drawingml/2006/chart">
                                <c:chart xmlns:c="http://schemas.openxmlformats.org/drawingml/2006/chart" xmlns:r="http://schemas.openxmlformats.org/officeDocument/2006/relationships" r:id="rId3"/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>Figure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Figure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1</w:t>
                      </w:r>
                      <w:r>
                        <w:rPr/>
                        <w:fldChar w:fldCharType="end"/>
                      </w:r>
                      <w:r>
                        <w:rPr/>
                        <w:t>: Typical DP in structure with no dynamics (generated from structure calculation of PDB id 1A1Z) with an experimental error of ±1Hz.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keepNext w:val="true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</w:r>
    </w:p>
    <w:p>
      <w:pPr>
        <w:pStyle w:val="NoSpacing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6085840" cy="2972435"/>
                <wp:effectExtent l="0" t="0" r="0" b="0"/>
                <wp:wrapSquare wrapText="largest"/>
                <wp:docPr id="5" name="Frame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08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085205" cy="2468880"/>
                                  <wp:effectExtent l="0" t="0" r="0" b="0"/>
                                  <wp:docPr id="7" name="Image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5205" cy="2468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/>
                              <w:t xml:space="preserve">Figure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Figure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2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 xml:space="preserve">: DP of PDB ID 1A1Z with a simulated 2 state motion starting at residue 58 (shown in red). A uniformly distribute noise of ±1Hz was added to all RDC data.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4" stroked="f" style="position:absolute;margin-left:4.8pt;margin-top:0.05pt;width:479.1pt;height:233.95pt;mso-position-horizontal:center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085205" cy="2468880"/>
                            <wp:effectExtent l="0" t="0" r="0" b="0"/>
                            <wp:docPr id="8" name="Image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5205" cy="2468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/>
                        <w:t xml:space="preserve">Figure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Figure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2</w:t>
                      </w:r>
                      <w:r>
                        <w:rPr/>
                        <w:fldChar w:fldCharType="end"/>
                      </w:r>
                      <w:r>
                        <w:rPr/>
                        <w:t xml:space="preserve">: DP of PDB ID 1A1Z with a simulated 2 state motion starting at residue 58 (shown in red). A uniformly distribute noise of ±1Hz was added to all RDC data.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240" w:after="240"/>
        <w:rPr/>
      </w:pPr>
      <w:r>
        <w:rPr/>
        <mc:AlternateContent>
          <mc:Choice Requires="wps">
            <w:drawing>
              <wp:inline distT="0" distB="0" distL="0" distR="0">
                <wp:extent cx="5807075" cy="3487420"/>
                <wp:effectExtent l="0" t="0" r="0" b="0"/>
                <wp:docPr id="9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348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igure"/>
                              <w:spacing w:before="120" w:after="12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864225" cy="2733040"/>
                                  <wp:effectExtent l="0" t="0" r="0" b="0"/>
                                  <wp:docPr id="11" name="Picture 4" descr="A white board with writing on i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4" descr="A white board with writing on it&#10;&#10;Description automatically generated with medium confidenc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64225" cy="2733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  <w:t xml:space="preserve">Figure </w:t>
                            </w:r>
                            <w:r>
                              <w:rPr/>
                              <w:fldChar w:fldCharType="begin"/>
                            </w:r>
                            <w:r>
                              <w:rPr/>
                              <w:instrText> SEQ Figure \* ARABIC </w:instrText>
                            </w:r>
                            <w:r>
                              <w:rPr/>
                              <w:fldChar w:fldCharType="separate"/>
                            </w:r>
                            <w:r>
                              <w:rPr/>
                              <w:t>3</w:t>
                            </w:r>
                            <w:r>
                              <w:rPr/>
                              <w:fldChar w:fldCharType="end"/>
                            </w:r>
                            <w:r>
                              <w:rPr/>
                              <w:t xml:space="preserve">: Structure of DHFR determined by REDCRAFT (shown in blue) using typical Ramachandron dihedral restraints superposed on the actual X-ray structure (shown in red) with more than 35Å of bb-rmsd. 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Shape3" stroked="f" style="position:absolute;margin-left:0pt;margin-top:-274.6pt;width:457.15pt;height:274.5pt;mso-position-vertical:top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igure"/>
                        <w:spacing w:before="120" w:after="12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5864225" cy="2733040"/>
                            <wp:effectExtent l="0" t="0" r="0" b="0"/>
                            <wp:docPr id="12" name="Picture 4" descr="A white board with writing on i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4" descr="A white board with writing on it&#10;&#10;Description automatically generated with medium confidenc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64225" cy="2733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  <w:t xml:space="preserve">Figure </w:t>
                      </w:r>
                      <w:r>
                        <w:rPr/>
                        <w:fldChar w:fldCharType="begin"/>
                      </w:r>
                      <w:r>
                        <w:rPr/>
                        <w:instrText> SEQ Figure \* ARABIC </w:instrText>
                      </w:r>
                      <w:r>
                        <w:rPr/>
                        <w:fldChar w:fldCharType="separate"/>
                      </w:r>
                      <w:r>
                        <w:rPr/>
                        <w:t>3</w:t>
                      </w:r>
                      <w:r>
                        <w:rPr/>
                        <w:fldChar w:fldCharType="end"/>
                      </w:r>
                      <w:r>
                        <w:rPr/>
                        <w:t xml:space="preserve">: Structure of DHFR determined by REDCRAFT (shown in blue) using typical Ramachandron dihedral restraints superposed on the actual X-ray structure (shown in red) with more than 35Å of bb-rmsd.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Heading2"/>
        <w:numPr>
          <w:ilvl w:val="1"/>
          <w:numId w:val="2"/>
        </w:numPr>
        <w:spacing w:before="240" w:after="240"/>
        <w:contextualSpacing/>
        <w:rPr/>
      </w:pPr>
      <w:r>
        <w:rPr/>
        <w:t>Supplementary Tables</w:t>
      </w:r>
    </w:p>
    <w:p>
      <w:pPr>
        <w:pStyle w:val="Table"/>
        <w:keepNext w:val="true"/>
        <w:rPr/>
      </w:pPr>
      <w:r>
        <w:rPr/>
        <w:t xml:space="preserve">Table </w:t>
      </w:r>
      <w:r>
        <w:rPr/>
        <w:fldChar w:fldCharType="begin"/>
      </w:r>
      <w:r>
        <w:rPr/>
        <w:instrText> SEQ Table \* ARABIC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/>
        <w:t xml:space="preserve">: The structure computed by REDCRAFT using standard Ramachandron restraints. As expected, the structure is locally and globally compromised due to the influence of dynamics on RDC data. </w:t>
      </w:r>
    </w:p>
    <w:tbl>
      <w:tblPr>
        <w:tblW w:w="9360" w:type="dxa"/>
        <w:jc w:val="left"/>
        <w:tblInd w:w="29" w:type="dxa"/>
        <w:tblCellMar>
          <w:top w:w="14" w:type="dxa"/>
          <w:left w:w="14" w:type="dxa"/>
          <w:bottom w:w="14" w:type="dxa"/>
          <w:right w:w="14" w:type="dxa"/>
        </w:tblCellMar>
        <w:tblLook w:val="04a0" w:noHBand="0" w:noVBand="1" w:firstColumn="1" w:lastRow="0" w:lastColumn="0" w:firstRow="1"/>
      </w:tblPr>
      <w:tblGrid>
        <w:gridCol w:w="3120"/>
        <w:gridCol w:w="3120"/>
        <w:gridCol w:w="3120"/>
      </w:tblGrid>
      <w:tr>
        <w:trPr>
          <w:trHeight w:val="373" w:hRule="atLeast"/>
        </w:trPr>
        <w:tc>
          <w:tcPr>
            <w:tcW w:w="31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number</w:t>
            </w:r>
          </w:p>
        </w:tc>
        <w:tc>
          <w:tcPr>
            <w:tcW w:w="31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Residue Range</w:t>
            </w:r>
          </w:p>
        </w:tc>
        <w:tc>
          <w:tcPr>
            <w:tcW w:w="312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BBRMSD with 1RX2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Whole protein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1 - 159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JBody"/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&gt;37Å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1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1 - 11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2.0Å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2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16 - 38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0.8Å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3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44 - 60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5.5Å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4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64 - 88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6.0Å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5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93 - 114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9.7Å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6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115-137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8.9Å</w:t>
            </w:r>
          </w:p>
        </w:tc>
      </w:tr>
      <w:tr>
        <w:trPr>
          <w:trHeight w:val="373" w:hRule="atLeast"/>
        </w:trPr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keepNext w:val="true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Fragment 7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138 - 159</w:t>
            </w:r>
          </w:p>
        </w:tc>
        <w:tc>
          <w:tcPr>
            <w:tcW w:w="312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>
            <w:pPr>
              <w:pStyle w:val="TableContents"/>
              <w:spacing w:lineRule="auto" w:line="240" w:before="120" w:after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Normaltextrun"/>
                <w:rFonts w:cs="Times New Roman"/>
                <w:sz w:val="18"/>
                <w:szCs w:val="18"/>
              </w:rPr>
              <w:t>0.7Å</w:t>
            </w:r>
          </w:p>
        </w:tc>
      </w:tr>
    </w:tbl>
    <w:p>
      <w:pPr>
        <w:pStyle w:val="Normal"/>
        <w:spacing w:before="120" w:after="240"/>
        <w:rPr/>
      </w:pPr>
      <w:r>
        <w:rPr/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type w:val="nextPage"/>
      <w:pgSz w:w="12240" w:h="15840"/>
      <w:pgMar w:left="1282" w:right="1181" w:header="720" w:top="1138" w:footer="720" w:bottom="113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color w:val="C00000"/>
        <w:szCs w:val="24"/>
      </w:rPr>
    </w:pPr>
    <w:r>
      <w:rPr>
        <w:color w:val="C00000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3" wp14:anchorId="382EAD1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0030" cy="433705"/>
              <wp:effectExtent l="0" t="0" r="0" b="0"/>
              <wp:wrapNone/>
              <wp:docPr id="13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9480" cy="43308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0" w:after="240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t>2</w: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369.95pt;margin-top:0.05pt;width:118.8pt;height:34.05pt;mso-position-horizontal:right;mso-position-horizontal-relative:margin" wp14:anchorId="382EAD14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120" w:after="240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  <w:color w:val="000000"/>
                      </w:rPr>
                      <w:instrText> PAGE </w:instrText>
                    </w:r>
                    <w:r>
                      <w:rPr>
                        <w:szCs w:val="40"/>
                        <w:color w:val="000000"/>
                      </w:rPr>
                      <w:fldChar w:fldCharType="separate"/>
                    </w:r>
                    <w:r>
                      <w:rPr>
                        <w:szCs w:val="40"/>
                        <w:color w:val="000000"/>
                      </w:rPr>
                      <w:t>2</w:t>
                    </w:r>
                    <w:r>
                      <w:rPr>
                        <w:szCs w:val="40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b/>
        <w:b/>
        <w:sz w:val="20"/>
        <w:szCs w:val="24"/>
      </w:rPr>
    </w:pPr>
    <w:r>
      <w:rPr>
        <w:b/>
        <w:sz w:val="20"/>
        <w:szCs w:val="24"/>
      </w:rPr>
      <mc:AlternateContent>
        <mc:Choice Requires="wps">
          <w:drawing>
            <wp:anchor behindDoc="1" distT="0" distB="0" distL="0" distR="0" simplePos="0" locked="0" layoutInCell="1" allowOverlap="1" relativeHeight="2" wp14:anchorId="70F9F55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10030" cy="434340"/>
              <wp:effectExtent l="0" t="0" r="0" b="0"/>
              <wp:wrapNone/>
              <wp:docPr id="15" name="Text Box 5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09480" cy="43380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120" w:after="240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szCs w:val="40"/>
                              <w:color w:val="000000"/>
                            </w:rPr>
                            <w:t>0</w:t>
                          </w:r>
                          <w:r>
                            <w:rPr>
                              <w:szCs w:val="40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6" stroked="f" style="position:absolute;margin-left:0pt;margin-top:0.05pt;width:118.8pt;height:34.1pt;mso-position-horizontal:right;mso-position-horizontal-relative:margin" wp14:anchorId="70F9F55F">
              <w10:wrap type="square"/>
              <v:fill o:detectmouseclick="t" on="false"/>
              <v:stroke color="#3465a4" weight="6480" joinstyle="round" endcap="flat"/>
              <v:textbox>
                <w:txbxContent>
                  <w:p>
                    <w:pPr>
                      <w:pStyle w:val="FrameContents"/>
                      <w:spacing w:before="120" w:after="240"/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/>
                        <w:szCs w:val="40"/>
                      </w:rPr>
                      <w:fldChar w:fldCharType="begin"/>
                    </w:r>
                    <w:r>
                      <w:rPr>
                        <w:szCs w:val="40"/>
                        <w:color w:val="000000"/>
                      </w:rPr>
                      <w:instrText> PAGE </w:instrText>
                    </w:r>
                    <w:r>
                      <w:rPr>
                        <w:szCs w:val="40"/>
                        <w:color w:val="000000"/>
                      </w:rPr>
                      <w:fldChar w:fldCharType="separate"/>
                    </w:r>
                    <w:r>
                      <w:rPr>
                        <w:szCs w:val="40"/>
                        <w:color w:val="000000"/>
                      </w:rPr>
                      <w:t>0</w:t>
                    </w:r>
                    <w:r>
                      <w:rPr>
                        <w:szCs w:val="40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240"/>
      <w:rPr>
        <w:rFonts w:cs="Times New Roman"/>
      </w:rPr>
    </w:pPr>
    <w:r>
      <w:rPr>
        <w:rFonts w:cs="Times New Roman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spacing w:before="120" w:after="240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120" w:after="240"/>
      <w:jc w:val="left"/>
      <w:rPr/>
    </w:pPr>
    <w:r>
      <w:rPr>
        <w:b/>
      </w:rPr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b6715"/>
    <w:pPr>
      <w:widowControl/>
      <w:suppressAutoHyphens w:val="true"/>
      <w:bidi w:val="0"/>
      <w:spacing w:lineRule="auto" w:line="240" w:before="120" w:after="240"/>
      <w:jc w:val="left"/>
    </w:pPr>
    <w:rPr>
      <w:rFonts w:ascii="Times New Roman" w:hAnsi="Times New Roman" w:eastAsia="Calibri" w:cs="Arial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ilvl w:val="0"/>
        <w:numId w:val="1"/>
      </w:numPr>
      <w:spacing w:before="240" w:after="12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  <w:numId w:val="1"/>
      </w:numPr>
      <w:spacing w:before="240" w:after="200"/>
      <w:outlineLvl w:val="1"/>
    </w:pPr>
    <w:rPr/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 w:val="true"/>
      <w:keepLines/>
      <w:numPr>
        <w:ilvl w:val="2"/>
        <w:numId w:val="1"/>
      </w:numPr>
      <w:spacing w:before="40" w:after="120"/>
      <w:outlineLvl w:val="2"/>
    </w:pPr>
    <w:rPr>
      <w:rFonts w:eastAsia="" w:cs="Times New Roman" w:cstheme="majorBidi" w:eastAsiaTheme="majorEastAsia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  <w:numId w:val="1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  <w:numId w:val="1"/>
      </w:num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ab6715"/>
    <w:rPr>
      <w:rFonts w:ascii="Times New Roman" w:hAnsi="Times New Roman" w:cs="Times New Roman"/>
      <w:b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VisitedInternet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character" w:styleId="Internet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  <w:rPr/>
  </w:style>
  <w:style w:type="character" w:styleId="Heading3Char" w:customStyle="1">
    <w:name w:val="Heading 3 Char"/>
    <w:basedOn w:val="DefaultParagraphFont"/>
    <w:link w:val="Heading3"/>
    <w:uiPriority w:val="2"/>
    <w:qFormat/>
    <w:rsid w:val="00ab6715"/>
    <w:rPr>
      <w:rFonts w:ascii="Times New Roman" w:hAnsi="Times New Roman" w:eastAsia="" w:cs="Times New Roman" w:cstheme="majorBidi" w:eastAsiaTheme="maj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qFormat/>
    <w:rsid w:val="00ab6715"/>
    <w:rPr>
      <w:rFonts w:ascii="Times New Roman" w:hAnsi="Times New Roman" w:eastAsia="" w:cs="Times New Roman" w:cstheme="majorBidi" w:eastAsiaTheme="majorEastAsia"/>
      <w:b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2"/>
    <w:qFormat/>
    <w:rsid w:val="00ab6715"/>
    <w:rPr>
      <w:rFonts w:ascii="Times New Roman" w:hAnsi="Times New Roman" w:eastAsia="" w:cs="Times New Roman" w:cstheme="majorBidi" w:eastAsiaTheme="majorEastAsia"/>
      <w:b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character" w:styleId="TitleChar" w:customStyle="1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character" w:styleId="Normaltextrun">
    <w:name w:val="normaltextrun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cs="Times New Roman"/>
      <w:b/>
      <w:szCs w:val="24"/>
    </w:rPr>
  </w:style>
  <w:style w:type="paragraph" w:styleId="AuthorList" w:customStyle="1">
    <w:name w:val="Author List"/>
    <w:basedOn w:val="Subtitle"/>
    <w:next w:val="Normal"/>
    <w:uiPriority w:val="1"/>
    <w:qFormat/>
    <w:rsid w:val="00ab6715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before="12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Spacing"/>
    <w:uiPriority w:val="35"/>
    <w:unhideWhenUsed/>
    <w:qFormat/>
    <w:rsid w:val="00ab6715"/>
    <w:pPr>
      <w:keepNext w:val="true"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Arial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b67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b6715"/>
    <w:pPr/>
    <w:rPr>
      <w:b/>
      <w:bCs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lear" w:pos="720"/>
        <w:tab w:val="center" w:pos="4844" w:leader="none"/>
        <w:tab w:val="right" w:pos="9689" w:leader="none"/>
      </w:tabs>
      <w:spacing w:before="12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lear" w:pos="720"/>
        <w:tab w:val="center" w:pos="4844" w:leader="none"/>
        <w:tab w:val="right" w:pos="9689" w:leader="none"/>
      </w:tabs>
    </w:pPr>
    <w:rPr>
      <w:b/>
    </w:rPr>
  </w:style>
  <w:style w:type="paragraph" w:styleId="ListParagraph">
    <w:name w:val="List Paragraph"/>
    <w:basedOn w:val="Normal"/>
    <w:uiPriority w:val="3"/>
    <w:qFormat/>
    <w:rsid w:val="00ab6715"/>
    <w:pPr>
      <w:spacing w:before="120" w:after="240"/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Autospacing="1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SupplementaryMaterial" w:customStyle="1">
    <w:name w:val="Supplementary Material"/>
    <w:basedOn w:val="Title"/>
    <w:next w:val="Title"/>
    <w:qFormat/>
    <w:rsid w:val="0001436a"/>
    <w:pPr>
      <w:spacing w:before="240" w:after="120"/>
    </w:pPr>
    <w:rPr>
      <w:i/>
    </w:rPr>
  </w:style>
  <w:style w:type="paragraph" w:styleId="FrameContents">
    <w:name w:val="Frame Contents"/>
    <w:basedOn w:val="Normal"/>
    <w:qFormat/>
    <w:pPr/>
    <w:rPr/>
  </w:style>
  <w:style w:type="paragraph" w:styleId="Figure">
    <w:name w:val="Figure"/>
    <w:basedOn w:val="Caption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JBody">
    <w:name w:val="JBody"/>
    <w:basedOn w:val="Normal"/>
    <w:qFormat/>
    <w:pPr>
      <w:spacing w:lineRule="auto" w:line="240" w:before="0" w:after="120"/>
      <w:jc w:val="both"/>
    </w:pPr>
    <w:rPr>
      <w:rFonts w:ascii="Times New Roman" w:hAnsi="Times New Roman"/>
    </w:rPr>
  </w:style>
  <w:style w:type="paragraph" w:styleId="Table">
    <w:name w:val="Table"/>
    <w:basedOn w:val="Caption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Headings" w:customStyle="1">
    <w:name w:val="Headings"/>
    <w:uiPriority w:val="99"/>
    <w:qFormat/>
    <w:rsid w:val="00ab67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image" Target="media/image1.jpe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Series2</c:v>
                </c:pt>
              </c:strCache>
            </c:strRef>
          </c:tx>
          <c:spPr>
            <a:solidFill>
              <a:srgbClr val="4f81bd">
                <a:alpha val="70000"/>
              </a:srgbClr>
            </a:solidFill>
            <a:ln w="9360">
              <a:solidFill>
                <a:srgbClr val="4f81bd">
                  <a:alpha val="70000"/>
                </a:srgbClr>
              </a:solidFill>
              <a:prstDash val="sysDot"/>
              <a:round/>
            </a:ln>
          </c:spPr>
          <c:marker>
            <c:symbol val="circle"/>
            <c:size val="5"/>
            <c:spPr>
              <a:solidFill>
                <a:srgbClr val="4f81bd"/>
              </a:solidFill>
            </c:spPr>
          </c:marker>
          <c:dPt>
            <c:idx val="56"/>
            <c:marker>
              <c:symbol val="circle"/>
              <c:size val="5"/>
              <c:spPr>
                <a:solidFill>
                  <a:srgbClr val="4f81bd"/>
                </a:solidFill>
              </c:spPr>
            </c:marker>
          </c:dPt>
          <c:dLbls>
            <c:dLbl>
              <c:idx val="56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mbria"/>
                    </a:defRPr>
                  </a:pPr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mbria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xVal>
            <c:numRef>
              <c:f>1</c:f>
              <c:numCache>
                <c:formatCode>General</c:formatCode>
                <c:ptCount val="8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1"/>
                <c:pt idx="0">
                  <c:v>0.000829</c:v>
                </c:pt>
                <c:pt idx="1">
                  <c:v>0.124695</c:v>
                </c:pt>
                <c:pt idx="2">
                  <c:v>0.338469</c:v>
                </c:pt>
                <c:pt idx="3">
                  <c:v>0.40663</c:v>
                </c:pt>
                <c:pt idx="4">
                  <c:v>0.41726</c:v>
                </c:pt>
                <c:pt idx="5">
                  <c:v>0.439371</c:v>
                </c:pt>
                <c:pt idx="6">
                  <c:v>0.551957</c:v>
                </c:pt>
                <c:pt idx="7">
                  <c:v>0.663478</c:v>
                </c:pt>
                <c:pt idx="8">
                  <c:v>0.710989</c:v>
                </c:pt>
                <c:pt idx="9">
                  <c:v>0.721997</c:v>
                </c:pt>
                <c:pt idx="10">
                  <c:v>0.778472</c:v>
                </c:pt>
                <c:pt idx="11">
                  <c:v>0.803542</c:v>
                </c:pt>
                <c:pt idx="12">
                  <c:v>0.798879</c:v>
                </c:pt>
                <c:pt idx="13">
                  <c:v>0.832003</c:v>
                </c:pt>
                <c:pt idx="14">
                  <c:v>0.854569</c:v>
                </c:pt>
                <c:pt idx="15">
                  <c:v>0.856922</c:v>
                </c:pt>
                <c:pt idx="16">
                  <c:v>0.841362</c:v>
                </c:pt>
                <c:pt idx="17">
                  <c:v>0.905136</c:v>
                </c:pt>
                <c:pt idx="18">
                  <c:v>0.896488</c:v>
                </c:pt>
                <c:pt idx="19">
                  <c:v>0.887399</c:v>
                </c:pt>
                <c:pt idx="20">
                  <c:v>0.87315</c:v>
                </c:pt>
                <c:pt idx="21">
                  <c:v>0.86697</c:v>
                </c:pt>
                <c:pt idx="22">
                  <c:v>0.863857</c:v>
                </c:pt>
                <c:pt idx="23">
                  <c:v>0.856458</c:v>
                </c:pt>
                <c:pt idx="24">
                  <c:v>0.903089</c:v>
                </c:pt>
                <c:pt idx="25">
                  <c:v>0.900738</c:v>
                </c:pt>
                <c:pt idx="26">
                  <c:v>0.937622</c:v>
                </c:pt>
                <c:pt idx="27">
                  <c:v>0.931286</c:v>
                </c:pt>
                <c:pt idx="28">
                  <c:v>0.934979</c:v>
                </c:pt>
                <c:pt idx="29">
                  <c:v>0.927282</c:v>
                </c:pt>
                <c:pt idx="30">
                  <c:v>0.91986</c:v>
                </c:pt>
                <c:pt idx="31">
                  <c:v>0.922946</c:v>
                </c:pt>
                <c:pt idx="32">
                  <c:v>0.942148</c:v>
                </c:pt>
                <c:pt idx="33">
                  <c:v>0.94685</c:v>
                </c:pt>
                <c:pt idx="34">
                  <c:v>0.954636</c:v>
                </c:pt>
                <c:pt idx="35">
                  <c:v>0.951483</c:v>
                </c:pt>
                <c:pt idx="36">
                  <c:v>0.968292</c:v>
                </c:pt>
                <c:pt idx="37">
                  <c:v>0.972731</c:v>
                </c:pt>
                <c:pt idx="38">
                  <c:v>0.968438</c:v>
                </c:pt>
                <c:pt idx="39">
                  <c:v>0.971193</c:v>
                </c:pt>
                <c:pt idx="40">
                  <c:v>0.96316</c:v>
                </c:pt>
                <c:pt idx="41">
                  <c:v>0.95718</c:v>
                </c:pt>
                <c:pt idx="42">
                  <c:v>0.950988</c:v>
                </c:pt>
                <c:pt idx="43">
                  <c:v>0.942695</c:v>
                </c:pt>
                <c:pt idx="44">
                  <c:v>0.940163</c:v>
                </c:pt>
                <c:pt idx="45">
                  <c:v>0.935734</c:v>
                </c:pt>
                <c:pt idx="46">
                  <c:v>0.937837</c:v>
                </c:pt>
                <c:pt idx="47">
                  <c:v>0.939707</c:v>
                </c:pt>
                <c:pt idx="48">
                  <c:v>0.944158</c:v>
                </c:pt>
                <c:pt idx="49">
                  <c:v>0.949348</c:v>
                </c:pt>
                <c:pt idx="50">
                  <c:v>0.956475</c:v>
                </c:pt>
                <c:pt idx="51">
                  <c:v>0.953073</c:v>
                </c:pt>
                <c:pt idx="52">
                  <c:v>0.971268</c:v>
                </c:pt>
                <c:pt idx="53">
                  <c:v>0.993106</c:v>
                </c:pt>
                <c:pt idx="54">
                  <c:v>0.990194</c:v>
                </c:pt>
                <c:pt idx="55">
                  <c:v>1.02302</c:v>
                </c:pt>
                <c:pt idx="56">
                  <c:v>1.02507</c:v>
                </c:pt>
                <c:pt idx="57">
                  <c:v>1.11729</c:v>
                </c:pt>
                <c:pt idx="58">
                  <c:v>1.13632</c:v>
                </c:pt>
                <c:pt idx="59">
                  <c:v>1.13474</c:v>
                </c:pt>
                <c:pt idx="60">
                  <c:v>1.23539</c:v>
                </c:pt>
                <c:pt idx="61">
                  <c:v>1.26064</c:v>
                </c:pt>
                <c:pt idx="62">
                  <c:v>1.26849</c:v>
                </c:pt>
                <c:pt idx="63">
                  <c:v>1.34728</c:v>
                </c:pt>
                <c:pt idx="64">
                  <c:v>1.38544</c:v>
                </c:pt>
                <c:pt idx="65">
                  <c:v>1.42189</c:v>
                </c:pt>
                <c:pt idx="66">
                  <c:v>1.44843</c:v>
                </c:pt>
                <c:pt idx="67">
                  <c:v>1.49897</c:v>
                </c:pt>
                <c:pt idx="68">
                  <c:v>1.53669</c:v>
                </c:pt>
                <c:pt idx="69">
                  <c:v>1.56281</c:v>
                </c:pt>
                <c:pt idx="70">
                  <c:v>1.58829</c:v>
                </c:pt>
                <c:pt idx="71">
                  <c:v>1.59743</c:v>
                </c:pt>
                <c:pt idx="72">
                  <c:v>1.60902</c:v>
                </c:pt>
                <c:pt idx="73">
                  <c:v>1.64689</c:v>
                </c:pt>
                <c:pt idx="74">
                  <c:v>1.66028</c:v>
                </c:pt>
                <c:pt idx="75">
                  <c:v>1.78532</c:v>
                </c:pt>
                <c:pt idx="76">
                  <c:v>1.78846</c:v>
                </c:pt>
                <c:pt idx="77">
                  <c:v>1.79282</c:v>
                </c:pt>
                <c:pt idx="78">
                  <c:v>1.80314</c:v>
                </c:pt>
                <c:pt idx="79">
                  <c:v>1.79495</c:v>
                </c:pt>
                <c:pt idx="80">
                  <c:v>1.79579</c:v>
                </c:pt>
              </c:numCache>
            </c:numRef>
          </c:yVal>
          <c:smooth val="1"/>
        </c:ser>
        <c:axId val="59627617"/>
        <c:axId val="52218372"/>
      </c:scatterChart>
      <c:valAx>
        <c:axId val="59627617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cccccc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52218372"/>
        <c:crosses val="autoZero"/>
        <c:crossBetween val="midCat"/>
      </c:valAx>
      <c:valAx>
        <c:axId val="52218372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59627617"/>
        <c:crosses val="autoZero"/>
        <c:crossBetween val="midCat"/>
      </c:valAx>
      <c:spPr>
        <a:noFill/>
        <a:ln w="2556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scatterChart>
        <c:scatterStyle val="lineMarker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Series2</c:v>
                </c:pt>
              </c:strCache>
            </c:strRef>
          </c:tx>
          <c:spPr>
            <a:solidFill>
              <a:srgbClr val="4f81bd">
                <a:alpha val="70000"/>
              </a:srgbClr>
            </a:solidFill>
            <a:ln w="9360">
              <a:solidFill>
                <a:srgbClr val="4f81bd">
                  <a:alpha val="70000"/>
                </a:srgbClr>
              </a:solidFill>
              <a:prstDash val="sysDot"/>
              <a:round/>
            </a:ln>
          </c:spPr>
          <c:marker>
            <c:symbol val="circle"/>
            <c:size val="5"/>
            <c:spPr>
              <a:solidFill>
                <a:srgbClr val="4f81bd"/>
              </a:solidFill>
            </c:spPr>
          </c:marker>
          <c:dPt>
            <c:idx val="56"/>
            <c:marker>
              <c:symbol val="circle"/>
              <c:size val="5"/>
              <c:spPr>
                <a:solidFill>
                  <a:srgbClr val="4f81bd"/>
                </a:solidFill>
              </c:spPr>
            </c:marker>
          </c:dPt>
          <c:dLbls>
            <c:dLbl>
              <c:idx val="56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mbria"/>
                    </a:defRPr>
                  </a:pPr>
                </a:p>
              </c:txPr>
              <c:dLblPos val="r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mbria"/>
                  </a:defRPr>
                </a:pPr>
              </a:p>
            </c:txPr>
            <c:dLblPos val="r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xVal>
            <c:numRef>
              <c:f>1</c:f>
              <c:numCache>
                <c:formatCode>General</c:formatCode>
                <c:ptCount val="81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  <c:pt idx="4">
                  <c:v>6</c:v>
                </c:pt>
                <c:pt idx="5">
                  <c:v>7</c:v>
                </c:pt>
                <c:pt idx="6">
                  <c:v>8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13</c:v>
                </c:pt>
                <c:pt idx="12">
                  <c:v>14</c:v>
                </c:pt>
                <c:pt idx="13">
                  <c:v>15</c:v>
                </c:pt>
                <c:pt idx="14">
                  <c:v>16</c:v>
                </c:pt>
                <c:pt idx="15">
                  <c:v>17</c:v>
                </c:pt>
                <c:pt idx="16">
                  <c:v>18</c:v>
                </c:pt>
                <c:pt idx="17">
                  <c:v>19</c:v>
                </c:pt>
                <c:pt idx="18">
                  <c:v>20</c:v>
                </c:pt>
                <c:pt idx="19">
                  <c:v>21</c:v>
                </c:pt>
                <c:pt idx="20">
                  <c:v>22</c:v>
                </c:pt>
                <c:pt idx="21">
                  <c:v>23</c:v>
                </c:pt>
                <c:pt idx="22">
                  <c:v>24</c:v>
                </c:pt>
                <c:pt idx="23">
                  <c:v>25</c:v>
                </c:pt>
                <c:pt idx="24">
                  <c:v>26</c:v>
                </c:pt>
                <c:pt idx="25">
                  <c:v>27</c:v>
                </c:pt>
                <c:pt idx="26">
                  <c:v>28</c:v>
                </c:pt>
                <c:pt idx="27">
                  <c:v>29</c:v>
                </c:pt>
                <c:pt idx="28">
                  <c:v>30</c:v>
                </c:pt>
                <c:pt idx="29">
                  <c:v>31</c:v>
                </c:pt>
                <c:pt idx="30">
                  <c:v>32</c:v>
                </c:pt>
                <c:pt idx="31">
                  <c:v>33</c:v>
                </c:pt>
                <c:pt idx="32">
                  <c:v>34</c:v>
                </c:pt>
                <c:pt idx="33">
                  <c:v>35</c:v>
                </c:pt>
                <c:pt idx="34">
                  <c:v>36</c:v>
                </c:pt>
                <c:pt idx="35">
                  <c:v>37</c:v>
                </c:pt>
                <c:pt idx="36">
                  <c:v>38</c:v>
                </c:pt>
                <c:pt idx="37">
                  <c:v>39</c:v>
                </c:pt>
                <c:pt idx="38">
                  <c:v>40</c:v>
                </c:pt>
                <c:pt idx="39">
                  <c:v>41</c:v>
                </c:pt>
                <c:pt idx="40">
                  <c:v>42</c:v>
                </c:pt>
                <c:pt idx="41">
                  <c:v>43</c:v>
                </c:pt>
                <c:pt idx="42">
                  <c:v>44</c:v>
                </c:pt>
                <c:pt idx="43">
                  <c:v>45</c:v>
                </c:pt>
                <c:pt idx="44">
                  <c:v>46</c:v>
                </c:pt>
                <c:pt idx="45">
                  <c:v>47</c:v>
                </c:pt>
                <c:pt idx="46">
                  <c:v>48</c:v>
                </c:pt>
                <c:pt idx="47">
                  <c:v>49</c:v>
                </c:pt>
                <c:pt idx="48">
                  <c:v>50</c:v>
                </c:pt>
                <c:pt idx="49">
                  <c:v>51</c:v>
                </c:pt>
                <c:pt idx="50">
                  <c:v>52</c:v>
                </c:pt>
                <c:pt idx="51">
                  <c:v>53</c:v>
                </c:pt>
                <c:pt idx="52">
                  <c:v>54</c:v>
                </c:pt>
                <c:pt idx="53">
                  <c:v>55</c:v>
                </c:pt>
                <c:pt idx="54">
                  <c:v>56</c:v>
                </c:pt>
                <c:pt idx="55">
                  <c:v>57</c:v>
                </c:pt>
                <c:pt idx="56">
                  <c:v>58</c:v>
                </c:pt>
                <c:pt idx="57">
                  <c:v>59</c:v>
                </c:pt>
                <c:pt idx="58">
                  <c:v>60</c:v>
                </c:pt>
                <c:pt idx="59">
                  <c:v>61</c:v>
                </c:pt>
                <c:pt idx="60">
                  <c:v>62</c:v>
                </c:pt>
                <c:pt idx="61">
                  <c:v>63</c:v>
                </c:pt>
                <c:pt idx="62">
                  <c:v>64</c:v>
                </c:pt>
                <c:pt idx="63">
                  <c:v>65</c:v>
                </c:pt>
                <c:pt idx="64">
                  <c:v>66</c:v>
                </c:pt>
                <c:pt idx="65">
                  <c:v>67</c:v>
                </c:pt>
                <c:pt idx="66">
                  <c:v>68</c:v>
                </c:pt>
                <c:pt idx="67">
                  <c:v>69</c:v>
                </c:pt>
                <c:pt idx="68">
                  <c:v>70</c:v>
                </c:pt>
                <c:pt idx="69">
                  <c:v>71</c:v>
                </c:pt>
                <c:pt idx="70">
                  <c:v>72</c:v>
                </c:pt>
                <c:pt idx="71">
                  <c:v>73</c:v>
                </c:pt>
                <c:pt idx="72">
                  <c:v>74</c:v>
                </c:pt>
                <c:pt idx="73">
                  <c:v>75</c:v>
                </c:pt>
                <c:pt idx="74">
                  <c:v>76</c:v>
                </c:pt>
                <c:pt idx="75">
                  <c:v>77</c:v>
                </c:pt>
                <c:pt idx="76">
                  <c:v>78</c:v>
                </c:pt>
                <c:pt idx="77">
                  <c:v>79</c:v>
                </c:pt>
                <c:pt idx="78">
                  <c:v>80</c:v>
                </c:pt>
                <c:pt idx="79">
                  <c:v>81</c:v>
                </c:pt>
                <c:pt idx="80">
                  <c:v>82</c:v>
                </c:pt>
              </c:numCache>
            </c:numRef>
          </c:xVal>
          <c:yVal>
            <c:numRef>
              <c:f>0</c:f>
              <c:numCache>
                <c:formatCode>General</c:formatCode>
                <c:ptCount val="81"/>
                <c:pt idx="0">
                  <c:v>0.000829</c:v>
                </c:pt>
                <c:pt idx="1">
                  <c:v>0.124695</c:v>
                </c:pt>
                <c:pt idx="2">
                  <c:v>0.338469</c:v>
                </c:pt>
                <c:pt idx="3">
                  <c:v>0.40663</c:v>
                </c:pt>
                <c:pt idx="4">
                  <c:v>0.41726</c:v>
                </c:pt>
                <c:pt idx="5">
                  <c:v>0.439371</c:v>
                </c:pt>
                <c:pt idx="6">
                  <c:v>0.551957</c:v>
                </c:pt>
                <c:pt idx="7">
                  <c:v>0.663478</c:v>
                </c:pt>
                <c:pt idx="8">
                  <c:v>0.710989</c:v>
                </c:pt>
                <c:pt idx="9">
                  <c:v>0.721997</c:v>
                </c:pt>
                <c:pt idx="10">
                  <c:v>0.778472</c:v>
                </c:pt>
                <c:pt idx="11">
                  <c:v>0.803542</c:v>
                </c:pt>
                <c:pt idx="12">
                  <c:v>0.798879</c:v>
                </c:pt>
                <c:pt idx="13">
                  <c:v>0.832003</c:v>
                </c:pt>
                <c:pt idx="14">
                  <c:v>0.854569</c:v>
                </c:pt>
                <c:pt idx="15">
                  <c:v>0.856922</c:v>
                </c:pt>
                <c:pt idx="16">
                  <c:v>0.841362</c:v>
                </c:pt>
                <c:pt idx="17">
                  <c:v>0.905136</c:v>
                </c:pt>
                <c:pt idx="18">
                  <c:v>0.896488</c:v>
                </c:pt>
                <c:pt idx="19">
                  <c:v>0.887399</c:v>
                </c:pt>
                <c:pt idx="20">
                  <c:v>0.87315</c:v>
                </c:pt>
                <c:pt idx="21">
                  <c:v>0.86697</c:v>
                </c:pt>
                <c:pt idx="22">
                  <c:v>0.863857</c:v>
                </c:pt>
                <c:pt idx="23">
                  <c:v>0.856458</c:v>
                </c:pt>
                <c:pt idx="24">
                  <c:v>0.903089</c:v>
                </c:pt>
                <c:pt idx="25">
                  <c:v>0.900738</c:v>
                </c:pt>
                <c:pt idx="26">
                  <c:v>0.937622</c:v>
                </c:pt>
                <c:pt idx="27">
                  <c:v>0.931286</c:v>
                </c:pt>
                <c:pt idx="28">
                  <c:v>0.934979</c:v>
                </c:pt>
                <c:pt idx="29">
                  <c:v>0.927282</c:v>
                </c:pt>
                <c:pt idx="30">
                  <c:v>0.91986</c:v>
                </c:pt>
                <c:pt idx="31">
                  <c:v>0.922946</c:v>
                </c:pt>
                <c:pt idx="32">
                  <c:v>0.942148</c:v>
                </c:pt>
                <c:pt idx="33">
                  <c:v>0.94685</c:v>
                </c:pt>
                <c:pt idx="34">
                  <c:v>0.954636</c:v>
                </c:pt>
                <c:pt idx="35">
                  <c:v>0.951483</c:v>
                </c:pt>
                <c:pt idx="36">
                  <c:v>0.968292</c:v>
                </c:pt>
                <c:pt idx="37">
                  <c:v>0.972731</c:v>
                </c:pt>
                <c:pt idx="38">
                  <c:v>0.968438</c:v>
                </c:pt>
                <c:pt idx="39">
                  <c:v>0.971193</c:v>
                </c:pt>
                <c:pt idx="40">
                  <c:v>0.96316</c:v>
                </c:pt>
                <c:pt idx="41">
                  <c:v>0.95718</c:v>
                </c:pt>
                <c:pt idx="42">
                  <c:v>0.950988</c:v>
                </c:pt>
                <c:pt idx="43">
                  <c:v>0.942695</c:v>
                </c:pt>
                <c:pt idx="44">
                  <c:v>0.940163</c:v>
                </c:pt>
                <c:pt idx="45">
                  <c:v>0.935734</c:v>
                </c:pt>
                <c:pt idx="46">
                  <c:v>0.937837</c:v>
                </c:pt>
                <c:pt idx="47">
                  <c:v>0.939707</c:v>
                </c:pt>
                <c:pt idx="48">
                  <c:v>0.944158</c:v>
                </c:pt>
                <c:pt idx="49">
                  <c:v>0.949348</c:v>
                </c:pt>
                <c:pt idx="50">
                  <c:v>0.956475</c:v>
                </c:pt>
                <c:pt idx="51">
                  <c:v>0.953073</c:v>
                </c:pt>
                <c:pt idx="52">
                  <c:v>0.971268</c:v>
                </c:pt>
                <c:pt idx="53">
                  <c:v>0.993106</c:v>
                </c:pt>
                <c:pt idx="54">
                  <c:v>0.990194</c:v>
                </c:pt>
                <c:pt idx="55">
                  <c:v>1.02302</c:v>
                </c:pt>
                <c:pt idx="56">
                  <c:v>1.02507</c:v>
                </c:pt>
                <c:pt idx="57">
                  <c:v>1.11729</c:v>
                </c:pt>
                <c:pt idx="58">
                  <c:v>1.13632</c:v>
                </c:pt>
                <c:pt idx="59">
                  <c:v>1.13474</c:v>
                </c:pt>
                <c:pt idx="60">
                  <c:v>1.23539</c:v>
                </c:pt>
                <c:pt idx="61">
                  <c:v>1.26064</c:v>
                </c:pt>
                <c:pt idx="62">
                  <c:v>1.26849</c:v>
                </c:pt>
                <c:pt idx="63">
                  <c:v>1.34728</c:v>
                </c:pt>
                <c:pt idx="64">
                  <c:v>1.38544</c:v>
                </c:pt>
                <c:pt idx="65">
                  <c:v>1.42189</c:v>
                </c:pt>
                <c:pt idx="66">
                  <c:v>1.44843</c:v>
                </c:pt>
                <c:pt idx="67">
                  <c:v>1.49897</c:v>
                </c:pt>
                <c:pt idx="68">
                  <c:v>1.53669</c:v>
                </c:pt>
                <c:pt idx="69">
                  <c:v>1.56281</c:v>
                </c:pt>
                <c:pt idx="70">
                  <c:v>1.58829</c:v>
                </c:pt>
                <c:pt idx="71">
                  <c:v>1.59743</c:v>
                </c:pt>
                <c:pt idx="72">
                  <c:v>1.60902</c:v>
                </c:pt>
                <c:pt idx="73">
                  <c:v>1.64689</c:v>
                </c:pt>
                <c:pt idx="74">
                  <c:v>1.66028</c:v>
                </c:pt>
                <c:pt idx="75">
                  <c:v>1.78532</c:v>
                </c:pt>
                <c:pt idx="76">
                  <c:v>1.78846</c:v>
                </c:pt>
                <c:pt idx="77">
                  <c:v>1.79282</c:v>
                </c:pt>
                <c:pt idx="78">
                  <c:v>1.80314</c:v>
                </c:pt>
                <c:pt idx="79">
                  <c:v>1.79495</c:v>
                </c:pt>
                <c:pt idx="80">
                  <c:v>1.79579</c:v>
                </c:pt>
              </c:numCache>
            </c:numRef>
          </c:yVal>
          <c:smooth val="1"/>
        </c:ser>
        <c:axId val="93379995"/>
        <c:axId val="59875457"/>
      </c:scatterChart>
      <c:valAx>
        <c:axId val="93379995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cccccc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59875457"/>
        <c:crosses val="autoZero"/>
        <c:crossBetween val="midCat"/>
      </c:valAx>
      <c:valAx>
        <c:axId val="59875457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9360">
            <a:solidFill>
              <a:srgbClr val="bfbfbf"/>
            </a:solidFill>
            <a:round/>
          </a:ln>
        </c:spPr>
        <c:txPr>
          <a:bodyPr/>
          <a:lstStyle/>
          <a:p>
            <a:pPr>
              <a:defRPr b="0" sz="900" spc="-1" strike="noStrike">
                <a:solidFill>
                  <a:srgbClr val="595959"/>
                </a:solidFill>
                <a:latin typeface="Cambria"/>
              </a:defRPr>
            </a:pPr>
          </a:p>
        </c:txPr>
        <c:crossAx val="93379995"/>
        <c:crosses val="autoZero"/>
        <c:crossBetween val="midCat"/>
      </c:valAx>
      <c:spPr>
        <a:noFill/>
        <a:ln w="25560">
          <a:noFill/>
        </a:ln>
      </c:spPr>
    </c:plotArea>
    <c:plotVisOnly val="1"/>
    <c:dispBlanksAs val="gap"/>
  </c:chart>
  <c:spPr>
    <a:solidFill>
      <a:srgbClr val="ffffff"/>
    </a:solidFill>
    <a:ln w="936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3CDFEF6-8EC3-4C62-9752-95D43BB9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Application>LibreOffice/6.4.7.2$Linux_X86_64 LibreOffice_project/40$Build-2</Application>
  <Pages>2</Pages>
  <Words>182</Words>
  <Characters>872</Characters>
  <CharactersWithSpaces>1020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2021-10-31T19:54:00Z</dcterms:created>
  <dc:creator>Frontiers Media SA</dc:creator>
  <dc:description/>
  <dc:language>en-US</dc:language>
  <cp:lastModifiedBy/>
  <cp:lastPrinted>2013-10-03T12:51:00Z</cp:lastPrinted>
  <dcterms:modified xsi:type="dcterms:W3CDTF">2022-01-18T00:23:13Z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