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A427" w14:textId="488D7CE1" w:rsidR="00EA3D3C" w:rsidRPr="00067506" w:rsidRDefault="00654E8F" w:rsidP="00233E93">
      <w:pPr>
        <w:pStyle w:val="Heading1"/>
        <w:numPr>
          <w:ilvl w:val="0"/>
          <w:numId w:val="25"/>
        </w:numPr>
        <w:ind w:left="1440" w:hanging="720"/>
        <w:rPr>
          <w:rFonts w:asciiTheme="majorBidi" w:hAnsiTheme="majorBidi" w:cstheme="majorBidi"/>
        </w:rPr>
      </w:pPr>
      <w:r w:rsidRPr="00067506">
        <w:rPr>
          <w:rFonts w:asciiTheme="majorBidi" w:hAnsiTheme="majorBidi" w:cstheme="majorBidi"/>
        </w:rPr>
        <w:t>Supplementary Data</w:t>
      </w:r>
      <w:r w:rsidR="007251DE" w:rsidRPr="00067506">
        <w:rPr>
          <w:rFonts w:asciiTheme="majorBidi" w:hAnsiTheme="majorBidi" w:cstheme="majorBidi"/>
        </w:rPr>
        <w:t xml:space="preserve"> </w:t>
      </w:r>
      <w:r w:rsidR="000E370E" w:rsidRPr="00067506">
        <w:rPr>
          <w:rFonts w:asciiTheme="majorBidi" w:hAnsiTheme="majorBidi" w:cstheme="majorBidi"/>
        </w:rPr>
        <w:t>3</w:t>
      </w:r>
      <w:r w:rsidR="007251DE" w:rsidRPr="00067506">
        <w:rPr>
          <w:rFonts w:asciiTheme="majorBidi" w:hAnsiTheme="majorBidi" w:cstheme="majorBidi"/>
        </w:rPr>
        <w:t>. Methods for Plains bison habitat suitability index</w:t>
      </w:r>
    </w:p>
    <w:p w14:paraId="1E390957" w14:textId="5D3642A5" w:rsidR="007251DE" w:rsidRPr="00067506" w:rsidRDefault="007251DE" w:rsidP="007251DE">
      <w:pPr>
        <w:rPr>
          <w:rFonts w:asciiTheme="majorBidi" w:hAnsiTheme="majorBidi" w:cstheme="majorBidi"/>
          <w:szCs w:val="24"/>
        </w:rPr>
      </w:pPr>
      <w:r w:rsidRPr="00067506">
        <w:rPr>
          <w:rFonts w:asciiTheme="majorBidi" w:hAnsiTheme="majorBidi" w:cstheme="majorBidi"/>
          <w:szCs w:val="24"/>
        </w:rPr>
        <w:t xml:space="preserve">A bison summer habitat suitability index (HSI) model was created to estimate extent and relative quality of remaining habitat across the historic distribution of bison in North America. The model was adapted from the summer HSI model developed by </w:t>
      </w:r>
      <w:r w:rsidR="00603B1F" w:rsidRPr="00067506">
        <w:rPr>
          <w:rFonts w:asciiTheme="majorBidi" w:hAnsiTheme="majorBidi" w:cstheme="majorBidi"/>
          <w:szCs w:val="24"/>
        </w:rPr>
        <w:fldChar w:fldCharType="begin" w:fldLock="1"/>
      </w:r>
      <w:r w:rsidR="00233E93" w:rsidRPr="00067506">
        <w:rPr>
          <w:rFonts w:asciiTheme="majorBidi" w:hAnsiTheme="majorBidi" w:cstheme="majorBidi"/>
          <w:szCs w:val="24"/>
        </w:rPr>
        <w:instrText>ADDIN CSL_CITATION {"citationItems":[{"id":"ITEM-1","itemData":{"abstract":"Interest in bison (Bison bison, B. bonasus) conservation and restoration continues to grow globally. In Canada, plains bison (B. b. bison) are threatened, occupying less than 0.5% of their former range. The largest threat to their recovery is the lack of habitat in which they are considered compatible with current land uses. Fences and direct management make range expansion by most bison impossible. Reintroduction of bison into previously occupied areas that remain suitable, therefore, is critical for bison recovery in North America. Banff National Park is recognized as historical range of plains bison and has been identified as a potential site for reintroduction of a wild population. To evaluate habitat quality and assess if there is sufficient habitat for a breeding population, we developed a Habitat Suitability Index (HSI) model for the proposed reintroduction and surrounding areas in Banff National Park (Banff). We then synthesize previous studies on habitat relationships, forage availability, bison energetics and snowfall scenarios to estimate nutritional carrying capacity. Considering constraints on nutritional carrying capacity, the most realistic scenario that we evaluated resulted in an estimated maximum bison density of 0.48 bison/km2. This corresponds to sufficient habitat to support at least 600 to 1000 plains bison, which could be one of the largest 10 plains bison populations in North America. Within Banff, there is spatial variation in predicted bison habitat suitability and population size that suggests one potential reintroduction site as the most likely to be successful from a habitat perspective. The successful reintroduction of bison into Banff would represent a significant global step towards conserving this iconic species, and our approach provides a useful template for evaluating potential habitat for other endangered species reintroductions into their former range.","author":[{"dropping-particle":"","family":"Steenweg","given":"Robin","non-dropping-particle":"","parse-names":false,"suffix":""},{"dropping-particle":"","family":"Hebblewhite","given":"Mark","non-dropping-particle":"","parse-names":false,"suffix":""},{"dropping-particle":"","family":"Gummer","given":"David","non-dropping-particle":"","parse-names":false,"suffix":""},{"dropping-particle":"","family":"Low","given":"Brian","non-dropping-particle":"","parse-names":false,"suffix":""},{"dropping-particle":"","family":"Hunt","given":"Bill","non-dropping-particle":"","parse-names":false,"suffix":""}],"container-title":"PLOS ONE","id":"ITEM-1","issue":"2","issued":{"date-parts":[["2016","2","24"]]},"page":"e0150065","publisher":"Public Library of Science","title":"Assessing Potential Habitat and Carrying Capacity for Reintroduction of Plains Bison (Bison bison bison) in Banff National Park","type":"article-journal","volume":"11"},"uris":["http://www.mendeley.com/documents/?uuid=7ef43d76-ea01-4bae-9abf-201cb98e1300"]}],"mendeley":{"formattedCitation":"(Steenweg et al., 2016)","manualFormatting":"Steenweg et al. (2016)","plainTextFormattedCitation":"(Steenweg et al., 2016)","previouslyFormattedCitation":"(Steenweg et al., 2016)"},"properties":{"noteIndex":0},"schema":"https://github.com/citation-style-language/schema/raw/master/csl-citation.json"}</w:instrText>
      </w:r>
      <w:r w:rsidR="00603B1F" w:rsidRPr="00067506">
        <w:rPr>
          <w:rFonts w:asciiTheme="majorBidi" w:hAnsiTheme="majorBidi" w:cstheme="majorBidi"/>
          <w:szCs w:val="24"/>
        </w:rPr>
        <w:fldChar w:fldCharType="separate"/>
      </w:r>
      <w:r w:rsidR="00603B1F" w:rsidRPr="00067506">
        <w:rPr>
          <w:rFonts w:asciiTheme="majorBidi" w:hAnsiTheme="majorBidi" w:cstheme="majorBidi"/>
          <w:noProof/>
          <w:szCs w:val="24"/>
        </w:rPr>
        <w:t>Steenweg et al. (2016)</w:t>
      </w:r>
      <w:r w:rsidR="00603B1F" w:rsidRPr="00067506">
        <w:rPr>
          <w:rFonts w:asciiTheme="majorBidi" w:hAnsiTheme="majorBidi" w:cstheme="majorBidi"/>
          <w:szCs w:val="24"/>
        </w:rPr>
        <w:fldChar w:fldCharType="end"/>
      </w:r>
      <w:r w:rsidRPr="00067506">
        <w:rPr>
          <w:rFonts w:asciiTheme="majorBidi" w:hAnsiTheme="majorBidi" w:cstheme="majorBidi"/>
          <w:szCs w:val="24"/>
        </w:rPr>
        <w:t xml:space="preserve"> for Banff National Park, Canada. Their model (hereafter referenced as the “Banff model”) were based largely on coefficients for habitat variables averaged from other bison habitat models reported in the literature. To the extent possible, I cross-walked attributes from the best available spatial data layers to each of their input variables and applied their coefficients to weight variables to produce the final HSI. However, several modifications were necessary to adapt the Banff model to a continental scale. Primary modifications are:</w:t>
      </w:r>
    </w:p>
    <w:p w14:paraId="0D2820A8" w14:textId="77777777" w:rsidR="007251DE" w:rsidRPr="00067506" w:rsidRDefault="007251DE" w:rsidP="00C779FD">
      <w:pPr>
        <w:pStyle w:val="ListParagraph"/>
        <w:numPr>
          <w:ilvl w:val="0"/>
          <w:numId w:val="20"/>
        </w:numPr>
        <w:tabs>
          <w:tab w:val="left" w:pos="540"/>
        </w:tabs>
        <w:spacing w:before="0" w:after="160" w:line="256" w:lineRule="auto"/>
        <w:ind w:left="360"/>
        <w:rPr>
          <w:rFonts w:asciiTheme="majorBidi" w:hAnsiTheme="majorBidi" w:cstheme="majorBidi"/>
        </w:rPr>
      </w:pPr>
      <w:r w:rsidRPr="00067506">
        <w:rPr>
          <w:rFonts w:asciiTheme="majorBidi" w:hAnsiTheme="majorBidi" w:cstheme="majorBidi"/>
        </w:rPr>
        <w:t>Modified land cover type scores – The Banff model ranked forest cover of all types relatively low compared with herbaceous cover which is consistent with habitat conditions in the Banff region. However, at the continental scale open canopy forests (most notably ponderosa pine and aspen) support understories of productive herbaceous cover that provides high quality forage for ungulates. Therefore, I adjusted the habitat scores for low density or open canopy ponderosa pine and aspen forest cover types.</w:t>
      </w:r>
    </w:p>
    <w:p w14:paraId="57797C89" w14:textId="77777777" w:rsidR="007251DE" w:rsidRPr="00067506" w:rsidRDefault="007251DE" w:rsidP="00C779FD">
      <w:pPr>
        <w:pStyle w:val="ListParagraph"/>
        <w:numPr>
          <w:ilvl w:val="0"/>
          <w:numId w:val="20"/>
        </w:numPr>
        <w:tabs>
          <w:tab w:val="left" w:pos="540"/>
        </w:tabs>
        <w:spacing w:before="0" w:after="160" w:line="256" w:lineRule="auto"/>
        <w:ind w:left="360"/>
        <w:rPr>
          <w:rFonts w:asciiTheme="majorBidi" w:hAnsiTheme="majorBidi" w:cstheme="majorBidi"/>
        </w:rPr>
      </w:pPr>
      <w:r w:rsidRPr="00067506">
        <w:rPr>
          <w:rFonts w:asciiTheme="majorBidi" w:hAnsiTheme="majorBidi" w:cstheme="majorBidi"/>
        </w:rPr>
        <w:t>Add enhanced vegetation index (EVI) – EVI provides an estimate of plant biomass and was added to the model to identify areas where vegetation is too sparse to support large populations of bison regardless of land cover type.</w:t>
      </w:r>
    </w:p>
    <w:p w14:paraId="6AAB73C0" w14:textId="77777777" w:rsidR="007251DE" w:rsidRPr="00067506" w:rsidRDefault="007251DE" w:rsidP="00C779FD">
      <w:pPr>
        <w:pStyle w:val="ListParagraph"/>
        <w:numPr>
          <w:ilvl w:val="0"/>
          <w:numId w:val="20"/>
        </w:numPr>
        <w:tabs>
          <w:tab w:val="left" w:pos="540"/>
        </w:tabs>
        <w:spacing w:before="0" w:after="160" w:line="256" w:lineRule="auto"/>
        <w:ind w:left="360"/>
        <w:rPr>
          <w:rFonts w:asciiTheme="majorBidi" w:hAnsiTheme="majorBidi" w:cstheme="majorBidi"/>
        </w:rPr>
      </w:pPr>
      <w:r w:rsidRPr="00067506">
        <w:rPr>
          <w:rFonts w:asciiTheme="majorBidi" w:hAnsiTheme="majorBidi" w:cstheme="majorBidi"/>
        </w:rPr>
        <w:t>Removed distance to water – see explanation for the winter range model.</w:t>
      </w:r>
    </w:p>
    <w:p w14:paraId="4E8480BD" w14:textId="77777777" w:rsidR="007251DE" w:rsidRPr="00067506" w:rsidRDefault="007251DE" w:rsidP="00C779FD">
      <w:pPr>
        <w:pStyle w:val="ListParagraph"/>
        <w:numPr>
          <w:ilvl w:val="0"/>
          <w:numId w:val="20"/>
        </w:numPr>
        <w:tabs>
          <w:tab w:val="left" w:pos="540"/>
        </w:tabs>
        <w:spacing w:before="0" w:after="160" w:line="256" w:lineRule="auto"/>
        <w:ind w:left="360"/>
        <w:rPr>
          <w:rFonts w:asciiTheme="majorBidi" w:hAnsiTheme="majorBidi" w:cstheme="majorBidi"/>
        </w:rPr>
      </w:pPr>
      <w:r w:rsidRPr="00067506">
        <w:rPr>
          <w:rFonts w:asciiTheme="majorBidi" w:hAnsiTheme="majorBidi" w:cstheme="majorBidi"/>
        </w:rPr>
        <w:t>Removed fire – Fire is a major driver of forage quality and quantity and was included in the Banff models. However, because fire and many of its effects on vegetation are ephemeral, it is not appropriate for a model intended for broad spatial and temporal scales.</w:t>
      </w:r>
    </w:p>
    <w:p w14:paraId="4C4BB364" w14:textId="071C81EE" w:rsidR="007251DE" w:rsidRPr="00C779FD" w:rsidRDefault="007251DE" w:rsidP="005610FD">
      <w:pPr>
        <w:pStyle w:val="Heading2"/>
        <w:ind w:left="450"/>
        <w:rPr>
          <w:rFonts w:asciiTheme="majorBidi" w:hAnsiTheme="majorBidi" w:cstheme="majorBidi"/>
          <w:b w:val="0"/>
          <w:bCs/>
        </w:rPr>
      </w:pPr>
      <w:r w:rsidRPr="00C779FD">
        <w:rPr>
          <w:rFonts w:asciiTheme="majorBidi" w:hAnsiTheme="majorBidi" w:cstheme="majorBidi"/>
        </w:rPr>
        <w:t xml:space="preserve">Geographic extents and spatial constraints: </w:t>
      </w:r>
      <w:r w:rsidRPr="00C779FD">
        <w:rPr>
          <w:rFonts w:asciiTheme="majorBidi" w:hAnsiTheme="majorBidi" w:cstheme="majorBidi"/>
          <w:b w:val="0"/>
          <w:bCs/>
        </w:rPr>
        <w:t xml:space="preserve">The geographic extent of the summer model includes the area within a 500 km buffer around the historic bison range as drawn by </w:t>
      </w:r>
      <w:r w:rsidR="00907E04" w:rsidRPr="00C779FD">
        <w:rPr>
          <w:rFonts w:asciiTheme="majorBidi" w:hAnsiTheme="majorBidi" w:cstheme="majorBidi"/>
          <w:b w:val="0"/>
          <w:bCs/>
        </w:rPr>
        <w:fldChar w:fldCharType="begin" w:fldLock="1"/>
      </w:r>
      <w:r w:rsidR="00ED28B2" w:rsidRPr="00C779FD">
        <w:rPr>
          <w:rFonts w:asciiTheme="majorBidi" w:hAnsiTheme="majorBidi" w:cstheme="majorBidi"/>
          <w:b w:val="0"/>
          <w:bCs/>
        </w:rPr>
        <w:instrText>ADDIN CSL_CITATION {"citationItems":[{"id":"ITEM-1","itemData":{"ISBN":"1508610479","author":[{"dropping-particle":"","family":"Hornaday","given":"William Temple","non-dropping-particle":"","parse-names":false,"suffix":""}],"id":"ITEM-1","issued":{"date-parts":[["1889"]]},"publisher":"Createspace Independent Pub","title":"The extermination of the American bison","type":"book"},"uris":["http://www.mendeley.com/documents/?uuid=2675d707-cdd9-4262-8638-ad2328859090"]}],"mendeley":{"formattedCitation":"(Hornaday, 1889)","manualFormatting":"Hornaday (1889)","plainTextFormattedCitation":"(Hornaday, 1889)","previouslyFormattedCitation":"(Hornaday, 1889)"},"properties":{"noteIndex":0},"schema":"https://github.com/citation-style-language/schema/raw/master/csl-citation.json"}</w:instrText>
      </w:r>
      <w:r w:rsidR="00907E04" w:rsidRPr="00C779FD">
        <w:rPr>
          <w:rFonts w:asciiTheme="majorBidi" w:hAnsiTheme="majorBidi" w:cstheme="majorBidi"/>
          <w:b w:val="0"/>
          <w:bCs/>
        </w:rPr>
        <w:fldChar w:fldCharType="separate"/>
      </w:r>
      <w:r w:rsidR="00907E04" w:rsidRPr="00C779FD">
        <w:rPr>
          <w:rFonts w:asciiTheme="majorBidi" w:hAnsiTheme="majorBidi" w:cstheme="majorBidi"/>
          <w:b w:val="0"/>
          <w:bCs/>
          <w:noProof/>
        </w:rPr>
        <w:t xml:space="preserve">Hornaday </w:t>
      </w:r>
      <w:r w:rsidR="008A3B7D" w:rsidRPr="00C779FD">
        <w:rPr>
          <w:rFonts w:asciiTheme="majorBidi" w:hAnsiTheme="majorBidi" w:cstheme="majorBidi"/>
          <w:b w:val="0"/>
          <w:bCs/>
          <w:noProof/>
        </w:rPr>
        <w:t>(</w:t>
      </w:r>
      <w:r w:rsidR="00907E04" w:rsidRPr="00C779FD">
        <w:rPr>
          <w:rFonts w:asciiTheme="majorBidi" w:hAnsiTheme="majorBidi" w:cstheme="majorBidi"/>
          <w:b w:val="0"/>
          <w:bCs/>
          <w:noProof/>
        </w:rPr>
        <w:t>1889)</w:t>
      </w:r>
      <w:r w:rsidR="00907E04" w:rsidRPr="00C779FD">
        <w:rPr>
          <w:rFonts w:asciiTheme="majorBidi" w:hAnsiTheme="majorBidi" w:cstheme="majorBidi"/>
          <w:b w:val="0"/>
          <w:bCs/>
        </w:rPr>
        <w:fldChar w:fldCharType="end"/>
      </w:r>
      <w:r w:rsidRPr="00C779FD">
        <w:rPr>
          <w:rFonts w:asciiTheme="majorBidi" w:hAnsiTheme="majorBidi" w:cstheme="majorBidi"/>
          <w:b w:val="0"/>
          <w:bCs/>
        </w:rPr>
        <w:t>. The model was further constrained by removing current roads and areas of cropland on, or crossing, private land to eliminate areas where bison restoration is likely to conflict with current land use.</w:t>
      </w:r>
    </w:p>
    <w:p w14:paraId="0F2DF047" w14:textId="77777777" w:rsidR="007251DE" w:rsidRPr="00067506" w:rsidRDefault="007251DE" w:rsidP="007251DE">
      <w:pPr>
        <w:pStyle w:val="Heading2"/>
        <w:rPr>
          <w:rFonts w:asciiTheme="majorBidi" w:hAnsiTheme="majorBidi" w:cstheme="majorBidi"/>
        </w:rPr>
      </w:pPr>
      <w:r w:rsidRPr="00067506">
        <w:rPr>
          <w:rFonts w:asciiTheme="majorBidi" w:hAnsiTheme="majorBidi" w:cstheme="majorBidi"/>
        </w:rPr>
        <w:t>Model Input Variables and Data Sources:</w:t>
      </w:r>
    </w:p>
    <w:p w14:paraId="70678B50" w14:textId="5B18D731" w:rsidR="007251DE" w:rsidRPr="00067506" w:rsidRDefault="007251DE" w:rsidP="007251DE">
      <w:pPr>
        <w:pStyle w:val="Heading3"/>
        <w:rPr>
          <w:rFonts w:asciiTheme="majorBidi" w:hAnsiTheme="majorBidi"/>
        </w:rPr>
      </w:pPr>
      <w:r w:rsidRPr="00067506">
        <w:rPr>
          <w:rFonts w:asciiTheme="majorBidi" w:hAnsiTheme="majorBidi"/>
        </w:rPr>
        <w:t>Land Cover Type</w:t>
      </w:r>
      <w:r w:rsidR="00BA0ABE" w:rsidRPr="00067506">
        <w:rPr>
          <w:rFonts w:asciiTheme="majorBidi" w:hAnsiTheme="majorBidi"/>
        </w:rPr>
        <w:t xml:space="preserve"> Source</w:t>
      </w:r>
      <w:r w:rsidRPr="00067506">
        <w:rPr>
          <w:rFonts w:asciiTheme="majorBidi" w:hAnsiTheme="majorBidi"/>
        </w:rPr>
        <w:t>:</w:t>
      </w:r>
    </w:p>
    <w:p w14:paraId="4F586CC1" w14:textId="6615FB26" w:rsidR="007251DE" w:rsidRPr="00067506" w:rsidRDefault="007251DE" w:rsidP="007251DE">
      <w:pPr>
        <w:pStyle w:val="ListParagraph"/>
        <w:numPr>
          <w:ilvl w:val="0"/>
          <w:numId w:val="21"/>
        </w:numPr>
        <w:tabs>
          <w:tab w:val="left" w:pos="540"/>
        </w:tabs>
        <w:rPr>
          <w:rFonts w:asciiTheme="majorBidi" w:hAnsiTheme="majorBidi" w:cstheme="majorBidi"/>
        </w:rPr>
      </w:pPr>
      <w:r w:rsidRPr="00067506">
        <w:rPr>
          <w:rFonts w:asciiTheme="majorBidi" w:hAnsiTheme="majorBidi" w:cstheme="majorBidi"/>
        </w:rPr>
        <w:t xml:space="preserve">2018 </w:t>
      </w:r>
      <w:r w:rsidR="00BA0ABE" w:rsidRPr="00067506">
        <w:rPr>
          <w:rFonts w:asciiTheme="majorBidi" w:hAnsiTheme="majorBidi" w:cstheme="majorBidi"/>
        </w:rPr>
        <w:t>LANDFIRE's (LF) Existing Vegetation Type (EVT)</w:t>
      </w:r>
      <w:r w:rsidRPr="00067506">
        <w:rPr>
          <w:rFonts w:asciiTheme="majorBidi" w:hAnsiTheme="majorBidi" w:cstheme="majorBidi"/>
        </w:rPr>
        <w:t xml:space="preserve"> – U.S. portion of study area</w:t>
      </w:r>
      <w:r w:rsidR="00BA0ABE" w:rsidRPr="00067506">
        <w:rPr>
          <w:rFonts w:asciiTheme="majorBidi" w:hAnsiTheme="majorBidi" w:cstheme="majorBidi"/>
        </w:rPr>
        <w:t xml:space="preserve"> (</w:t>
      </w:r>
      <w:r w:rsidR="00AA081A" w:rsidRPr="00067506">
        <w:rPr>
          <w:rFonts w:asciiTheme="majorBidi" w:hAnsiTheme="majorBidi" w:cstheme="majorBidi"/>
        </w:rPr>
        <w:t>LANDFIRE. 2018</w:t>
      </w:r>
      <w:r w:rsidR="00BA0ABE" w:rsidRPr="00067506">
        <w:rPr>
          <w:rFonts w:asciiTheme="majorBidi" w:hAnsiTheme="majorBidi" w:cstheme="majorBidi"/>
        </w:rPr>
        <w:t>).</w:t>
      </w:r>
    </w:p>
    <w:p w14:paraId="0E510926" w14:textId="30C33422" w:rsidR="007251DE" w:rsidRPr="00067506" w:rsidRDefault="007251DE" w:rsidP="00BA0ABE">
      <w:pPr>
        <w:pStyle w:val="ListParagraph"/>
        <w:numPr>
          <w:ilvl w:val="0"/>
          <w:numId w:val="21"/>
        </w:numPr>
        <w:tabs>
          <w:tab w:val="left" w:pos="540"/>
        </w:tabs>
        <w:ind w:left="540" w:hanging="180"/>
        <w:rPr>
          <w:rFonts w:asciiTheme="majorBidi" w:hAnsiTheme="majorBidi" w:cstheme="majorBidi"/>
        </w:rPr>
      </w:pPr>
      <w:r w:rsidRPr="00067506">
        <w:rPr>
          <w:rFonts w:asciiTheme="majorBidi" w:hAnsiTheme="majorBidi" w:cstheme="majorBidi"/>
        </w:rPr>
        <w:t xml:space="preserve">North American Land Change Monitoring System (NALCMS) – </w:t>
      </w:r>
      <w:r w:rsidR="00AA081A" w:rsidRPr="00067506">
        <w:rPr>
          <w:rFonts w:asciiTheme="majorBidi" w:hAnsiTheme="majorBidi" w:cstheme="majorBidi"/>
        </w:rPr>
        <w:t xml:space="preserve">Canada </w:t>
      </w:r>
      <w:r w:rsidRPr="00067506">
        <w:rPr>
          <w:rFonts w:asciiTheme="majorBidi" w:hAnsiTheme="majorBidi" w:cstheme="majorBidi"/>
        </w:rPr>
        <w:t>&amp;</w:t>
      </w:r>
      <w:r w:rsidR="00BA0ABE" w:rsidRPr="00067506">
        <w:rPr>
          <w:rFonts w:asciiTheme="majorBidi" w:hAnsiTheme="majorBidi" w:cstheme="majorBidi"/>
        </w:rPr>
        <w:t xml:space="preserve"> </w:t>
      </w:r>
      <w:r w:rsidR="00AA081A" w:rsidRPr="00067506">
        <w:rPr>
          <w:rFonts w:asciiTheme="majorBidi" w:hAnsiTheme="majorBidi" w:cstheme="majorBidi"/>
        </w:rPr>
        <w:t xml:space="preserve">Mexico </w:t>
      </w:r>
      <w:r w:rsidRPr="00067506">
        <w:rPr>
          <w:rFonts w:asciiTheme="majorBidi" w:hAnsiTheme="majorBidi" w:cstheme="majorBidi"/>
        </w:rPr>
        <w:t>portions of study area.</w:t>
      </w:r>
      <w:r w:rsidR="00AA081A" w:rsidRPr="00067506">
        <w:rPr>
          <w:rFonts w:asciiTheme="majorBidi" w:hAnsiTheme="majorBidi" w:cstheme="majorBidi"/>
        </w:rPr>
        <w:t xml:space="preserve"> (North American Land Change Monitoring System. 2020)</w:t>
      </w:r>
    </w:p>
    <w:p w14:paraId="55D8B2E5" w14:textId="4BB3D7EA" w:rsidR="007251DE" w:rsidRPr="00067506" w:rsidRDefault="007251DE" w:rsidP="00BA0ABE">
      <w:r w:rsidRPr="00067506">
        <w:t xml:space="preserve">Land cover layers reclassified to </w:t>
      </w:r>
      <w:r w:rsidR="00A57A45" w:rsidRPr="00067506">
        <w:t xml:space="preserve">habitat suitability </w:t>
      </w:r>
      <w:r w:rsidRPr="00067506">
        <w:t>scores</w:t>
      </w:r>
      <w:r w:rsidR="00A57A45" w:rsidRPr="00067506">
        <w:t xml:space="preserve"> (HSS)</w:t>
      </w:r>
      <w:r w:rsidRPr="00067506">
        <w:t xml:space="preserve"> according to the following tables:</w:t>
      </w:r>
    </w:p>
    <w:p w14:paraId="7553EEF4" w14:textId="4CEB6B70" w:rsidR="007251DE" w:rsidRPr="00067506" w:rsidRDefault="007251DE" w:rsidP="00BA0ABE">
      <w:pPr>
        <w:pStyle w:val="Caption"/>
        <w:rPr>
          <w:rFonts w:asciiTheme="majorBidi" w:hAnsiTheme="majorBidi" w:cstheme="majorBidi"/>
        </w:rPr>
      </w:pPr>
      <w:r w:rsidRPr="00067506">
        <w:rPr>
          <w:rFonts w:asciiTheme="majorBidi" w:hAnsiTheme="majorBidi" w:cstheme="majorBidi"/>
        </w:rPr>
        <w:t xml:space="preserve">Table </w:t>
      </w:r>
      <w:r w:rsidRPr="00067506">
        <w:rPr>
          <w:rFonts w:asciiTheme="majorBidi" w:hAnsiTheme="majorBidi" w:cstheme="majorBidi"/>
        </w:rPr>
        <w:fldChar w:fldCharType="begin"/>
      </w:r>
      <w:r w:rsidRPr="00067506">
        <w:rPr>
          <w:rFonts w:asciiTheme="majorBidi" w:hAnsiTheme="majorBidi" w:cstheme="majorBidi"/>
        </w:rPr>
        <w:instrText xml:space="preserve"> SEQ Table \* ARABIC </w:instrText>
      </w:r>
      <w:r w:rsidRPr="00067506">
        <w:rPr>
          <w:rFonts w:asciiTheme="majorBidi" w:hAnsiTheme="majorBidi" w:cstheme="majorBidi"/>
        </w:rPr>
        <w:fldChar w:fldCharType="separate"/>
      </w:r>
      <w:r w:rsidRPr="00067506">
        <w:rPr>
          <w:rFonts w:asciiTheme="majorBidi" w:hAnsiTheme="majorBidi" w:cstheme="majorBidi"/>
          <w:noProof/>
        </w:rPr>
        <w:t>1</w:t>
      </w:r>
      <w:r w:rsidRPr="00067506">
        <w:rPr>
          <w:rFonts w:asciiTheme="majorBidi" w:hAnsiTheme="majorBidi" w:cstheme="majorBidi"/>
        </w:rPr>
        <w:fldChar w:fldCharType="end"/>
      </w:r>
      <w:r w:rsidRPr="00067506">
        <w:rPr>
          <w:rFonts w:asciiTheme="majorBidi" w:hAnsiTheme="majorBidi" w:cstheme="majorBidi"/>
        </w:rPr>
        <w:t xml:space="preserve">.  </w:t>
      </w:r>
      <w:r w:rsidR="00BA0ABE" w:rsidRPr="00067506">
        <w:rPr>
          <w:rFonts w:asciiTheme="majorBidi" w:hAnsiTheme="majorBidi" w:cstheme="majorBidi"/>
        </w:rPr>
        <w:t xml:space="preserve">LANDFIRE's (LF) Existing Vegetation Type (EVT) </w:t>
      </w:r>
      <w:r w:rsidRPr="00067506">
        <w:rPr>
          <w:rFonts w:asciiTheme="majorBidi" w:hAnsiTheme="majorBidi" w:cstheme="majorBidi"/>
        </w:rPr>
        <w:t>to HS</w:t>
      </w:r>
      <w:r w:rsidR="00A57A45" w:rsidRPr="00067506">
        <w:rPr>
          <w:rFonts w:asciiTheme="majorBidi" w:hAnsiTheme="majorBidi" w:cstheme="majorBidi"/>
        </w:rPr>
        <w:t>S</w:t>
      </w:r>
      <w:r w:rsidRPr="00067506">
        <w:rPr>
          <w:rFonts w:asciiTheme="majorBidi" w:hAnsiTheme="majorBidi" w:cstheme="majorBidi"/>
        </w:rPr>
        <w:t xml:space="preserve"> reclassification. </w:t>
      </w:r>
      <w:r w:rsidR="00BA0ABE" w:rsidRPr="00067506">
        <w:rPr>
          <w:rFonts w:asciiTheme="majorBidi" w:hAnsiTheme="majorBidi" w:cstheme="majorBidi"/>
        </w:rPr>
        <w:br/>
      </w:r>
    </w:p>
    <w:tbl>
      <w:tblPr>
        <w:tblStyle w:val="GridTable1Light"/>
        <w:tblW w:w="5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2653"/>
      </w:tblGrid>
      <w:tr w:rsidR="00BA0ABE" w:rsidRPr="00067506" w14:paraId="09FB0AEB" w14:textId="77777777" w:rsidTr="007251D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2" w:type="dxa"/>
            <w:tcBorders>
              <w:bottom w:val="single" w:sz="12" w:space="0" w:color="auto"/>
            </w:tcBorders>
            <w:noWrap/>
            <w:hideMark/>
          </w:tcPr>
          <w:p w14:paraId="3002F8D5" w14:textId="29DD64FC" w:rsidR="007251DE" w:rsidRPr="00067506" w:rsidRDefault="00BA0ABE" w:rsidP="007251DE">
            <w:pPr>
              <w:spacing w:after="0"/>
              <w:ind w:left="-18"/>
              <w:jc w:val="both"/>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EVT</w:t>
            </w:r>
            <w:r w:rsidR="007251DE" w:rsidRPr="00067506">
              <w:rPr>
                <w:rFonts w:asciiTheme="majorBidi" w:eastAsia="Times New Roman" w:hAnsiTheme="majorBidi" w:cstheme="majorBidi"/>
                <w:b w:val="0"/>
                <w:bCs w:val="0"/>
                <w:szCs w:val="24"/>
              </w:rPr>
              <w:t xml:space="preserve"> class</w:t>
            </w:r>
          </w:p>
        </w:tc>
        <w:tc>
          <w:tcPr>
            <w:tcW w:w="2653" w:type="dxa"/>
            <w:tcBorders>
              <w:bottom w:val="single" w:sz="12" w:space="0" w:color="auto"/>
            </w:tcBorders>
            <w:noWrap/>
            <w:hideMark/>
          </w:tcPr>
          <w:p w14:paraId="7D10D652" w14:textId="5894D726" w:rsidR="007251DE" w:rsidRPr="00067506" w:rsidRDefault="00A57A45" w:rsidP="007251DE">
            <w:pPr>
              <w:spacing w:after="0"/>
              <w:ind w:left="1146" w:hanging="117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HSS</w:t>
            </w:r>
            <w:r w:rsidR="007251DE" w:rsidRPr="00067506">
              <w:rPr>
                <w:rFonts w:asciiTheme="majorBidi" w:eastAsia="Times New Roman" w:hAnsiTheme="majorBidi" w:cstheme="majorBidi"/>
                <w:b w:val="0"/>
                <w:bCs w:val="0"/>
                <w:szCs w:val="24"/>
              </w:rPr>
              <w:t>*</w:t>
            </w:r>
          </w:p>
        </w:tc>
      </w:tr>
      <w:tr w:rsidR="00BA0ABE" w:rsidRPr="00067506" w14:paraId="01D9DF67"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tcBorders>
              <w:top w:val="single" w:sz="12" w:space="0" w:color="auto"/>
            </w:tcBorders>
            <w:noWrap/>
            <w:hideMark/>
          </w:tcPr>
          <w:p w14:paraId="7EDE880C"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Sparsely vegetated</w:t>
            </w:r>
          </w:p>
        </w:tc>
        <w:tc>
          <w:tcPr>
            <w:tcW w:w="2653" w:type="dxa"/>
            <w:tcBorders>
              <w:top w:val="single" w:sz="12" w:space="0" w:color="auto"/>
            </w:tcBorders>
            <w:noWrap/>
            <w:hideMark/>
          </w:tcPr>
          <w:p w14:paraId="3A163AC8" w14:textId="77777777" w:rsidR="007251DE" w:rsidRPr="00067506" w:rsidRDefault="007251DE"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0259B34D"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1E5C369B"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Open tree canopy</w:t>
            </w:r>
          </w:p>
        </w:tc>
        <w:tc>
          <w:tcPr>
            <w:tcW w:w="2653" w:type="dxa"/>
            <w:noWrap/>
            <w:hideMark/>
          </w:tcPr>
          <w:p w14:paraId="52A79706" w14:textId="351A0A32" w:rsidR="007251DE" w:rsidRPr="00067506" w:rsidRDefault="00A57A45"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51</w:t>
            </w:r>
          </w:p>
        </w:tc>
      </w:tr>
      <w:tr w:rsidR="00BA0ABE" w:rsidRPr="00067506" w14:paraId="10BDC366"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46403696"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Closed tree canopy</w:t>
            </w:r>
          </w:p>
        </w:tc>
        <w:tc>
          <w:tcPr>
            <w:tcW w:w="2653" w:type="dxa"/>
            <w:noWrap/>
            <w:hideMark/>
          </w:tcPr>
          <w:p w14:paraId="287AF961" w14:textId="31B3336D" w:rsidR="007251DE" w:rsidRPr="00067506" w:rsidRDefault="00A57A45"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32</w:t>
            </w:r>
          </w:p>
        </w:tc>
      </w:tr>
      <w:tr w:rsidR="00BA0ABE" w:rsidRPr="00067506" w14:paraId="74E79C06"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5AFDECA1"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Dwarf-shrubland</w:t>
            </w:r>
          </w:p>
        </w:tc>
        <w:tc>
          <w:tcPr>
            <w:tcW w:w="2653" w:type="dxa"/>
            <w:noWrap/>
            <w:hideMark/>
          </w:tcPr>
          <w:p w14:paraId="5A6BCEC1" w14:textId="0F9D4878" w:rsidR="007251DE" w:rsidRPr="00067506" w:rsidRDefault="00A57A45"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25</w:t>
            </w:r>
          </w:p>
        </w:tc>
      </w:tr>
      <w:tr w:rsidR="00BA0ABE" w:rsidRPr="00067506" w14:paraId="0DF51784"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7459912E"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Shrubland</w:t>
            </w:r>
          </w:p>
        </w:tc>
        <w:tc>
          <w:tcPr>
            <w:tcW w:w="2653" w:type="dxa"/>
            <w:noWrap/>
            <w:hideMark/>
          </w:tcPr>
          <w:p w14:paraId="2B238D6B" w14:textId="2041522B" w:rsidR="007251DE" w:rsidRPr="00067506" w:rsidRDefault="00A57A45"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44</w:t>
            </w:r>
          </w:p>
        </w:tc>
      </w:tr>
      <w:tr w:rsidR="00BA0ABE" w:rsidRPr="00067506" w14:paraId="3FED6ACD"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0E93EE09"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Sparse tree canopy</w:t>
            </w:r>
          </w:p>
        </w:tc>
        <w:tc>
          <w:tcPr>
            <w:tcW w:w="2653" w:type="dxa"/>
            <w:noWrap/>
            <w:hideMark/>
          </w:tcPr>
          <w:p w14:paraId="5C1F82E5" w14:textId="5E2267A5" w:rsidR="007251DE" w:rsidRPr="00067506" w:rsidRDefault="00A57A45"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51</w:t>
            </w:r>
          </w:p>
        </w:tc>
      </w:tr>
      <w:tr w:rsidR="00BA0ABE" w:rsidRPr="00067506" w14:paraId="304A945F"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12270BA0"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Herbaceous - shrub-steppe</w:t>
            </w:r>
          </w:p>
        </w:tc>
        <w:tc>
          <w:tcPr>
            <w:tcW w:w="2653" w:type="dxa"/>
            <w:noWrap/>
            <w:hideMark/>
          </w:tcPr>
          <w:p w14:paraId="7EF5A1BC" w14:textId="5F79B6C1" w:rsidR="007251DE" w:rsidRPr="00067506" w:rsidRDefault="00A57A45"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44</w:t>
            </w:r>
          </w:p>
        </w:tc>
      </w:tr>
      <w:tr w:rsidR="00BA0ABE" w:rsidRPr="00067506" w14:paraId="1CC49BD0"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382AC9B8"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Herbaceous - grassland</w:t>
            </w:r>
          </w:p>
        </w:tc>
        <w:tc>
          <w:tcPr>
            <w:tcW w:w="2653" w:type="dxa"/>
            <w:noWrap/>
            <w:hideMark/>
          </w:tcPr>
          <w:p w14:paraId="5C895D13" w14:textId="69576CA8" w:rsidR="007251DE" w:rsidRPr="00067506" w:rsidRDefault="00A57A45"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66</w:t>
            </w:r>
          </w:p>
        </w:tc>
      </w:tr>
      <w:tr w:rsidR="00BA0ABE" w:rsidRPr="00067506" w14:paraId="4FE02D18"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3D9A4258"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Non-vegetated</w:t>
            </w:r>
          </w:p>
        </w:tc>
        <w:tc>
          <w:tcPr>
            <w:tcW w:w="2653" w:type="dxa"/>
            <w:noWrap/>
            <w:hideMark/>
          </w:tcPr>
          <w:p w14:paraId="61F00441" w14:textId="77777777" w:rsidR="007251DE" w:rsidRPr="00067506" w:rsidRDefault="007251DE"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17F4BFE9" w14:textId="77777777" w:rsidTr="007251DE">
        <w:trPr>
          <w:trHeight w:val="255"/>
          <w:jc w:val="center"/>
        </w:trPr>
        <w:tc>
          <w:tcPr>
            <w:cnfStyle w:val="001000000000" w:firstRow="0" w:lastRow="0" w:firstColumn="1" w:lastColumn="0" w:oddVBand="0" w:evenVBand="0" w:oddHBand="0" w:evenHBand="0" w:firstRowFirstColumn="0" w:firstRowLastColumn="0" w:lastRowFirstColumn="0" w:lastRowLastColumn="0"/>
            <w:tcW w:w="2792" w:type="dxa"/>
            <w:noWrap/>
            <w:hideMark/>
          </w:tcPr>
          <w:p w14:paraId="662ED8BE" w14:textId="77777777" w:rsidR="007251DE" w:rsidRPr="00067506" w:rsidRDefault="007251DE">
            <w:pPr>
              <w:spacing w:after="0"/>
              <w:ind w:left="-105"/>
              <w:rPr>
                <w:rFonts w:asciiTheme="majorBidi" w:eastAsia="Times New Roman" w:hAnsiTheme="majorBidi" w:cstheme="majorBidi"/>
                <w:b w:val="0"/>
                <w:bCs w:val="0"/>
                <w:szCs w:val="24"/>
              </w:rPr>
            </w:pPr>
            <w:r w:rsidRPr="00067506">
              <w:rPr>
                <w:rFonts w:asciiTheme="majorBidi" w:eastAsia="Times New Roman" w:hAnsiTheme="majorBidi" w:cstheme="majorBidi"/>
                <w:b w:val="0"/>
                <w:bCs w:val="0"/>
                <w:szCs w:val="24"/>
              </w:rPr>
              <w:t>No Dominant Lifeform</w:t>
            </w:r>
          </w:p>
        </w:tc>
        <w:tc>
          <w:tcPr>
            <w:tcW w:w="2653" w:type="dxa"/>
            <w:noWrap/>
            <w:hideMark/>
          </w:tcPr>
          <w:p w14:paraId="2E3DE7DC" w14:textId="77777777" w:rsidR="007251DE" w:rsidRPr="00067506" w:rsidRDefault="007251DE" w:rsidP="007251DE">
            <w:pPr>
              <w:spacing w:after="0"/>
              <w:ind w:left="-105"/>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bl>
    <w:p w14:paraId="23731115" w14:textId="77777777" w:rsidR="007251DE" w:rsidRPr="00067506" w:rsidRDefault="007251DE" w:rsidP="007251DE">
      <w:pPr>
        <w:ind w:left="1350" w:hanging="432"/>
        <w:rPr>
          <w:rFonts w:asciiTheme="majorBidi" w:hAnsiTheme="majorBidi" w:cstheme="majorBidi"/>
          <w:szCs w:val="24"/>
        </w:rPr>
      </w:pPr>
    </w:p>
    <w:p w14:paraId="2C32E4FC" w14:textId="77777777" w:rsidR="007251DE" w:rsidRPr="00067506" w:rsidRDefault="007251DE">
      <w:pPr>
        <w:spacing w:before="0" w:after="200" w:line="276" w:lineRule="auto"/>
        <w:rPr>
          <w:rFonts w:asciiTheme="majorBidi" w:hAnsiTheme="majorBidi" w:cstheme="majorBidi"/>
          <w:b/>
          <w:bCs/>
          <w:szCs w:val="24"/>
        </w:rPr>
      </w:pPr>
      <w:r w:rsidRPr="00067506">
        <w:rPr>
          <w:rFonts w:asciiTheme="majorBidi" w:hAnsiTheme="majorBidi" w:cstheme="majorBidi"/>
          <w:szCs w:val="24"/>
        </w:rPr>
        <w:br w:type="page"/>
      </w:r>
    </w:p>
    <w:p w14:paraId="10631864" w14:textId="5B4E2D3A" w:rsidR="007251DE" w:rsidRPr="00067506" w:rsidRDefault="007251DE" w:rsidP="00BA0ABE">
      <w:pPr>
        <w:pStyle w:val="Caption"/>
        <w:ind w:left="1350"/>
        <w:rPr>
          <w:rFonts w:asciiTheme="majorBidi" w:hAnsiTheme="majorBidi" w:cstheme="majorBidi"/>
        </w:rPr>
      </w:pPr>
      <w:r w:rsidRPr="00067506">
        <w:rPr>
          <w:rFonts w:asciiTheme="majorBidi" w:hAnsiTheme="majorBidi" w:cstheme="majorBidi"/>
        </w:rPr>
        <w:t xml:space="preserve">Table </w:t>
      </w:r>
      <w:r w:rsidRPr="00067506">
        <w:rPr>
          <w:rFonts w:asciiTheme="majorBidi" w:hAnsiTheme="majorBidi" w:cstheme="majorBidi"/>
        </w:rPr>
        <w:fldChar w:fldCharType="begin"/>
      </w:r>
      <w:r w:rsidRPr="00067506">
        <w:rPr>
          <w:rFonts w:asciiTheme="majorBidi" w:hAnsiTheme="majorBidi" w:cstheme="majorBidi"/>
        </w:rPr>
        <w:instrText xml:space="preserve"> SEQ Table \* ARABIC </w:instrText>
      </w:r>
      <w:r w:rsidRPr="00067506">
        <w:rPr>
          <w:rFonts w:asciiTheme="majorBidi" w:hAnsiTheme="majorBidi" w:cstheme="majorBidi"/>
        </w:rPr>
        <w:fldChar w:fldCharType="separate"/>
      </w:r>
      <w:r w:rsidRPr="00067506">
        <w:rPr>
          <w:rFonts w:asciiTheme="majorBidi" w:hAnsiTheme="majorBidi" w:cstheme="majorBidi"/>
          <w:noProof/>
        </w:rPr>
        <w:t>2</w:t>
      </w:r>
      <w:r w:rsidRPr="00067506">
        <w:rPr>
          <w:rFonts w:asciiTheme="majorBidi" w:hAnsiTheme="majorBidi" w:cstheme="majorBidi"/>
          <w:noProof/>
        </w:rPr>
        <w:fldChar w:fldCharType="end"/>
      </w:r>
      <w:r w:rsidR="00BA0ABE" w:rsidRPr="00067506">
        <w:rPr>
          <w:rFonts w:asciiTheme="majorBidi" w:hAnsiTheme="majorBidi" w:cstheme="majorBidi"/>
          <w:noProof/>
        </w:rPr>
        <w:t>.</w:t>
      </w:r>
      <w:r w:rsidR="00BA0ABE" w:rsidRPr="00067506">
        <w:rPr>
          <w:rFonts w:asciiTheme="majorBidi" w:hAnsiTheme="majorBidi" w:cstheme="majorBidi"/>
        </w:rPr>
        <w:t xml:space="preserve"> North American Land Change Monitoring System (NALCMS) </w:t>
      </w:r>
      <w:r w:rsidRPr="00067506">
        <w:rPr>
          <w:rFonts w:asciiTheme="majorBidi" w:hAnsiTheme="majorBidi" w:cstheme="majorBidi"/>
        </w:rPr>
        <w:t xml:space="preserve">to HSI reclassification. </w:t>
      </w:r>
    </w:p>
    <w:tbl>
      <w:tblPr>
        <w:tblW w:w="6510" w:type="dxa"/>
        <w:tblInd w:w="1234" w:type="dxa"/>
        <w:tblLook w:val="04A0" w:firstRow="1" w:lastRow="0" w:firstColumn="1" w:lastColumn="0" w:noHBand="0" w:noVBand="1"/>
      </w:tblPr>
      <w:tblGrid>
        <w:gridCol w:w="816"/>
        <w:gridCol w:w="4540"/>
        <w:gridCol w:w="1220"/>
      </w:tblGrid>
      <w:tr w:rsidR="00BA0ABE" w:rsidRPr="00067506" w14:paraId="02CE6DC8" w14:textId="77777777" w:rsidTr="007251DE">
        <w:trPr>
          <w:trHeight w:val="255"/>
        </w:trPr>
        <w:tc>
          <w:tcPr>
            <w:tcW w:w="750" w:type="dxa"/>
            <w:tcBorders>
              <w:bottom w:val="single" w:sz="12" w:space="0" w:color="auto"/>
            </w:tcBorders>
            <w:shd w:val="clear" w:color="auto" w:fill="auto"/>
            <w:noWrap/>
            <w:vAlign w:val="bottom"/>
            <w:hideMark/>
          </w:tcPr>
          <w:p w14:paraId="44AB6BED" w14:textId="77777777" w:rsidR="007251DE" w:rsidRPr="00067506" w:rsidRDefault="007251DE">
            <w:pPr>
              <w:spacing w:after="0"/>
              <w:rPr>
                <w:rFonts w:asciiTheme="majorBidi" w:eastAsia="Times New Roman" w:hAnsiTheme="majorBidi" w:cstheme="majorBidi"/>
                <w:b/>
                <w:bCs/>
                <w:szCs w:val="24"/>
              </w:rPr>
            </w:pPr>
            <w:r w:rsidRPr="00067506">
              <w:rPr>
                <w:rFonts w:asciiTheme="majorBidi" w:eastAsia="Times New Roman" w:hAnsiTheme="majorBidi" w:cstheme="majorBidi"/>
                <w:b/>
                <w:bCs/>
                <w:szCs w:val="24"/>
              </w:rPr>
              <w:t>Value</w:t>
            </w:r>
          </w:p>
        </w:tc>
        <w:tc>
          <w:tcPr>
            <w:tcW w:w="4540" w:type="dxa"/>
            <w:tcBorders>
              <w:bottom w:val="single" w:sz="12" w:space="0" w:color="auto"/>
            </w:tcBorders>
            <w:shd w:val="clear" w:color="auto" w:fill="auto"/>
            <w:noWrap/>
            <w:vAlign w:val="bottom"/>
            <w:hideMark/>
          </w:tcPr>
          <w:p w14:paraId="7F583464" w14:textId="77777777" w:rsidR="007251DE" w:rsidRPr="00067506" w:rsidRDefault="007251DE">
            <w:pPr>
              <w:spacing w:after="0"/>
              <w:rPr>
                <w:rFonts w:asciiTheme="majorBidi" w:eastAsia="Times New Roman" w:hAnsiTheme="majorBidi" w:cstheme="majorBidi"/>
                <w:b/>
                <w:bCs/>
                <w:szCs w:val="24"/>
              </w:rPr>
            </w:pPr>
            <w:r w:rsidRPr="00067506">
              <w:rPr>
                <w:rFonts w:asciiTheme="majorBidi" w:eastAsia="Times New Roman" w:hAnsiTheme="majorBidi" w:cstheme="majorBidi"/>
                <w:b/>
                <w:bCs/>
                <w:szCs w:val="24"/>
              </w:rPr>
              <w:t>Class</w:t>
            </w:r>
          </w:p>
        </w:tc>
        <w:tc>
          <w:tcPr>
            <w:tcW w:w="1220" w:type="dxa"/>
            <w:tcBorders>
              <w:bottom w:val="single" w:sz="12" w:space="0" w:color="auto"/>
            </w:tcBorders>
            <w:shd w:val="clear" w:color="auto" w:fill="auto"/>
            <w:noWrap/>
            <w:vAlign w:val="bottom"/>
            <w:hideMark/>
          </w:tcPr>
          <w:p w14:paraId="75DEE399" w14:textId="6129FDFC" w:rsidR="007251DE" w:rsidRPr="00067506" w:rsidRDefault="00A57A45" w:rsidP="00A57A45">
            <w:pPr>
              <w:spacing w:after="0"/>
              <w:jc w:val="center"/>
              <w:rPr>
                <w:rFonts w:asciiTheme="majorBidi" w:eastAsia="Times New Roman" w:hAnsiTheme="majorBidi" w:cstheme="majorBidi"/>
                <w:b/>
                <w:bCs/>
                <w:szCs w:val="24"/>
              </w:rPr>
            </w:pPr>
            <w:r w:rsidRPr="00067506">
              <w:rPr>
                <w:rFonts w:asciiTheme="majorBidi" w:eastAsia="Times New Roman" w:hAnsiTheme="majorBidi" w:cstheme="majorBidi"/>
                <w:b/>
                <w:bCs/>
                <w:szCs w:val="24"/>
              </w:rPr>
              <w:t>HSS</w:t>
            </w:r>
          </w:p>
        </w:tc>
      </w:tr>
      <w:tr w:rsidR="00BA0ABE" w:rsidRPr="00067506" w14:paraId="6D253292" w14:textId="77777777" w:rsidTr="007251DE">
        <w:trPr>
          <w:trHeight w:val="255"/>
        </w:trPr>
        <w:tc>
          <w:tcPr>
            <w:tcW w:w="750" w:type="dxa"/>
            <w:tcBorders>
              <w:top w:val="single" w:sz="12" w:space="0" w:color="auto"/>
            </w:tcBorders>
            <w:shd w:val="clear" w:color="auto" w:fill="auto"/>
            <w:noWrap/>
            <w:vAlign w:val="bottom"/>
            <w:hideMark/>
          </w:tcPr>
          <w:p w14:paraId="4456353F"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w:t>
            </w:r>
          </w:p>
        </w:tc>
        <w:tc>
          <w:tcPr>
            <w:tcW w:w="4540" w:type="dxa"/>
            <w:tcBorders>
              <w:top w:val="single" w:sz="12" w:space="0" w:color="auto"/>
            </w:tcBorders>
            <w:shd w:val="clear" w:color="auto" w:fill="auto"/>
            <w:noWrap/>
            <w:vAlign w:val="bottom"/>
            <w:hideMark/>
          </w:tcPr>
          <w:p w14:paraId="3A459672"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Temperate or sub-polar needleleaf forest</w:t>
            </w:r>
          </w:p>
        </w:tc>
        <w:tc>
          <w:tcPr>
            <w:tcW w:w="1220" w:type="dxa"/>
            <w:tcBorders>
              <w:top w:val="single" w:sz="12" w:space="0" w:color="auto"/>
            </w:tcBorders>
            <w:shd w:val="clear" w:color="auto" w:fill="auto"/>
            <w:noWrap/>
            <w:vAlign w:val="bottom"/>
            <w:hideMark/>
          </w:tcPr>
          <w:p w14:paraId="1AA954C1" w14:textId="0919F969"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36</w:t>
            </w:r>
          </w:p>
        </w:tc>
      </w:tr>
      <w:tr w:rsidR="00BA0ABE" w:rsidRPr="00067506" w14:paraId="1D8D338F" w14:textId="77777777" w:rsidTr="007251DE">
        <w:trPr>
          <w:trHeight w:val="255"/>
        </w:trPr>
        <w:tc>
          <w:tcPr>
            <w:tcW w:w="750" w:type="dxa"/>
            <w:shd w:val="clear" w:color="auto" w:fill="auto"/>
            <w:noWrap/>
            <w:vAlign w:val="bottom"/>
            <w:hideMark/>
          </w:tcPr>
          <w:p w14:paraId="47120FA9"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2</w:t>
            </w:r>
          </w:p>
        </w:tc>
        <w:tc>
          <w:tcPr>
            <w:tcW w:w="4540" w:type="dxa"/>
            <w:shd w:val="clear" w:color="auto" w:fill="auto"/>
            <w:noWrap/>
            <w:vAlign w:val="bottom"/>
            <w:hideMark/>
          </w:tcPr>
          <w:p w14:paraId="1AEFB3B8"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Sub-polar taiga needleleaf forest</w:t>
            </w:r>
          </w:p>
        </w:tc>
        <w:tc>
          <w:tcPr>
            <w:tcW w:w="1220" w:type="dxa"/>
            <w:shd w:val="clear" w:color="auto" w:fill="auto"/>
            <w:noWrap/>
            <w:vAlign w:val="bottom"/>
            <w:hideMark/>
          </w:tcPr>
          <w:p w14:paraId="78CE4DD7" w14:textId="37F382D8"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36</w:t>
            </w:r>
          </w:p>
        </w:tc>
      </w:tr>
      <w:tr w:rsidR="00BA0ABE" w:rsidRPr="00067506" w14:paraId="12F5E678" w14:textId="77777777" w:rsidTr="007251DE">
        <w:trPr>
          <w:trHeight w:val="255"/>
        </w:trPr>
        <w:tc>
          <w:tcPr>
            <w:tcW w:w="750" w:type="dxa"/>
            <w:shd w:val="clear" w:color="auto" w:fill="auto"/>
            <w:noWrap/>
            <w:vAlign w:val="bottom"/>
            <w:hideMark/>
          </w:tcPr>
          <w:p w14:paraId="4CFFB191"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3</w:t>
            </w:r>
          </w:p>
        </w:tc>
        <w:tc>
          <w:tcPr>
            <w:tcW w:w="4540" w:type="dxa"/>
            <w:shd w:val="clear" w:color="auto" w:fill="auto"/>
            <w:noWrap/>
            <w:vAlign w:val="bottom"/>
            <w:hideMark/>
          </w:tcPr>
          <w:p w14:paraId="084BDF7F"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Tropical or sub-tropical broadleaf evergreen forest</w:t>
            </w:r>
          </w:p>
        </w:tc>
        <w:tc>
          <w:tcPr>
            <w:tcW w:w="1220" w:type="dxa"/>
            <w:shd w:val="clear" w:color="auto" w:fill="auto"/>
            <w:noWrap/>
            <w:vAlign w:val="bottom"/>
            <w:hideMark/>
          </w:tcPr>
          <w:p w14:paraId="61C9BA1D"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00DB09F8" w14:textId="77777777" w:rsidTr="007251DE">
        <w:trPr>
          <w:trHeight w:val="255"/>
        </w:trPr>
        <w:tc>
          <w:tcPr>
            <w:tcW w:w="750" w:type="dxa"/>
            <w:shd w:val="clear" w:color="auto" w:fill="auto"/>
            <w:noWrap/>
            <w:vAlign w:val="bottom"/>
            <w:hideMark/>
          </w:tcPr>
          <w:p w14:paraId="7E974DB3"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4</w:t>
            </w:r>
          </w:p>
        </w:tc>
        <w:tc>
          <w:tcPr>
            <w:tcW w:w="4540" w:type="dxa"/>
            <w:shd w:val="clear" w:color="auto" w:fill="auto"/>
            <w:noWrap/>
            <w:vAlign w:val="bottom"/>
            <w:hideMark/>
          </w:tcPr>
          <w:p w14:paraId="0D8CD081"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Tropical or sub-tropical broadleaf deciduous forest</w:t>
            </w:r>
          </w:p>
        </w:tc>
        <w:tc>
          <w:tcPr>
            <w:tcW w:w="1220" w:type="dxa"/>
            <w:shd w:val="clear" w:color="auto" w:fill="auto"/>
            <w:noWrap/>
            <w:vAlign w:val="bottom"/>
            <w:hideMark/>
          </w:tcPr>
          <w:p w14:paraId="6E279DBB" w14:textId="25B8109A"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27</w:t>
            </w:r>
          </w:p>
        </w:tc>
      </w:tr>
      <w:tr w:rsidR="00BA0ABE" w:rsidRPr="00067506" w14:paraId="731BFF5F" w14:textId="77777777" w:rsidTr="007251DE">
        <w:trPr>
          <w:trHeight w:val="255"/>
        </w:trPr>
        <w:tc>
          <w:tcPr>
            <w:tcW w:w="750" w:type="dxa"/>
            <w:shd w:val="clear" w:color="auto" w:fill="auto"/>
            <w:noWrap/>
            <w:vAlign w:val="bottom"/>
            <w:hideMark/>
          </w:tcPr>
          <w:p w14:paraId="6E1A2C75"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5</w:t>
            </w:r>
          </w:p>
        </w:tc>
        <w:tc>
          <w:tcPr>
            <w:tcW w:w="4540" w:type="dxa"/>
            <w:shd w:val="clear" w:color="auto" w:fill="auto"/>
            <w:noWrap/>
            <w:vAlign w:val="bottom"/>
            <w:hideMark/>
          </w:tcPr>
          <w:p w14:paraId="7D287BA3"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Temperate or sub-polar broadleaf deciduous forest</w:t>
            </w:r>
          </w:p>
        </w:tc>
        <w:tc>
          <w:tcPr>
            <w:tcW w:w="1220" w:type="dxa"/>
            <w:shd w:val="clear" w:color="auto" w:fill="auto"/>
            <w:noWrap/>
            <w:vAlign w:val="bottom"/>
            <w:hideMark/>
          </w:tcPr>
          <w:p w14:paraId="151C209E" w14:textId="240FC6C5"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27</w:t>
            </w:r>
          </w:p>
        </w:tc>
      </w:tr>
      <w:tr w:rsidR="00BA0ABE" w:rsidRPr="00067506" w14:paraId="428725F9" w14:textId="77777777" w:rsidTr="007251DE">
        <w:trPr>
          <w:trHeight w:val="255"/>
        </w:trPr>
        <w:tc>
          <w:tcPr>
            <w:tcW w:w="750" w:type="dxa"/>
            <w:shd w:val="clear" w:color="auto" w:fill="auto"/>
            <w:noWrap/>
            <w:vAlign w:val="bottom"/>
            <w:hideMark/>
          </w:tcPr>
          <w:p w14:paraId="1420E5A3"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6</w:t>
            </w:r>
          </w:p>
        </w:tc>
        <w:tc>
          <w:tcPr>
            <w:tcW w:w="4540" w:type="dxa"/>
            <w:shd w:val="clear" w:color="auto" w:fill="auto"/>
            <w:noWrap/>
            <w:vAlign w:val="bottom"/>
            <w:hideMark/>
          </w:tcPr>
          <w:p w14:paraId="4D165716"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Mixed Forest</w:t>
            </w:r>
          </w:p>
        </w:tc>
        <w:tc>
          <w:tcPr>
            <w:tcW w:w="1220" w:type="dxa"/>
            <w:shd w:val="clear" w:color="auto" w:fill="auto"/>
            <w:noWrap/>
            <w:vAlign w:val="bottom"/>
            <w:hideMark/>
          </w:tcPr>
          <w:p w14:paraId="6D17BBA9" w14:textId="79714821"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31</w:t>
            </w:r>
          </w:p>
        </w:tc>
      </w:tr>
      <w:tr w:rsidR="00BA0ABE" w:rsidRPr="00067506" w14:paraId="73782DDA" w14:textId="77777777" w:rsidTr="007251DE">
        <w:trPr>
          <w:trHeight w:val="255"/>
        </w:trPr>
        <w:tc>
          <w:tcPr>
            <w:tcW w:w="750" w:type="dxa"/>
            <w:shd w:val="clear" w:color="auto" w:fill="auto"/>
            <w:noWrap/>
            <w:vAlign w:val="bottom"/>
            <w:hideMark/>
          </w:tcPr>
          <w:p w14:paraId="55C8AABB"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7</w:t>
            </w:r>
          </w:p>
        </w:tc>
        <w:tc>
          <w:tcPr>
            <w:tcW w:w="4540" w:type="dxa"/>
            <w:shd w:val="clear" w:color="auto" w:fill="auto"/>
            <w:noWrap/>
            <w:vAlign w:val="bottom"/>
            <w:hideMark/>
          </w:tcPr>
          <w:p w14:paraId="0E4AA9A5"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Tropical or sub-tropical shrubland</w:t>
            </w:r>
          </w:p>
        </w:tc>
        <w:tc>
          <w:tcPr>
            <w:tcW w:w="1220" w:type="dxa"/>
            <w:shd w:val="clear" w:color="auto" w:fill="auto"/>
            <w:noWrap/>
            <w:vAlign w:val="bottom"/>
            <w:hideMark/>
          </w:tcPr>
          <w:p w14:paraId="615ACD05" w14:textId="615A3ED6"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44</w:t>
            </w:r>
          </w:p>
        </w:tc>
      </w:tr>
      <w:tr w:rsidR="00BA0ABE" w:rsidRPr="00067506" w14:paraId="7234EEB0" w14:textId="77777777" w:rsidTr="007251DE">
        <w:trPr>
          <w:trHeight w:val="255"/>
        </w:trPr>
        <w:tc>
          <w:tcPr>
            <w:tcW w:w="750" w:type="dxa"/>
            <w:shd w:val="clear" w:color="auto" w:fill="auto"/>
            <w:noWrap/>
            <w:vAlign w:val="bottom"/>
            <w:hideMark/>
          </w:tcPr>
          <w:p w14:paraId="6483F9C2"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8</w:t>
            </w:r>
          </w:p>
        </w:tc>
        <w:tc>
          <w:tcPr>
            <w:tcW w:w="4540" w:type="dxa"/>
            <w:shd w:val="clear" w:color="auto" w:fill="auto"/>
            <w:noWrap/>
            <w:vAlign w:val="bottom"/>
            <w:hideMark/>
          </w:tcPr>
          <w:p w14:paraId="3611612B"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Temperate or sub-polar shrubland</w:t>
            </w:r>
          </w:p>
        </w:tc>
        <w:tc>
          <w:tcPr>
            <w:tcW w:w="1220" w:type="dxa"/>
            <w:shd w:val="clear" w:color="auto" w:fill="auto"/>
            <w:noWrap/>
            <w:vAlign w:val="bottom"/>
            <w:hideMark/>
          </w:tcPr>
          <w:p w14:paraId="53C9725B" w14:textId="427B17F3"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44</w:t>
            </w:r>
          </w:p>
        </w:tc>
      </w:tr>
      <w:tr w:rsidR="00BA0ABE" w:rsidRPr="00067506" w14:paraId="14128C80" w14:textId="77777777" w:rsidTr="007251DE">
        <w:trPr>
          <w:trHeight w:val="255"/>
        </w:trPr>
        <w:tc>
          <w:tcPr>
            <w:tcW w:w="750" w:type="dxa"/>
            <w:shd w:val="clear" w:color="auto" w:fill="auto"/>
            <w:noWrap/>
            <w:vAlign w:val="bottom"/>
            <w:hideMark/>
          </w:tcPr>
          <w:p w14:paraId="73B5C9C6"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9</w:t>
            </w:r>
          </w:p>
        </w:tc>
        <w:tc>
          <w:tcPr>
            <w:tcW w:w="4540" w:type="dxa"/>
            <w:shd w:val="clear" w:color="auto" w:fill="auto"/>
            <w:noWrap/>
            <w:vAlign w:val="bottom"/>
            <w:hideMark/>
          </w:tcPr>
          <w:p w14:paraId="200AAA3E"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Tropical or sub-tropical grassland</w:t>
            </w:r>
          </w:p>
        </w:tc>
        <w:tc>
          <w:tcPr>
            <w:tcW w:w="1220" w:type="dxa"/>
            <w:shd w:val="clear" w:color="auto" w:fill="auto"/>
            <w:noWrap/>
            <w:vAlign w:val="bottom"/>
            <w:hideMark/>
          </w:tcPr>
          <w:p w14:paraId="5431C2FF" w14:textId="5681F14B"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66</w:t>
            </w:r>
          </w:p>
        </w:tc>
      </w:tr>
      <w:tr w:rsidR="00BA0ABE" w:rsidRPr="00067506" w14:paraId="28652944" w14:textId="77777777" w:rsidTr="007251DE">
        <w:trPr>
          <w:trHeight w:val="255"/>
        </w:trPr>
        <w:tc>
          <w:tcPr>
            <w:tcW w:w="750" w:type="dxa"/>
            <w:shd w:val="clear" w:color="auto" w:fill="auto"/>
            <w:noWrap/>
            <w:vAlign w:val="bottom"/>
            <w:hideMark/>
          </w:tcPr>
          <w:p w14:paraId="26A4D881"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10</w:t>
            </w:r>
          </w:p>
        </w:tc>
        <w:tc>
          <w:tcPr>
            <w:tcW w:w="4540" w:type="dxa"/>
            <w:shd w:val="clear" w:color="auto" w:fill="auto"/>
            <w:noWrap/>
            <w:vAlign w:val="bottom"/>
            <w:hideMark/>
          </w:tcPr>
          <w:p w14:paraId="1D1283B7"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Temperate or sub-polar grassland</w:t>
            </w:r>
          </w:p>
        </w:tc>
        <w:tc>
          <w:tcPr>
            <w:tcW w:w="1220" w:type="dxa"/>
            <w:shd w:val="clear" w:color="auto" w:fill="auto"/>
            <w:noWrap/>
            <w:vAlign w:val="bottom"/>
            <w:hideMark/>
          </w:tcPr>
          <w:p w14:paraId="6A53B575" w14:textId="5A4BCF67" w:rsidR="007251DE" w:rsidRPr="00067506" w:rsidRDefault="00A57A45"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r w:rsidR="007251DE" w:rsidRPr="00067506">
              <w:rPr>
                <w:rFonts w:asciiTheme="majorBidi" w:eastAsia="Times New Roman" w:hAnsiTheme="majorBidi" w:cstheme="majorBidi"/>
                <w:szCs w:val="24"/>
              </w:rPr>
              <w:t>66</w:t>
            </w:r>
          </w:p>
        </w:tc>
      </w:tr>
      <w:tr w:rsidR="00BA0ABE" w:rsidRPr="00067506" w14:paraId="2EC107B2" w14:textId="77777777" w:rsidTr="007251DE">
        <w:trPr>
          <w:trHeight w:val="255"/>
        </w:trPr>
        <w:tc>
          <w:tcPr>
            <w:tcW w:w="750" w:type="dxa"/>
            <w:shd w:val="clear" w:color="auto" w:fill="auto"/>
            <w:noWrap/>
            <w:vAlign w:val="bottom"/>
            <w:hideMark/>
          </w:tcPr>
          <w:p w14:paraId="4BECCE6C"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11</w:t>
            </w:r>
          </w:p>
        </w:tc>
        <w:tc>
          <w:tcPr>
            <w:tcW w:w="4540" w:type="dxa"/>
            <w:shd w:val="clear" w:color="auto" w:fill="auto"/>
            <w:noWrap/>
            <w:vAlign w:val="bottom"/>
            <w:hideMark/>
          </w:tcPr>
          <w:p w14:paraId="56B7F254"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Sub-polar or polar shrubland-lichen-moss</w:t>
            </w:r>
          </w:p>
        </w:tc>
        <w:tc>
          <w:tcPr>
            <w:tcW w:w="1220" w:type="dxa"/>
            <w:shd w:val="clear" w:color="auto" w:fill="auto"/>
            <w:noWrap/>
            <w:vAlign w:val="bottom"/>
            <w:hideMark/>
          </w:tcPr>
          <w:p w14:paraId="69D86C56"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21BB28CC" w14:textId="77777777" w:rsidTr="007251DE">
        <w:trPr>
          <w:trHeight w:val="255"/>
        </w:trPr>
        <w:tc>
          <w:tcPr>
            <w:tcW w:w="750" w:type="dxa"/>
            <w:shd w:val="clear" w:color="auto" w:fill="auto"/>
            <w:noWrap/>
            <w:vAlign w:val="bottom"/>
            <w:hideMark/>
          </w:tcPr>
          <w:p w14:paraId="3E50F315"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12</w:t>
            </w:r>
          </w:p>
        </w:tc>
        <w:tc>
          <w:tcPr>
            <w:tcW w:w="4540" w:type="dxa"/>
            <w:shd w:val="clear" w:color="auto" w:fill="auto"/>
            <w:noWrap/>
            <w:vAlign w:val="bottom"/>
            <w:hideMark/>
          </w:tcPr>
          <w:p w14:paraId="428A480B"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Sub-polar or polar grassland-lichen-moss</w:t>
            </w:r>
          </w:p>
        </w:tc>
        <w:tc>
          <w:tcPr>
            <w:tcW w:w="1220" w:type="dxa"/>
            <w:shd w:val="clear" w:color="auto" w:fill="auto"/>
            <w:noWrap/>
            <w:vAlign w:val="bottom"/>
            <w:hideMark/>
          </w:tcPr>
          <w:p w14:paraId="4DFA988D"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59A12D48" w14:textId="77777777" w:rsidTr="007251DE">
        <w:trPr>
          <w:trHeight w:val="255"/>
        </w:trPr>
        <w:tc>
          <w:tcPr>
            <w:tcW w:w="750" w:type="dxa"/>
            <w:shd w:val="clear" w:color="auto" w:fill="auto"/>
            <w:noWrap/>
            <w:vAlign w:val="bottom"/>
            <w:hideMark/>
          </w:tcPr>
          <w:p w14:paraId="2418F034"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13</w:t>
            </w:r>
          </w:p>
        </w:tc>
        <w:tc>
          <w:tcPr>
            <w:tcW w:w="4540" w:type="dxa"/>
            <w:shd w:val="clear" w:color="auto" w:fill="auto"/>
            <w:noWrap/>
            <w:vAlign w:val="bottom"/>
            <w:hideMark/>
          </w:tcPr>
          <w:p w14:paraId="6BC3C96A"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Sub-polar or polar barren-lichen-moss</w:t>
            </w:r>
          </w:p>
        </w:tc>
        <w:tc>
          <w:tcPr>
            <w:tcW w:w="1220" w:type="dxa"/>
            <w:shd w:val="clear" w:color="auto" w:fill="auto"/>
            <w:noWrap/>
            <w:vAlign w:val="bottom"/>
            <w:hideMark/>
          </w:tcPr>
          <w:p w14:paraId="5112CF22"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45553E8E" w14:textId="77777777" w:rsidTr="007251DE">
        <w:trPr>
          <w:trHeight w:val="255"/>
        </w:trPr>
        <w:tc>
          <w:tcPr>
            <w:tcW w:w="750" w:type="dxa"/>
            <w:shd w:val="clear" w:color="auto" w:fill="auto"/>
            <w:noWrap/>
            <w:vAlign w:val="bottom"/>
            <w:hideMark/>
          </w:tcPr>
          <w:p w14:paraId="17530C82"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14</w:t>
            </w:r>
          </w:p>
        </w:tc>
        <w:tc>
          <w:tcPr>
            <w:tcW w:w="4540" w:type="dxa"/>
            <w:shd w:val="clear" w:color="auto" w:fill="auto"/>
            <w:noWrap/>
            <w:vAlign w:val="bottom"/>
            <w:hideMark/>
          </w:tcPr>
          <w:p w14:paraId="68139989"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Wetland</w:t>
            </w:r>
          </w:p>
        </w:tc>
        <w:tc>
          <w:tcPr>
            <w:tcW w:w="1220" w:type="dxa"/>
            <w:shd w:val="clear" w:color="auto" w:fill="auto"/>
            <w:noWrap/>
            <w:vAlign w:val="bottom"/>
            <w:hideMark/>
          </w:tcPr>
          <w:p w14:paraId="52F61375"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68015246" w14:textId="77777777" w:rsidTr="007251DE">
        <w:trPr>
          <w:trHeight w:val="255"/>
        </w:trPr>
        <w:tc>
          <w:tcPr>
            <w:tcW w:w="750" w:type="dxa"/>
            <w:shd w:val="clear" w:color="auto" w:fill="auto"/>
            <w:noWrap/>
            <w:vAlign w:val="bottom"/>
            <w:hideMark/>
          </w:tcPr>
          <w:p w14:paraId="724D9943"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15</w:t>
            </w:r>
          </w:p>
        </w:tc>
        <w:tc>
          <w:tcPr>
            <w:tcW w:w="4540" w:type="dxa"/>
            <w:shd w:val="clear" w:color="auto" w:fill="auto"/>
            <w:noWrap/>
            <w:vAlign w:val="bottom"/>
            <w:hideMark/>
          </w:tcPr>
          <w:p w14:paraId="25FD8AB7"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Cropland</w:t>
            </w:r>
          </w:p>
        </w:tc>
        <w:tc>
          <w:tcPr>
            <w:tcW w:w="1220" w:type="dxa"/>
            <w:shd w:val="clear" w:color="auto" w:fill="auto"/>
            <w:noWrap/>
            <w:vAlign w:val="bottom"/>
            <w:hideMark/>
          </w:tcPr>
          <w:p w14:paraId="0ABF4D33"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3A4D24CA" w14:textId="77777777" w:rsidTr="007251DE">
        <w:trPr>
          <w:trHeight w:val="255"/>
        </w:trPr>
        <w:tc>
          <w:tcPr>
            <w:tcW w:w="750" w:type="dxa"/>
            <w:shd w:val="clear" w:color="auto" w:fill="auto"/>
            <w:noWrap/>
            <w:vAlign w:val="bottom"/>
            <w:hideMark/>
          </w:tcPr>
          <w:p w14:paraId="15BE42D7"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16</w:t>
            </w:r>
          </w:p>
        </w:tc>
        <w:tc>
          <w:tcPr>
            <w:tcW w:w="4540" w:type="dxa"/>
            <w:shd w:val="clear" w:color="auto" w:fill="auto"/>
            <w:noWrap/>
            <w:vAlign w:val="bottom"/>
            <w:hideMark/>
          </w:tcPr>
          <w:p w14:paraId="3F16EBCD"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Barren Lands</w:t>
            </w:r>
          </w:p>
        </w:tc>
        <w:tc>
          <w:tcPr>
            <w:tcW w:w="1220" w:type="dxa"/>
            <w:shd w:val="clear" w:color="auto" w:fill="auto"/>
            <w:noWrap/>
            <w:vAlign w:val="bottom"/>
            <w:hideMark/>
          </w:tcPr>
          <w:p w14:paraId="6D60EC10"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59BBD0B1" w14:textId="77777777" w:rsidTr="007251DE">
        <w:trPr>
          <w:trHeight w:val="255"/>
        </w:trPr>
        <w:tc>
          <w:tcPr>
            <w:tcW w:w="750" w:type="dxa"/>
            <w:shd w:val="clear" w:color="auto" w:fill="auto"/>
            <w:noWrap/>
            <w:vAlign w:val="bottom"/>
            <w:hideMark/>
          </w:tcPr>
          <w:p w14:paraId="3C892057"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17</w:t>
            </w:r>
          </w:p>
        </w:tc>
        <w:tc>
          <w:tcPr>
            <w:tcW w:w="4540" w:type="dxa"/>
            <w:shd w:val="clear" w:color="auto" w:fill="auto"/>
            <w:noWrap/>
            <w:vAlign w:val="bottom"/>
            <w:hideMark/>
          </w:tcPr>
          <w:p w14:paraId="73AA83F7"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Urban and Built-up</w:t>
            </w:r>
          </w:p>
        </w:tc>
        <w:tc>
          <w:tcPr>
            <w:tcW w:w="1220" w:type="dxa"/>
            <w:shd w:val="clear" w:color="auto" w:fill="auto"/>
            <w:noWrap/>
            <w:vAlign w:val="bottom"/>
            <w:hideMark/>
          </w:tcPr>
          <w:p w14:paraId="6F959D2E"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0BFEE709" w14:textId="77777777" w:rsidTr="007251DE">
        <w:trPr>
          <w:trHeight w:val="255"/>
        </w:trPr>
        <w:tc>
          <w:tcPr>
            <w:tcW w:w="750" w:type="dxa"/>
            <w:shd w:val="clear" w:color="auto" w:fill="auto"/>
            <w:noWrap/>
            <w:vAlign w:val="bottom"/>
            <w:hideMark/>
          </w:tcPr>
          <w:p w14:paraId="1541EE32"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18</w:t>
            </w:r>
          </w:p>
        </w:tc>
        <w:tc>
          <w:tcPr>
            <w:tcW w:w="4540" w:type="dxa"/>
            <w:shd w:val="clear" w:color="auto" w:fill="auto"/>
            <w:noWrap/>
            <w:vAlign w:val="bottom"/>
            <w:hideMark/>
          </w:tcPr>
          <w:p w14:paraId="1D5BAA1D"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Water</w:t>
            </w:r>
          </w:p>
        </w:tc>
        <w:tc>
          <w:tcPr>
            <w:tcW w:w="1220" w:type="dxa"/>
            <w:shd w:val="clear" w:color="auto" w:fill="auto"/>
            <w:noWrap/>
            <w:vAlign w:val="bottom"/>
            <w:hideMark/>
          </w:tcPr>
          <w:p w14:paraId="6099EBFB"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r w:rsidR="00BA0ABE" w:rsidRPr="00067506" w14:paraId="27DC6C6F" w14:textId="77777777" w:rsidTr="007251DE">
        <w:trPr>
          <w:trHeight w:val="255"/>
        </w:trPr>
        <w:tc>
          <w:tcPr>
            <w:tcW w:w="750" w:type="dxa"/>
            <w:shd w:val="clear" w:color="auto" w:fill="auto"/>
            <w:noWrap/>
            <w:vAlign w:val="bottom"/>
            <w:hideMark/>
          </w:tcPr>
          <w:p w14:paraId="4CF1F87E" w14:textId="77777777" w:rsidR="007251DE" w:rsidRPr="00067506" w:rsidRDefault="007251DE" w:rsidP="005C392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19</w:t>
            </w:r>
          </w:p>
        </w:tc>
        <w:tc>
          <w:tcPr>
            <w:tcW w:w="4540" w:type="dxa"/>
            <w:shd w:val="clear" w:color="auto" w:fill="auto"/>
            <w:noWrap/>
            <w:vAlign w:val="bottom"/>
            <w:hideMark/>
          </w:tcPr>
          <w:p w14:paraId="79D6EAC3" w14:textId="77777777" w:rsidR="007251DE" w:rsidRPr="00067506" w:rsidRDefault="007251DE">
            <w:pPr>
              <w:spacing w:after="0"/>
              <w:rPr>
                <w:rFonts w:asciiTheme="majorBidi" w:eastAsia="Times New Roman" w:hAnsiTheme="majorBidi" w:cstheme="majorBidi"/>
                <w:szCs w:val="24"/>
              </w:rPr>
            </w:pPr>
            <w:r w:rsidRPr="00067506">
              <w:rPr>
                <w:rFonts w:asciiTheme="majorBidi" w:eastAsia="Times New Roman" w:hAnsiTheme="majorBidi" w:cstheme="majorBidi"/>
                <w:szCs w:val="24"/>
              </w:rPr>
              <w:t>Snow and Ice</w:t>
            </w:r>
          </w:p>
        </w:tc>
        <w:tc>
          <w:tcPr>
            <w:tcW w:w="1220" w:type="dxa"/>
            <w:shd w:val="clear" w:color="auto" w:fill="auto"/>
            <w:noWrap/>
            <w:vAlign w:val="bottom"/>
            <w:hideMark/>
          </w:tcPr>
          <w:p w14:paraId="44F937BF" w14:textId="77777777" w:rsidR="007251DE" w:rsidRPr="00067506" w:rsidRDefault="007251DE" w:rsidP="007251DE">
            <w:pPr>
              <w:spacing w:after="0"/>
              <w:jc w:val="center"/>
              <w:rPr>
                <w:rFonts w:asciiTheme="majorBidi" w:eastAsia="Times New Roman" w:hAnsiTheme="majorBidi" w:cstheme="majorBidi"/>
                <w:szCs w:val="24"/>
              </w:rPr>
            </w:pPr>
            <w:r w:rsidRPr="00067506">
              <w:rPr>
                <w:rFonts w:asciiTheme="majorBidi" w:eastAsia="Times New Roman" w:hAnsiTheme="majorBidi" w:cstheme="majorBidi"/>
                <w:szCs w:val="24"/>
              </w:rPr>
              <w:t>0</w:t>
            </w:r>
          </w:p>
        </w:tc>
      </w:tr>
    </w:tbl>
    <w:p w14:paraId="4E38B431" w14:textId="77777777" w:rsidR="007251DE" w:rsidRPr="00067506" w:rsidRDefault="007251DE" w:rsidP="007251DE">
      <w:pPr>
        <w:ind w:left="1440" w:hanging="432"/>
        <w:rPr>
          <w:rFonts w:asciiTheme="majorBidi" w:hAnsiTheme="majorBidi" w:cstheme="majorBidi"/>
          <w:szCs w:val="24"/>
        </w:rPr>
      </w:pPr>
    </w:p>
    <w:p w14:paraId="60CB2382" w14:textId="77777777" w:rsidR="007251DE" w:rsidRPr="00067506" w:rsidRDefault="007251DE">
      <w:pPr>
        <w:spacing w:before="0" w:after="200" w:line="276" w:lineRule="auto"/>
        <w:rPr>
          <w:rFonts w:asciiTheme="majorBidi" w:hAnsiTheme="majorBidi" w:cstheme="majorBidi"/>
          <w:szCs w:val="24"/>
        </w:rPr>
      </w:pPr>
      <w:r w:rsidRPr="00067506">
        <w:rPr>
          <w:rFonts w:asciiTheme="majorBidi" w:hAnsiTheme="majorBidi" w:cstheme="majorBidi"/>
          <w:szCs w:val="24"/>
        </w:rPr>
        <w:br w:type="page"/>
      </w:r>
    </w:p>
    <w:p w14:paraId="70659BC8" w14:textId="35E48DA9" w:rsidR="007251DE" w:rsidRPr="00067506" w:rsidRDefault="007251DE" w:rsidP="005C392E">
      <w:pPr>
        <w:pStyle w:val="Heading2"/>
      </w:pPr>
      <w:r w:rsidRPr="00067506">
        <w:t>Percent Slope</w:t>
      </w:r>
    </w:p>
    <w:p w14:paraId="05163BA6" w14:textId="77777777" w:rsidR="007251DE" w:rsidRPr="00067506" w:rsidRDefault="007251DE" w:rsidP="007251DE">
      <w:pPr>
        <w:pStyle w:val="ListParagraph"/>
        <w:numPr>
          <w:ilvl w:val="0"/>
          <w:numId w:val="22"/>
        </w:numPr>
        <w:rPr>
          <w:rFonts w:asciiTheme="majorBidi" w:hAnsiTheme="majorBidi" w:cstheme="majorBidi"/>
        </w:rPr>
      </w:pPr>
      <w:r w:rsidRPr="00067506">
        <w:rPr>
          <w:rFonts w:asciiTheme="majorBidi" w:hAnsiTheme="majorBidi" w:cstheme="majorBidi"/>
        </w:rPr>
        <w:t xml:space="preserve">Source: The </w:t>
      </w:r>
      <w:bookmarkStart w:id="0" w:name="_Hlk87944667"/>
      <w:r w:rsidRPr="00067506">
        <w:rPr>
          <w:rFonts w:asciiTheme="majorBidi" w:hAnsiTheme="majorBidi" w:cstheme="majorBidi"/>
        </w:rPr>
        <w:t xml:space="preserve">Shuttle Radar Topography Mission (SRTM) – Void filled SRTM Plus </w:t>
      </w:r>
      <w:r w:rsidRPr="00067506">
        <w:rPr>
          <w:rFonts w:asciiTheme="majorBidi" w:hAnsiTheme="majorBidi" w:cstheme="majorBidi"/>
        </w:rPr>
        <w:br/>
      </w:r>
      <w:hyperlink r:id="rId11" w:history="1">
        <w:r w:rsidRPr="00067506">
          <w:rPr>
            <w:rStyle w:val="Hyperlink"/>
            <w:rFonts w:asciiTheme="majorBidi" w:hAnsiTheme="majorBidi" w:cstheme="majorBidi"/>
            <w:color w:val="auto"/>
          </w:rPr>
          <w:t>https://www2.jpl.nasa.gov/srtm/</w:t>
        </w:r>
      </w:hyperlink>
      <w:r w:rsidRPr="00067506">
        <w:rPr>
          <w:rFonts w:asciiTheme="majorBidi" w:hAnsiTheme="majorBidi" w:cstheme="majorBidi"/>
        </w:rPr>
        <w:t xml:space="preserve"> </w:t>
      </w:r>
    </w:p>
    <w:bookmarkEnd w:id="0"/>
    <w:p w14:paraId="16F9DD65" w14:textId="23018650" w:rsidR="00AA081A" w:rsidRPr="00067506" w:rsidRDefault="007251DE" w:rsidP="00AA081A">
      <w:pPr>
        <w:pStyle w:val="ListParagraph"/>
        <w:numPr>
          <w:ilvl w:val="0"/>
          <w:numId w:val="22"/>
        </w:numPr>
        <w:rPr>
          <w:rFonts w:asciiTheme="majorBidi" w:hAnsiTheme="majorBidi" w:cstheme="majorBidi"/>
          <w:noProof/>
        </w:rPr>
      </w:pPr>
      <w:r w:rsidRPr="00067506">
        <w:rPr>
          <w:rFonts w:asciiTheme="majorBidi" w:hAnsiTheme="majorBidi" w:cstheme="majorBidi"/>
        </w:rPr>
        <w:t xml:space="preserve">Methods: Calculated percent slope from SRTM elevation values. Converted to </w:t>
      </w:r>
      <w:r w:rsidR="00A57A45" w:rsidRPr="00067506">
        <w:rPr>
          <w:rFonts w:asciiTheme="majorBidi" w:hAnsiTheme="majorBidi" w:cstheme="majorBidi"/>
        </w:rPr>
        <w:t>HSS</w:t>
      </w:r>
      <w:r w:rsidRPr="00067506">
        <w:rPr>
          <w:rFonts w:asciiTheme="majorBidi" w:hAnsiTheme="majorBidi" w:cstheme="majorBidi"/>
        </w:rPr>
        <w:t xml:space="preserve"> values using the follow function:</w:t>
      </w:r>
    </w:p>
    <w:p w14:paraId="6050645F" w14:textId="238412E7" w:rsidR="00AA081A" w:rsidRPr="00067506" w:rsidRDefault="00AA081A" w:rsidP="00AA081A">
      <w:pPr>
        <w:ind w:left="360"/>
        <w:rPr>
          <w:rStyle w:val="IntenseQuoteChar"/>
          <w:rFonts w:asciiTheme="majorBidi" w:hAnsiTheme="majorBidi" w:cstheme="majorBidi"/>
          <w:i w:val="0"/>
          <w:iCs w:val="0"/>
          <w:color w:val="auto"/>
        </w:rPr>
      </w:pPr>
      <m:oMathPara>
        <m:oMath>
          <m:r>
            <w:rPr>
              <w:rFonts w:ascii="Cambria Math" w:hAnsi="Cambria Math"/>
            </w:rPr>
            <m:t>Slope</m:t>
          </m:r>
          <m:r>
            <m:rPr>
              <m:sty m:val="p"/>
            </m:rPr>
            <w:rPr>
              <w:rFonts w:ascii="Cambria Math" w:hAnsi="Cambria Math"/>
            </w:rPr>
            <m:t xml:space="preserve"> </m:t>
          </m:r>
          <m:r>
            <w:rPr>
              <w:rFonts w:ascii="Cambria Math" w:hAnsi="Cambria Math"/>
            </w:rPr>
            <m:t>HSS</m:t>
          </m:r>
          <m:r>
            <m:rPr>
              <m:sty m:val="p"/>
            </m:rPr>
            <w:rPr>
              <w:rFonts w:ascii="Cambria Math" w:hAnsi="Cambria Math"/>
            </w:rPr>
            <m:t xml:space="preserve">= -0.0000610101010101046 × </m:t>
          </m:r>
          <m:sSup>
            <m:sSupPr>
              <m:ctrlPr>
                <w:rPr>
                  <w:rFonts w:ascii="Cambria Math" w:hAnsi="Cambria Math"/>
                </w:rPr>
              </m:ctrlPr>
            </m:sSupPr>
            <m:e>
              <m:r>
                <w:rPr>
                  <w:rFonts w:ascii="Cambria Math" w:hAnsi="Cambria Math"/>
                </w:rPr>
                <m:t>Percent Slope</m:t>
              </m:r>
            </m:e>
            <m:sup>
              <m:r>
                <m:rPr>
                  <m:sty m:val="p"/>
                </m:rPr>
                <w:rPr>
                  <w:rFonts w:ascii="Cambria Math" w:hAnsi="Cambria Math"/>
                </w:rPr>
                <m:t>3</m:t>
              </m:r>
            </m:sup>
          </m:sSup>
          <m:r>
            <m:rPr>
              <m:sty m:val="p"/>
            </m:rPr>
            <w:rPr>
              <w:rFonts w:ascii="Cambria Math" w:hAnsi="Cambria Math"/>
            </w:rPr>
            <m:t xml:space="preserve"> + 0.00439393939393963 ×</m:t>
          </m:r>
          <m:sSup>
            <m:sSupPr>
              <m:ctrlPr>
                <w:rPr>
                  <w:rFonts w:ascii="Cambria Math" w:hAnsi="Cambria Math"/>
                </w:rPr>
              </m:ctrlPr>
            </m:sSupPr>
            <m:e>
              <m:r>
                <w:rPr>
                  <w:rFonts w:ascii="Cambria Math" w:hAnsi="Cambria Math"/>
                </w:rPr>
                <m:t>Percent Slope</m:t>
              </m:r>
            </m:e>
            <m:sup>
              <m:r>
                <m:rPr>
                  <m:sty m:val="p"/>
                </m:rPr>
                <w:rPr>
                  <w:rFonts w:ascii="Cambria Math" w:hAnsi="Cambria Math"/>
                </w:rPr>
                <m:t>2</m:t>
              </m:r>
            </m:sup>
          </m:sSup>
          <m:r>
            <m:rPr>
              <m:sty m:val="p"/>
            </m:rPr>
            <w:rPr>
              <w:rFonts w:ascii="Cambria Math" w:hAnsi="Cambria Math"/>
            </w:rPr>
            <m:t xml:space="preserve"> - 0.101414141414145 ×</m:t>
          </m:r>
          <m:r>
            <w:rPr>
              <w:rFonts w:ascii="Cambria Math" w:hAnsi="Cambria Math"/>
            </w:rPr>
            <m:t>Percent Slope</m:t>
          </m:r>
          <m:r>
            <m:rPr>
              <m:sty m:val="p"/>
            </m:rPr>
            <w:rPr>
              <w:rFonts w:ascii="Cambria Math" w:hAnsi="Cambria Math"/>
            </w:rPr>
            <m:t xml:space="preserve"> + 0.922121212121229</m:t>
          </m:r>
        </m:oMath>
      </m:oMathPara>
    </w:p>
    <w:p w14:paraId="1670BEEF" w14:textId="77777777" w:rsidR="00AA081A" w:rsidRPr="00067506" w:rsidRDefault="00AA081A" w:rsidP="00AA081A">
      <w:pPr>
        <w:ind w:left="360"/>
        <w:rPr>
          <w:rFonts w:asciiTheme="majorBidi" w:hAnsiTheme="majorBidi" w:cstheme="majorBidi"/>
          <w:noProof/>
        </w:rPr>
      </w:pPr>
    </w:p>
    <w:p w14:paraId="79AEF86D" w14:textId="23CD8D9B" w:rsidR="007251DE" w:rsidRPr="00067506" w:rsidRDefault="007251DE" w:rsidP="00AB6A49">
      <w:pPr>
        <w:jc w:val="center"/>
        <w:rPr>
          <w:rFonts w:asciiTheme="majorBidi" w:hAnsiTheme="majorBidi" w:cstheme="majorBidi"/>
          <w:szCs w:val="24"/>
        </w:rPr>
      </w:pPr>
      <w:r w:rsidRPr="00067506">
        <w:rPr>
          <w:rFonts w:asciiTheme="majorBidi" w:hAnsiTheme="majorBidi" w:cstheme="majorBidi"/>
          <w:noProof/>
          <w:szCs w:val="24"/>
        </w:rPr>
        <w:drawing>
          <wp:inline distT="0" distB="0" distL="0" distR="0" wp14:anchorId="7C704778" wp14:editId="1CEE05C6">
            <wp:extent cx="5322570" cy="332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326663" cy="3322718"/>
                    </a:xfrm>
                    <a:prstGeom prst="rect">
                      <a:avLst/>
                    </a:prstGeom>
                    <a:noFill/>
                    <a:ln>
                      <a:noFill/>
                    </a:ln>
                  </pic:spPr>
                </pic:pic>
              </a:graphicData>
            </a:graphic>
          </wp:inline>
        </w:drawing>
      </w:r>
    </w:p>
    <w:p w14:paraId="487D71D9" w14:textId="1C358F3F" w:rsidR="00974B2D" w:rsidRDefault="007251DE" w:rsidP="007251DE">
      <w:pPr>
        <w:rPr>
          <w:rFonts w:asciiTheme="majorBidi" w:hAnsiTheme="majorBidi" w:cstheme="majorBidi"/>
          <w:b/>
          <w:bCs/>
          <w:szCs w:val="24"/>
        </w:rPr>
      </w:pPr>
      <w:r w:rsidRPr="00067506">
        <w:rPr>
          <w:rFonts w:asciiTheme="majorBidi" w:hAnsiTheme="majorBidi" w:cstheme="majorBidi"/>
          <w:b/>
          <w:bCs/>
          <w:szCs w:val="24"/>
        </w:rPr>
        <w:t xml:space="preserve">Figure 1. </w:t>
      </w:r>
      <w:r w:rsidR="009D279D" w:rsidRPr="00067506">
        <w:rPr>
          <w:rFonts w:asciiTheme="majorBidi" w:hAnsiTheme="majorBidi" w:cstheme="majorBidi"/>
          <w:b/>
          <w:bCs/>
          <w:szCs w:val="24"/>
        </w:rPr>
        <w:t>Smoothing function used to convert raw percent slope values to HSS.</w:t>
      </w:r>
    </w:p>
    <w:p w14:paraId="4DC51AE3" w14:textId="77777777" w:rsidR="00974B2D" w:rsidRDefault="00974B2D">
      <w:pPr>
        <w:spacing w:before="0" w:after="200" w:line="276" w:lineRule="auto"/>
        <w:rPr>
          <w:rFonts w:asciiTheme="majorBidi" w:hAnsiTheme="majorBidi" w:cstheme="majorBidi"/>
          <w:b/>
          <w:bCs/>
          <w:szCs w:val="24"/>
        </w:rPr>
      </w:pPr>
      <w:r>
        <w:rPr>
          <w:rFonts w:asciiTheme="majorBidi" w:hAnsiTheme="majorBidi" w:cstheme="majorBidi"/>
          <w:b/>
          <w:bCs/>
          <w:szCs w:val="24"/>
        </w:rPr>
        <w:br w:type="page"/>
      </w:r>
    </w:p>
    <w:p w14:paraId="0F855C3D" w14:textId="78EBF2C6" w:rsidR="007251DE" w:rsidRPr="00067506" w:rsidRDefault="007251DE" w:rsidP="005C392E">
      <w:pPr>
        <w:pStyle w:val="Heading2"/>
        <w:rPr>
          <w:rStyle w:val="IntenseQuoteChar"/>
          <w:rFonts w:asciiTheme="majorBidi" w:hAnsiTheme="majorBidi" w:cstheme="majorBidi"/>
          <w:i w:val="0"/>
          <w:iCs w:val="0"/>
          <w:color w:val="auto"/>
        </w:rPr>
      </w:pPr>
      <w:bookmarkStart w:id="1" w:name="_Hlk87944540"/>
      <w:r w:rsidRPr="00067506">
        <w:rPr>
          <w:rStyle w:val="IntenseQuoteChar"/>
          <w:rFonts w:asciiTheme="majorBidi" w:hAnsiTheme="majorBidi" w:cstheme="majorBidi"/>
          <w:i w:val="0"/>
          <w:iCs w:val="0"/>
          <w:color w:val="auto"/>
        </w:rPr>
        <w:t>Enhanced Vegetation Index</w:t>
      </w:r>
      <w:r w:rsidR="005C392E" w:rsidRPr="00067506">
        <w:rPr>
          <w:rStyle w:val="IntenseQuoteChar"/>
          <w:rFonts w:asciiTheme="majorBidi" w:hAnsiTheme="majorBidi" w:cstheme="majorBidi"/>
          <w:i w:val="0"/>
          <w:iCs w:val="0"/>
          <w:color w:val="auto"/>
        </w:rPr>
        <w:t xml:space="preserve"> (EVI)</w:t>
      </w:r>
    </w:p>
    <w:p w14:paraId="0A3051CD" w14:textId="209AC528" w:rsidR="007251DE" w:rsidRPr="00067506" w:rsidRDefault="007251DE" w:rsidP="005C392E">
      <w:pPr>
        <w:pStyle w:val="ListParagraph"/>
        <w:numPr>
          <w:ilvl w:val="0"/>
          <w:numId w:val="23"/>
        </w:numPr>
        <w:rPr>
          <w:rStyle w:val="IntenseQuoteChar"/>
          <w:rFonts w:asciiTheme="majorBidi" w:hAnsiTheme="majorBidi" w:cstheme="majorBidi"/>
          <w:i w:val="0"/>
          <w:iCs w:val="0"/>
          <w:color w:val="auto"/>
        </w:rPr>
      </w:pPr>
      <w:r w:rsidRPr="00067506">
        <w:rPr>
          <w:rStyle w:val="IntenseQuoteChar"/>
          <w:rFonts w:asciiTheme="majorBidi" w:hAnsiTheme="majorBidi" w:cstheme="majorBidi"/>
          <w:i w:val="0"/>
          <w:iCs w:val="0"/>
          <w:color w:val="auto"/>
        </w:rPr>
        <w:t>Source: MODIS Terra Daily EVI Google Earth Engine image collection</w:t>
      </w:r>
      <w:bookmarkEnd w:id="1"/>
      <w:r w:rsidRPr="00067506">
        <w:rPr>
          <w:rStyle w:val="IntenseQuoteChar"/>
          <w:rFonts w:asciiTheme="majorBidi" w:hAnsiTheme="majorBidi" w:cstheme="majorBidi"/>
          <w:i w:val="0"/>
          <w:iCs w:val="0"/>
          <w:color w:val="auto"/>
        </w:rPr>
        <w:br/>
      </w:r>
      <w:hyperlink r:id="rId13" w:anchor="description" w:history="1">
        <w:r w:rsidRPr="00067506">
          <w:rPr>
            <w:rStyle w:val="Hyperlink"/>
            <w:rFonts w:asciiTheme="majorBidi" w:hAnsiTheme="majorBidi" w:cstheme="majorBidi"/>
            <w:color w:val="auto"/>
          </w:rPr>
          <w:t>https://developers.google.com/earth-engine/datasets/catalog/MODIS_MOD09GA_006_EVI#description</w:t>
        </w:r>
      </w:hyperlink>
      <w:r w:rsidRPr="00067506">
        <w:rPr>
          <w:rStyle w:val="IntenseQuoteChar"/>
          <w:rFonts w:asciiTheme="majorBidi" w:hAnsiTheme="majorBidi" w:cstheme="majorBidi"/>
          <w:i w:val="0"/>
          <w:iCs w:val="0"/>
          <w:color w:val="auto"/>
        </w:rPr>
        <w:t xml:space="preserve"> </w:t>
      </w:r>
      <w:r w:rsidR="00C1094F" w:rsidRPr="00067506">
        <w:rPr>
          <w:rStyle w:val="IntenseQuoteChar"/>
          <w:rFonts w:asciiTheme="majorBidi" w:hAnsiTheme="majorBidi" w:cstheme="majorBidi"/>
          <w:i w:val="0"/>
          <w:iCs w:val="0"/>
          <w:color w:val="auto"/>
        </w:rPr>
        <w:fldChar w:fldCharType="begin" w:fldLock="1"/>
      </w:r>
      <w:r w:rsidR="00907E04" w:rsidRPr="00067506">
        <w:rPr>
          <w:rStyle w:val="IntenseQuoteChar"/>
          <w:rFonts w:asciiTheme="majorBidi" w:hAnsiTheme="majorBidi" w:cstheme="majorBidi"/>
          <w:i w:val="0"/>
          <w:iCs w:val="0"/>
          <w:color w:val="auto"/>
        </w:rPr>
        <w:instrText>ADDIN CSL_CITATION {"citationItems":[{"id":"ITEM-1","itemData":{"DOI":"https://doi.org/10.1016/j.rse.2017.06.031","ISSN":"0034-4257","abstract":"Google Earth Engine is a cloud-based platform for planetary-scale geospatial analysis that brings Google's massive computational capabilities to bear on a variety of high-impact societal issues including deforestation, drought, disaster, disease, food security, water management, climate monitoring and environmental protection. It is unique in the field as an integrated platform designed to empower not only traditional remote sensing scientists, but also a much wider audience that lacks the technical capacity needed to utilize traditional supercomputers or large-scale commodity cloud computing resources.","author":[{"dropping-particle":"","family":"Gorelick","given":"Noel","non-dropping-particle":"","parse-names":false,"suffix":""},{"dropping-particle":"","family":"Hancher","given":"Matt","non-dropping-particle":"","parse-names":false,"suffix":""},{"dropping-particle":"","family":"Dixon","given":"Mike","non-dropping-particle":"","parse-names":false,"suffix":""},{"dropping-particle":"","family":"Ilyushchenko","given":"Simon","non-dropping-particle":"","parse-names":false,"suffix":""},{"dropping-particle":"","family":"Thau","given":"David","non-dropping-particle":"","parse-names":false,"suffix":""},{"dropping-particle":"","family":"Moore","given":"Rebecca","non-dropping-particle":"","parse-names":false,"suffix":""}],"container-title":"Remote Sensing of Environment","id":"ITEM-1","issued":{"date-parts":[["2017"]]},"page":"18-27","title":"Google Earth Engine: Planetary-scale geospatial analysis for everyone","type":"article-journal","volume":"202"},"uris":["http://www.mendeley.com/documents/?uuid=65b230e9-e812-448a-a615-5fae1362bc6f"]}],"mendeley":{"formattedCitation":"(Gorelick et al., 2017)","plainTextFormattedCitation":"(Gorelick et al., 2017)","previouslyFormattedCitation":"(Gorelick et al., 2017)"},"properties":{"noteIndex":0},"schema":"https://github.com/citation-style-language/schema/raw/master/csl-citation.json"}</w:instrText>
      </w:r>
      <w:r w:rsidR="00C1094F" w:rsidRPr="00067506">
        <w:rPr>
          <w:rStyle w:val="IntenseQuoteChar"/>
          <w:rFonts w:asciiTheme="majorBidi" w:hAnsiTheme="majorBidi" w:cstheme="majorBidi"/>
          <w:i w:val="0"/>
          <w:iCs w:val="0"/>
          <w:color w:val="auto"/>
        </w:rPr>
        <w:fldChar w:fldCharType="separate"/>
      </w:r>
      <w:r w:rsidR="00C1094F" w:rsidRPr="00067506">
        <w:rPr>
          <w:rStyle w:val="IntenseQuoteChar"/>
          <w:rFonts w:asciiTheme="majorBidi" w:hAnsiTheme="majorBidi" w:cstheme="majorBidi"/>
          <w:i w:val="0"/>
          <w:iCs w:val="0"/>
          <w:noProof/>
          <w:color w:val="auto"/>
        </w:rPr>
        <w:t>(Gorelick et al., 2017)</w:t>
      </w:r>
      <w:r w:rsidR="00C1094F" w:rsidRPr="00067506">
        <w:rPr>
          <w:rStyle w:val="IntenseQuoteChar"/>
          <w:rFonts w:asciiTheme="majorBidi" w:hAnsiTheme="majorBidi" w:cstheme="majorBidi"/>
          <w:i w:val="0"/>
          <w:iCs w:val="0"/>
          <w:color w:val="auto"/>
        </w:rPr>
        <w:fldChar w:fldCharType="end"/>
      </w:r>
      <w:r w:rsidR="005C392E" w:rsidRPr="00067506">
        <w:rPr>
          <w:rStyle w:val="IntenseQuoteChar"/>
          <w:rFonts w:asciiTheme="majorBidi" w:hAnsiTheme="majorBidi" w:cstheme="majorBidi"/>
          <w:i w:val="0"/>
          <w:iCs w:val="0"/>
          <w:color w:val="auto"/>
        </w:rPr>
        <w:t>(</w:t>
      </w:r>
      <w:r w:rsidR="00AA081A" w:rsidRPr="00067506">
        <w:rPr>
          <w:rStyle w:val="IntenseQuoteChar"/>
          <w:rFonts w:asciiTheme="majorBidi" w:hAnsiTheme="majorBidi" w:cstheme="majorBidi"/>
          <w:i w:val="0"/>
          <w:iCs w:val="0"/>
          <w:color w:val="auto"/>
        </w:rPr>
        <w:t xml:space="preserve">Gorelick et al. 2017, </w:t>
      </w:r>
      <w:proofErr w:type="spellStart"/>
      <w:r w:rsidR="00AA081A" w:rsidRPr="00067506">
        <w:rPr>
          <w:rFonts w:asciiTheme="majorBidi" w:hAnsiTheme="majorBidi" w:cstheme="majorBidi"/>
        </w:rPr>
        <w:t>Vermote</w:t>
      </w:r>
      <w:proofErr w:type="spellEnd"/>
      <w:r w:rsidR="00AA081A" w:rsidRPr="00067506">
        <w:rPr>
          <w:rFonts w:asciiTheme="majorBidi" w:hAnsiTheme="majorBidi" w:cstheme="majorBidi"/>
        </w:rPr>
        <w:t>, and Wolfe, 2015</w:t>
      </w:r>
      <w:r w:rsidR="005C392E" w:rsidRPr="00067506">
        <w:rPr>
          <w:rStyle w:val="IntenseQuoteChar"/>
          <w:rFonts w:asciiTheme="majorBidi" w:hAnsiTheme="majorBidi" w:cstheme="majorBidi"/>
          <w:i w:val="0"/>
          <w:iCs w:val="0"/>
          <w:color w:val="auto"/>
        </w:rPr>
        <w:t>)</w:t>
      </w:r>
    </w:p>
    <w:p w14:paraId="310F9E7C" w14:textId="35463A49" w:rsidR="00AA081A" w:rsidRPr="00067506" w:rsidRDefault="007251DE" w:rsidP="000E370E">
      <w:pPr>
        <w:pStyle w:val="ListParagraph"/>
        <w:numPr>
          <w:ilvl w:val="0"/>
          <w:numId w:val="24"/>
        </w:numPr>
        <w:ind w:left="720"/>
        <w:rPr>
          <w:rStyle w:val="IntenseQuoteChar"/>
          <w:rFonts w:asciiTheme="majorBidi" w:hAnsiTheme="majorBidi" w:cstheme="majorBidi"/>
          <w:i w:val="0"/>
          <w:iCs w:val="0"/>
          <w:color w:val="auto"/>
        </w:rPr>
      </w:pPr>
      <w:r w:rsidRPr="00067506">
        <w:rPr>
          <w:rStyle w:val="IntenseQuoteChar"/>
          <w:rFonts w:asciiTheme="majorBidi" w:hAnsiTheme="majorBidi" w:cstheme="majorBidi"/>
          <w:i w:val="0"/>
          <w:iCs w:val="0"/>
          <w:color w:val="auto"/>
        </w:rPr>
        <w:t xml:space="preserve">Methods: Calculated the 30-year mean of the annual maximum EVI. The Google Earth Engine code for calculation can be accessed here: </w:t>
      </w:r>
      <w:hyperlink r:id="rId14" w:history="1">
        <w:r w:rsidRPr="00067506">
          <w:rPr>
            <w:rStyle w:val="Hyperlink"/>
            <w:rFonts w:asciiTheme="majorBidi" w:hAnsiTheme="majorBidi" w:cstheme="majorBidi"/>
            <w:color w:val="auto"/>
          </w:rPr>
          <w:t>https://code.earthengine.google.com/?scriptPath=users%2Fbbrock_wcs%2FMODIS_EVI%3AMODIS_MEAN_YEARLY_MAXEVI</w:t>
        </w:r>
      </w:hyperlink>
      <w:r w:rsidRPr="00067506">
        <w:rPr>
          <w:rStyle w:val="IntenseQuoteChar"/>
          <w:rFonts w:asciiTheme="majorBidi" w:hAnsiTheme="majorBidi" w:cstheme="majorBidi"/>
          <w:i w:val="0"/>
          <w:iCs w:val="0"/>
          <w:color w:val="auto"/>
        </w:rPr>
        <w:t xml:space="preserve">  </w:t>
      </w:r>
      <w:r w:rsidR="005C392E" w:rsidRPr="00067506">
        <w:rPr>
          <w:rStyle w:val="IntenseQuoteChar"/>
          <w:rFonts w:asciiTheme="majorBidi" w:hAnsiTheme="majorBidi" w:cstheme="majorBidi"/>
          <w:i w:val="0"/>
          <w:iCs w:val="0"/>
          <w:color w:val="auto"/>
        </w:rPr>
        <w:t>(</w:t>
      </w:r>
      <w:r w:rsidR="00AA081A" w:rsidRPr="00067506">
        <w:rPr>
          <w:rStyle w:val="IntenseQuoteChar"/>
          <w:rFonts w:asciiTheme="majorBidi" w:hAnsiTheme="majorBidi" w:cstheme="majorBidi"/>
          <w:i w:val="0"/>
          <w:iCs w:val="0"/>
          <w:color w:val="auto"/>
        </w:rPr>
        <w:t>Brock, unpublished</w:t>
      </w:r>
      <w:r w:rsidR="005C392E" w:rsidRPr="00067506">
        <w:rPr>
          <w:rStyle w:val="IntenseQuoteChar"/>
          <w:rFonts w:asciiTheme="majorBidi" w:hAnsiTheme="majorBidi" w:cstheme="majorBidi"/>
          <w:i w:val="0"/>
          <w:iCs w:val="0"/>
          <w:color w:val="auto"/>
        </w:rPr>
        <w:t>)</w:t>
      </w:r>
      <w:r w:rsidR="00AA081A" w:rsidRPr="00067506">
        <w:rPr>
          <w:rStyle w:val="IntenseQuoteChar"/>
          <w:rFonts w:asciiTheme="majorBidi" w:hAnsiTheme="majorBidi" w:cstheme="majorBidi"/>
          <w:i w:val="0"/>
          <w:iCs w:val="0"/>
          <w:color w:val="auto"/>
        </w:rPr>
        <w:br/>
        <w:t xml:space="preserve">EVI values were converted to </w:t>
      </w:r>
      <w:r w:rsidR="00A57A45" w:rsidRPr="00067506">
        <w:rPr>
          <w:rStyle w:val="IntenseQuoteChar"/>
          <w:rFonts w:asciiTheme="majorBidi" w:hAnsiTheme="majorBidi" w:cstheme="majorBidi"/>
          <w:i w:val="0"/>
          <w:iCs w:val="0"/>
          <w:color w:val="auto"/>
        </w:rPr>
        <w:t>HSS</w:t>
      </w:r>
      <w:r w:rsidR="00AA081A" w:rsidRPr="00067506">
        <w:rPr>
          <w:rStyle w:val="IntenseQuoteChar"/>
          <w:rFonts w:asciiTheme="majorBidi" w:hAnsiTheme="majorBidi" w:cstheme="majorBidi"/>
          <w:i w:val="0"/>
          <w:iCs w:val="0"/>
          <w:color w:val="auto"/>
        </w:rPr>
        <w:t xml:space="preserve"> using the following function:</w:t>
      </w:r>
    </w:p>
    <w:p w14:paraId="1B89A628" w14:textId="130F4F8B" w:rsidR="00A57A45" w:rsidRPr="00067506" w:rsidRDefault="00A57A45" w:rsidP="00A57A45">
      <w:pPr>
        <w:ind w:left="360"/>
        <w:rPr>
          <w:rStyle w:val="IntenseQuoteChar"/>
          <w:rFonts w:asciiTheme="majorBidi" w:hAnsiTheme="majorBidi" w:cstheme="majorBidi"/>
          <w:i w:val="0"/>
          <w:iCs w:val="0"/>
          <w:color w:val="auto"/>
        </w:rPr>
      </w:pPr>
      <m:oMathPara>
        <m:oMath>
          <m:r>
            <w:rPr>
              <w:rFonts w:ascii="Cambria Math" w:hAnsi="Cambria Math"/>
            </w:rPr>
            <m:t>EVI</m:t>
          </m:r>
          <m:r>
            <m:rPr>
              <m:sty m:val="p"/>
            </m:rPr>
            <w:rPr>
              <w:rFonts w:ascii="Cambria Math" w:hAnsi="Cambria Math"/>
            </w:rPr>
            <m:t xml:space="preserve"> </m:t>
          </m:r>
          <m:r>
            <w:rPr>
              <w:rFonts w:ascii="Cambria Math" w:hAnsi="Cambria Math"/>
            </w:rPr>
            <m:t>Habitat</m:t>
          </m:r>
          <m:r>
            <m:rPr>
              <m:sty m:val="p"/>
            </m:rPr>
            <w:rPr>
              <w:rFonts w:ascii="Cambria Math" w:hAnsi="Cambria Math"/>
            </w:rPr>
            <m:t xml:space="preserve"> </m:t>
          </m:r>
          <m:r>
            <w:rPr>
              <w:rFonts w:ascii="Cambria Math" w:hAnsi="Cambria Math"/>
            </w:rPr>
            <m:t>Suitability</m:t>
          </m:r>
          <m:r>
            <m:rPr>
              <m:sty m:val="p"/>
            </m:rPr>
            <w:rPr>
              <w:rFonts w:ascii="Cambria Math" w:hAnsi="Cambria Math"/>
            </w:rPr>
            <m:t xml:space="preserve"> </m:t>
          </m:r>
          <m:r>
            <w:rPr>
              <w:rFonts w:ascii="Cambria Math" w:hAnsi="Cambria Math"/>
            </w:rPr>
            <m:t>Score</m:t>
          </m:r>
          <m:r>
            <m:rPr>
              <m:sty m:val="p"/>
            </m:rPr>
            <w:rPr>
              <w:rFonts w:ascii="Cambria Math" w:hAnsi="Cambria Math"/>
            </w:rPr>
            <m:t>=MINIMUM(1, 3.3333 ×</m:t>
          </m:r>
          <m:sSup>
            <m:sSupPr>
              <m:ctrlPr>
                <w:rPr>
                  <w:rFonts w:ascii="Cambria Math" w:hAnsi="Cambria Math"/>
                </w:rPr>
              </m:ctrlPr>
            </m:sSupPr>
            <m:e>
              <m:r>
                <w:rPr>
                  <w:rFonts w:ascii="Cambria Math" w:hAnsi="Cambria Math"/>
                </w:rPr>
                <m:t>EVI</m:t>
              </m:r>
            </m:e>
            <m:sup>
              <m:r>
                <m:rPr>
                  <m:sty m:val="p"/>
                </m:rPr>
                <w:rPr>
                  <w:rFonts w:ascii="Cambria Math" w:hAnsi="Cambria Math"/>
                </w:rPr>
                <m:t>2</m:t>
              </m:r>
            </m:sup>
          </m:sSup>
          <m:r>
            <m:rPr>
              <m:sty m:val="p"/>
            </m:rPr>
            <w:rPr>
              <w:rFonts w:ascii="Cambria Math" w:hAnsi="Cambria Math"/>
            </w:rPr>
            <m:t>+ 3.333 ×</m:t>
          </m:r>
          <m:r>
            <w:rPr>
              <w:rFonts w:ascii="Cambria Math" w:hAnsi="Cambria Math"/>
            </w:rPr>
            <m:t>EVI)</m:t>
          </m:r>
        </m:oMath>
      </m:oMathPara>
    </w:p>
    <w:p w14:paraId="07422C32" w14:textId="0CEC9968" w:rsidR="007251DE" w:rsidRPr="00067506" w:rsidRDefault="007251DE" w:rsidP="00AA081A">
      <w:pPr>
        <w:rPr>
          <w:rStyle w:val="IntenseQuoteChar"/>
          <w:rFonts w:asciiTheme="majorBidi" w:hAnsiTheme="majorBidi" w:cstheme="majorBidi"/>
          <w:i w:val="0"/>
          <w:iCs w:val="0"/>
          <w:color w:val="auto"/>
          <w:szCs w:val="24"/>
        </w:rPr>
      </w:pPr>
      <w:r w:rsidRPr="00067506">
        <w:rPr>
          <w:rFonts w:asciiTheme="majorBidi" w:hAnsiTheme="majorBidi" w:cstheme="majorBidi"/>
          <w:noProof/>
          <w:szCs w:val="24"/>
        </w:rPr>
        <w:drawing>
          <wp:inline distT="0" distB="0" distL="0" distR="0" wp14:anchorId="7A72B93B" wp14:editId="10464F01">
            <wp:extent cx="5376001" cy="3739827"/>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376001" cy="3739827"/>
                    </a:xfrm>
                    <a:prstGeom prst="rect">
                      <a:avLst/>
                    </a:prstGeom>
                    <a:noFill/>
                    <a:ln>
                      <a:noFill/>
                    </a:ln>
                  </pic:spPr>
                </pic:pic>
              </a:graphicData>
            </a:graphic>
          </wp:inline>
        </w:drawing>
      </w:r>
    </w:p>
    <w:p w14:paraId="10A61C42" w14:textId="55D970FC" w:rsidR="00974B2D" w:rsidRDefault="005C392E" w:rsidP="00974B2D">
      <w:pPr>
        <w:rPr>
          <w:rFonts w:asciiTheme="majorBidi" w:hAnsiTheme="majorBidi" w:cstheme="majorBidi"/>
          <w:b/>
          <w:bCs/>
          <w:szCs w:val="24"/>
        </w:rPr>
      </w:pPr>
      <w:r w:rsidRPr="00067506">
        <w:rPr>
          <w:rFonts w:asciiTheme="majorBidi" w:hAnsiTheme="majorBidi" w:cstheme="majorBidi"/>
          <w:b/>
          <w:bCs/>
          <w:szCs w:val="24"/>
        </w:rPr>
        <w:t xml:space="preserve">Figure 2. </w:t>
      </w:r>
      <w:r w:rsidR="00AA081A" w:rsidRPr="00067506">
        <w:rPr>
          <w:rFonts w:asciiTheme="majorBidi" w:hAnsiTheme="majorBidi" w:cstheme="majorBidi"/>
          <w:b/>
          <w:bCs/>
          <w:szCs w:val="24"/>
        </w:rPr>
        <w:t xml:space="preserve">Smoothing function used to convert raw EVI values to </w:t>
      </w:r>
      <w:r w:rsidR="00A57A45" w:rsidRPr="00067506">
        <w:rPr>
          <w:rFonts w:asciiTheme="majorBidi" w:hAnsiTheme="majorBidi" w:cstheme="majorBidi"/>
          <w:b/>
          <w:bCs/>
          <w:szCs w:val="24"/>
        </w:rPr>
        <w:t>HSS</w:t>
      </w:r>
      <w:r w:rsidR="00AA081A" w:rsidRPr="00067506">
        <w:rPr>
          <w:rFonts w:asciiTheme="majorBidi" w:hAnsiTheme="majorBidi" w:cstheme="majorBidi"/>
          <w:b/>
          <w:bCs/>
          <w:szCs w:val="24"/>
        </w:rPr>
        <w:t>.</w:t>
      </w:r>
    </w:p>
    <w:p w14:paraId="11D063DE" w14:textId="77777777" w:rsidR="00974B2D" w:rsidRDefault="00974B2D">
      <w:pPr>
        <w:spacing w:before="0" w:after="200" w:line="276" w:lineRule="auto"/>
        <w:rPr>
          <w:rFonts w:asciiTheme="majorBidi" w:hAnsiTheme="majorBidi" w:cstheme="majorBidi"/>
          <w:b/>
          <w:bCs/>
          <w:szCs w:val="24"/>
        </w:rPr>
      </w:pPr>
      <w:r>
        <w:rPr>
          <w:rFonts w:asciiTheme="majorBidi" w:hAnsiTheme="majorBidi" w:cstheme="majorBidi"/>
          <w:b/>
          <w:bCs/>
          <w:szCs w:val="24"/>
        </w:rPr>
        <w:br w:type="page"/>
      </w:r>
    </w:p>
    <w:p w14:paraId="0AD84866" w14:textId="7056350F" w:rsidR="005C392E" w:rsidRPr="00067506" w:rsidRDefault="007251DE" w:rsidP="005C392E">
      <w:pPr>
        <w:pStyle w:val="Heading2"/>
      </w:pPr>
      <w:r w:rsidRPr="00067506">
        <w:t xml:space="preserve">Final </w:t>
      </w:r>
      <w:r w:rsidR="00871E87" w:rsidRPr="00067506">
        <w:t>habitat suitability index</w:t>
      </w:r>
      <w:r w:rsidRPr="00067506">
        <w:t xml:space="preserve"> </w:t>
      </w:r>
      <w:r w:rsidR="00871E87" w:rsidRPr="00067506">
        <w:t>c</w:t>
      </w:r>
      <w:r w:rsidRPr="00067506">
        <w:t xml:space="preserve">alculations </w:t>
      </w:r>
    </w:p>
    <w:p w14:paraId="4F96DC41" w14:textId="136DC92E" w:rsidR="007251DE" w:rsidRPr="00067506" w:rsidRDefault="007251DE" w:rsidP="00871E87">
      <w:r w:rsidRPr="00067506">
        <w:t xml:space="preserve">Raw </w:t>
      </w:r>
      <w:r w:rsidR="00871E87" w:rsidRPr="00067506">
        <w:t>habitat suitability index (</w:t>
      </w:r>
      <w:r w:rsidR="00AA081A" w:rsidRPr="00067506">
        <w:t>HSI</w:t>
      </w:r>
      <w:r w:rsidR="00871E87" w:rsidRPr="00067506">
        <w:t xml:space="preserve">) </w:t>
      </w:r>
      <w:r w:rsidRPr="00067506">
        <w:t>score was calculated using the following equation.</w:t>
      </w:r>
      <w:r w:rsidR="00871E87" w:rsidRPr="00067506">
        <w:t xml:space="preserve"> Where </w:t>
      </w:r>
      <m:oMath>
        <m:r>
          <w:rPr>
            <w:rFonts w:ascii="Cambria Math" w:hAnsi="Cambria Math"/>
          </w:rPr>
          <m:t>summer LC HSI</m:t>
        </m:r>
      </m:oMath>
      <w:r w:rsidR="00871E87" w:rsidRPr="00067506">
        <w:rPr>
          <w:rFonts w:eastAsiaTheme="minorEastAsia"/>
        </w:rPr>
        <w:t xml:space="preserve"> is the habitat </w:t>
      </w:r>
      <w:r w:rsidR="00AA081A" w:rsidRPr="00067506">
        <w:rPr>
          <w:rFonts w:eastAsiaTheme="minorEastAsia"/>
        </w:rPr>
        <w:t xml:space="preserve">suitability </w:t>
      </w:r>
      <w:r w:rsidR="00871E87" w:rsidRPr="00067506">
        <w:rPr>
          <w:rFonts w:eastAsiaTheme="minorEastAsia"/>
        </w:rPr>
        <w:t>estimates based on landcover</w:t>
      </w:r>
      <w:r w:rsidR="00AA081A" w:rsidRPr="00067506">
        <w:rPr>
          <w:rFonts w:eastAsiaTheme="minorEastAsia"/>
        </w:rPr>
        <w:t xml:space="preserve"> type</w:t>
      </w:r>
      <w:r w:rsidR="00871E87" w:rsidRPr="00067506">
        <w:rPr>
          <w:rFonts w:eastAsiaTheme="minorEastAsia"/>
        </w:rPr>
        <w:t>(</w:t>
      </w:r>
      <w:r w:rsidR="00AA081A" w:rsidRPr="00067506">
        <w:rPr>
          <w:rFonts w:eastAsiaTheme="minorEastAsia"/>
        </w:rPr>
        <w:t>Tables 1 and 2</w:t>
      </w:r>
      <w:r w:rsidR="00871E87" w:rsidRPr="00067506">
        <w:rPr>
          <w:rFonts w:eastAsiaTheme="minorEastAsia"/>
        </w:rPr>
        <w:t xml:space="preserve">), </w:t>
      </w:r>
      <m:oMath>
        <m:r>
          <w:rPr>
            <w:rFonts w:ascii="Cambria Math" w:hAnsi="Cambria Math"/>
          </w:rPr>
          <m:t>summer EVI HSI</m:t>
        </m:r>
      </m:oMath>
      <w:r w:rsidR="00871E87" w:rsidRPr="00067506">
        <w:rPr>
          <w:rFonts w:eastAsiaTheme="minorEastAsia"/>
        </w:rPr>
        <w:t xml:space="preserve"> are </w:t>
      </w:r>
      <w:r w:rsidR="00AA081A" w:rsidRPr="00067506">
        <w:rPr>
          <w:rFonts w:eastAsiaTheme="minorEastAsia"/>
        </w:rPr>
        <w:t xml:space="preserve">habitat suitability estimates derived from </w:t>
      </w:r>
      <w:r w:rsidR="00871E87" w:rsidRPr="00067506">
        <w:rPr>
          <w:rFonts w:eastAsiaTheme="minorEastAsia"/>
        </w:rPr>
        <w:t>Enhanced Vegetation Index (EVI) derived from MODIS Terra Daily EVI Google Earth Engine image collection</w:t>
      </w:r>
      <w:r w:rsidR="00AA081A" w:rsidRPr="00067506">
        <w:rPr>
          <w:rFonts w:eastAsiaTheme="minorEastAsia"/>
        </w:rPr>
        <w:t xml:space="preserve"> (Figure 2)</w:t>
      </w:r>
      <w:r w:rsidR="00871E87" w:rsidRPr="00067506">
        <w:rPr>
          <w:rFonts w:eastAsiaTheme="minorEastAsia"/>
        </w:rPr>
        <w:t xml:space="preserve">, </w:t>
      </w:r>
      <m:oMath>
        <m:r>
          <w:rPr>
            <w:rFonts w:ascii="Cambria Math" w:hAnsi="Cambria Math"/>
          </w:rPr>
          <m:t>summer slope HSI</m:t>
        </m:r>
      </m:oMath>
      <w:r w:rsidR="00871E87" w:rsidRPr="00067506">
        <w:rPr>
          <w:rFonts w:eastAsiaTheme="minorEastAsia"/>
        </w:rPr>
        <w:t xml:space="preserve"> is </w:t>
      </w:r>
      <w:r w:rsidR="00AA081A" w:rsidRPr="00067506">
        <w:rPr>
          <w:rFonts w:eastAsiaTheme="minorEastAsia"/>
        </w:rPr>
        <w:t xml:space="preserve">habitat suitability estimates derived from </w:t>
      </w:r>
      <w:r w:rsidR="00871E87" w:rsidRPr="00067506">
        <w:rPr>
          <w:rFonts w:eastAsiaTheme="minorEastAsia"/>
        </w:rPr>
        <w:t>percent slope derived from Shuttle Radar Topography Mission (SRTM) – Void filled SRTM Plus https://www2.jpl.nasa.gov/srtm/</w:t>
      </w:r>
      <w:r w:rsidR="00AA081A" w:rsidRPr="00067506">
        <w:rPr>
          <w:rFonts w:eastAsiaTheme="minorEastAsia"/>
        </w:rPr>
        <w:t xml:space="preserve"> (Figure 1)</w:t>
      </w:r>
    </w:p>
    <w:p w14:paraId="568C4D0A" w14:textId="3872BE60" w:rsidR="005C392E" w:rsidRPr="00067506" w:rsidRDefault="005C392E" w:rsidP="005C392E">
      <m:oMathPara>
        <m:oMath>
          <m:r>
            <w:rPr>
              <w:rFonts w:ascii="Cambria Math" w:hAnsi="Cambria Math"/>
            </w:rPr>
            <m:t xml:space="preserve">Summer </m:t>
          </m:r>
          <m:r>
            <w:rPr>
              <w:rFonts w:ascii="Cambria Math" w:hAnsi="Cambria Math"/>
            </w:rPr>
            <m:t>HSI</m:t>
          </m:r>
          <m:r>
            <w:rPr>
              <w:rFonts w:ascii="Cambria Math" w:hAnsi="Cambria Math"/>
            </w:rPr>
            <m:t>= (summer LC HSS ×summer EVI HSS×0.66)+(summer slope HSS×0.33)</m:t>
          </m:r>
        </m:oMath>
      </m:oMathPara>
    </w:p>
    <w:p w14:paraId="5D840389" w14:textId="349FC638" w:rsidR="007251DE" w:rsidRPr="00067506" w:rsidRDefault="007251DE" w:rsidP="00871E87">
      <w:pPr>
        <w:rPr>
          <w:rFonts w:asciiTheme="majorBidi" w:hAnsiTheme="majorBidi" w:cstheme="majorBidi"/>
          <w:szCs w:val="24"/>
        </w:rPr>
      </w:pPr>
      <w:r w:rsidRPr="00067506">
        <w:rPr>
          <w:rFonts w:asciiTheme="majorBidi" w:hAnsiTheme="majorBidi" w:cstheme="majorBidi"/>
          <w:szCs w:val="24"/>
        </w:rPr>
        <w:t>Raw HSI values &gt; than a maximum slope threshold were removed by setting cells to NULL.  Thresholds uses w</w:t>
      </w:r>
      <w:r w:rsidR="00871E87" w:rsidRPr="00067506">
        <w:rPr>
          <w:rFonts w:asciiTheme="majorBidi" w:hAnsiTheme="majorBidi" w:cstheme="majorBidi"/>
          <w:szCs w:val="24"/>
        </w:rPr>
        <w:t>h</w:t>
      </w:r>
      <w:r w:rsidRPr="00067506">
        <w:rPr>
          <w:rFonts w:asciiTheme="majorBidi" w:hAnsiTheme="majorBidi" w:cstheme="majorBidi"/>
          <w:szCs w:val="24"/>
        </w:rPr>
        <w:t>ere</w:t>
      </w:r>
      <w:r w:rsidR="00871E87" w:rsidRPr="00067506">
        <w:rPr>
          <w:rFonts w:asciiTheme="majorBidi" w:hAnsiTheme="majorBidi" w:cstheme="majorBidi"/>
          <w:szCs w:val="24"/>
        </w:rPr>
        <w:t xml:space="preserve"> the maximum s</w:t>
      </w:r>
      <w:r w:rsidRPr="00067506">
        <w:rPr>
          <w:rFonts w:asciiTheme="majorBidi" w:hAnsiTheme="majorBidi" w:cstheme="majorBidi"/>
          <w:szCs w:val="24"/>
        </w:rPr>
        <w:t>ummer</w:t>
      </w:r>
      <w:r w:rsidR="00871E87" w:rsidRPr="00067506">
        <w:rPr>
          <w:rFonts w:asciiTheme="majorBidi" w:hAnsiTheme="majorBidi" w:cstheme="majorBidi"/>
          <w:szCs w:val="24"/>
        </w:rPr>
        <w:t xml:space="preserve"> s</w:t>
      </w:r>
      <w:r w:rsidRPr="00067506">
        <w:rPr>
          <w:rFonts w:asciiTheme="majorBidi" w:hAnsiTheme="majorBidi" w:cstheme="majorBidi"/>
          <w:szCs w:val="24"/>
        </w:rPr>
        <w:t xml:space="preserve">lope </w:t>
      </w:r>
      <w:r w:rsidR="00871E87" w:rsidRPr="00067506">
        <w:rPr>
          <w:rFonts w:asciiTheme="majorBidi" w:hAnsiTheme="majorBidi" w:cstheme="majorBidi"/>
          <w:szCs w:val="24"/>
        </w:rPr>
        <w:t>was set to</w:t>
      </w:r>
      <w:r w:rsidRPr="00067506">
        <w:rPr>
          <w:rFonts w:asciiTheme="majorBidi" w:hAnsiTheme="majorBidi" w:cstheme="majorBidi"/>
          <w:szCs w:val="24"/>
        </w:rPr>
        <w:t xml:space="preserve"> 35</w:t>
      </w:r>
      <w:r w:rsidR="00871E87" w:rsidRPr="00067506">
        <w:rPr>
          <w:rFonts w:asciiTheme="majorBidi" w:hAnsiTheme="majorBidi" w:cstheme="majorBidi"/>
          <w:szCs w:val="24"/>
        </w:rPr>
        <w:t xml:space="preserve">. </w:t>
      </w:r>
      <w:r w:rsidRPr="00067506">
        <w:rPr>
          <w:rFonts w:asciiTheme="majorBidi" w:hAnsiTheme="majorBidi" w:cstheme="majorBidi"/>
          <w:szCs w:val="24"/>
        </w:rPr>
        <w:t>Finally, areas of conflict with human land uses as described previously under Geographic Extent and Spatial Constraints were removed by setting cells to NULL.</w:t>
      </w:r>
    </w:p>
    <w:p w14:paraId="414A0167" w14:textId="7BB3DB4D" w:rsidR="00871E87" w:rsidRPr="00067506" w:rsidRDefault="007251DE" w:rsidP="00871E87">
      <w:pPr>
        <w:pStyle w:val="Heading2"/>
      </w:pPr>
      <w:r w:rsidRPr="00067506">
        <w:t>Contiguous Habitat Patches</w:t>
      </w:r>
    </w:p>
    <w:p w14:paraId="2C889994" w14:textId="7FF17E61" w:rsidR="00AF7256" w:rsidRDefault="007251DE" w:rsidP="00871E87">
      <w:r w:rsidRPr="00067506">
        <w:t xml:space="preserve">Area of contiguous habitat was calculated to estimate the potential area potentially available for restoring bison in each case study area. Suitable habitat was estimated by slicing summer HSI scores into two equal interval classes and extracting cells in the top 50% of HSI values. This is likely a conservative estimate of suitable habitat as it excludes some areas where bison were historically documented to occur. Grid cells of suitable habitat within 0.5 km of the nearest eight neighboring cells were considered connected. This distance was based on movements of bison that regularly occur in Yellowstone National Park. The total area of each contiguous patch of suitable habitat was calculated and patches ≥ </w:t>
      </w:r>
      <w:r w:rsidR="004A65E6">
        <w:t>121.5 km</w:t>
      </w:r>
      <w:r w:rsidR="004A65E6" w:rsidRPr="004A65E6">
        <w:rPr>
          <w:vertAlign w:val="superscript"/>
        </w:rPr>
        <w:t>2</w:t>
      </w:r>
      <w:r w:rsidR="004A65E6">
        <w:t xml:space="preserve"> (</w:t>
      </w:r>
      <w:r w:rsidRPr="00067506">
        <w:t>30</w:t>
      </w:r>
      <w:r w:rsidR="009B3A0B">
        <w:t>,000</w:t>
      </w:r>
      <w:r w:rsidRPr="00067506">
        <w:t xml:space="preserve"> ac) were </w:t>
      </w:r>
      <w:r w:rsidR="00871E87" w:rsidRPr="00067506">
        <w:t>retaining</w:t>
      </w:r>
      <w:r w:rsidRPr="00067506">
        <w:t xml:space="preserve"> as potential restoration areas. This area threshold is somewhat arbitrary but chosen to represent areas large enough to support relatively minimal management and allow sufficient free range of movement to allow somewhat natural grazing patterns.</w:t>
      </w:r>
    </w:p>
    <w:p w14:paraId="6E8A4ED7" w14:textId="77777777" w:rsidR="00AF7256" w:rsidRDefault="00AF7256">
      <w:pPr>
        <w:spacing w:before="0" w:after="200" w:line="276" w:lineRule="auto"/>
      </w:pPr>
      <w:r>
        <w:br w:type="page"/>
      </w:r>
    </w:p>
    <w:p w14:paraId="45B9A40B" w14:textId="12F84992" w:rsidR="0057319D" w:rsidRPr="00067506" w:rsidRDefault="007251DE" w:rsidP="00974B2D">
      <w:pPr>
        <w:pStyle w:val="Heading1"/>
        <w:numPr>
          <w:ilvl w:val="0"/>
          <w:numId w:val="25"/>
        </w:numPr>
        <w:ind w:left="720" w:hanging="720"/>
      </w:pPr>
      <w:r w:rsidRPr="00067506">
        <w:t>References</w:t>
      </w:r>
    </w:p>
    <w:p w14:paraId="1D34F359" w14:textId="0F53EB2D" w:rsidR="00AA081A" w:rsidRPr="00067506" w:rsidRDefault="00AA081A" w:rsidP="007251DE">
      <w:pPr>
        <w:ind w:left="432" w:hanging="432"/>
        <w:rPr>
          <w:rFonts w:asciiTheme="majorBidi" w:hAnsiTheme="majorBidi" w:cstheme="majorBidi"/>
          <w:szCs w:val="24"/>
        </w:rPr>
      </w:pPr>
      <w:r w:rsidRPr="00067506">
        <w:rPr>
          <w:rFonts w:asciiTheme="majorBidi" w:hAnsiTheme="majorBidi" w:cstheme="majorBidi"/>
          <w:szCs w:val="24"/>
        </w:rPr>
        <w:t xml:space="preserve">Gorelick, N., </w:t>
      </w:r>
      <w:proofErr w:type="spellStart"/>
      <w:r w:rsidRPr="00067506">
        <w:rPr>
          <w:rFonts w:asciiTheme="majorBidi" w:hAnsiTheme="majorBidi" w:cstheme="majorBidi"/>
          <w:szCs w:val="24"/>
        </w:rPr>
        <w:t>Hancher</w:t>
      </w:r>
      <w:proofErr w:type="spellEnd"/>
      <w:r w:rsidRPr="00067506">
        <w:rPr>
          <w:rFonts w:asciiTheme="majorBidi" w:hAnsiTheme="majorBidi" w:cstheme="majorBidi"/>
          <w:szCs w:val="24"/>
        </w:rPr>
        <w:t xml:space="preserve">, M., Dixon, M., </w:t>
      </w:r>
      <w:proofErr w:type="spellStart"/>
      <w:r w:rsidRPr="00067506">
        <w:rPr>
          <w:rFonts w:asciiTheme="majorBidi" w:hAnsiTheme="majorBidi" w:cstheme="majorBidi"/>
          <w:szCs w:val="24"/>
        </w:rPr>
        <w:t>Ilyushchenko</w:t>
      </w:r>
      <w:proofErr w:type="spellEnd"/>
      <w:r w:rsidRPr="00067506">
        <w:rPr>
          <w:rFonts w:asciiTheme="majorBidi" w:hAnsiTheme="majorBidi" w:cstheme="majorBidi"/>
          <w:szCs w:val="24"/>
        </w:rPr>
        <w:t xml:space="preserve">, S., </w:t>
      </w:r>
      <w:proofErr w:type="spellStart"/>
      <w:r w:rsidRPr="00067506">
        <w:rPr>
          <w:rFonts w:asciiTheme="majorBidi" w:hAnsiTheme="majorBidi" w:cstheme="majorBidi"/>
          <w:szCs w:val="24"/>
        </w:rPr>
        <w:t>Thau</w:t>
      </w:r>
      <w:proofErr w:type="spellEnd"/>
      <w:r w:rsidRPr="00067506">
        <w:rPr>
          <w:rFonts w:asciiTheme="majorBidi" w:hAnsiTheme="majorBidi" w:cstheme="majorBidi"/>
          <w:szCs w:val="24"/>
        </w:rPr>
        <w:t xml:space="preserve">, D., &amp; Moore, R. </w:t>
      </w:r>
      <w:r w:rsidR="000E370E" w:rsidRPr="00067506">
        <w:rPr>
          <w:rFonts w:asciiTheme="majorBidi" w:hAnsiTheme="majorBidi" w:cstheme="majorBidi"/>
          <w:szCs w:val="24"/>
        </w:rPr>
        <w:t>(</w:t>
      </w:r>
      <w:r w:rsidRPr="00067506">
        <w:rPr>
          <w:rFonts w:asciiTheme="majorBidi" w:hAnsiTheme="majorBidi" w:cstheme="majorBidi"/>
          <w:szCs w:val="24"/>
        </w:rPr>
        <w:t>2017</w:t>
      </w:r>
      <w:r w:rsidR="000E370E" w:rsidRPr="00067506">
        <w:rPr>
          <w:rFonts w:asciiTheme="majorBidi" w:hAnsiTheme="majorBidi" w:cstheme="majorBidi"/>
          <w:szCs w:val="24"/>
        </w:rPr>
        <w:t>)</w:t>
      </w:r>
      <w:r w:rsidRPr="00067506">
        <w:rPr>
          <w:rFonts w:asciiTheme="majorBidi" w:hAnsiTheme="majorBidi" w:cstheme="majorBidi"/>
          <w:szCs w:val="24"/>
        </w:rPr>
        <w:t xml:space="preserve">. Google Earth Engine: Planetary-scale geospatial analysis for everyone. </w:t>
      </w:r>
      <w:r w:rsidRPr="00067506">
        <w:rPr>
          <w:rFonts w:asciiTheme="majorBidi" w:hAnsiTheme="majorBidi" w:cstheme="majorBidi"/>
          <w:i/>
          <w:iCs/>
          <w:szCs w:val="24"/>
        </w:rPr>
        <w:t>Remote Sensing of Environment</w:t>
      </w:r>
      <w:r w:rsidRPr="00067506">
        <w:rPr>
          <w:rFonts w:asciiTheme="majorBidi" w:hAnsiTheme="majorBidi" w:cstheme="majorBidi"/>
          <w:szCs w:val="24"/>
        </w:rPr>
        <w:t>.</w:t>
      </w:r>
    </w:p>
    <w:p w14:paraId="36CF4FDD" w14:textId="03846A43" w:rsidR="007251DE" w:rsidRPr="00067506" w:rsidRDefault="007251DE" w:rsidP="007251DE">
      <w:pPr>
        <w:ind w:left="432" w:hanging="432"/>
        <w:rPr>
          <w:rFonts w:asciiTheme="majorBidi" w:hAnsiTheme="majorBidi" w:cstheme="majorBidi"/>
          <w:szCs w:val="24"/>
        </w:rPr>
      </w:pPr>
      <w:r w:rsidRPr="00067506">
        <w:rPr>
          <w:rFonts w:asciiTheme="majorBidi" w:hAnsiTheme="majorBidi" w:cstheme="majorBidi"/>
          <w:szCs w:val="24"/>
        </w:rPr>
        <w:t xml:space="preserve">Hornaday, William T. </w:t>
      </w:r>
      <w:r w:rsidR="000E370E" w:rsidRPr="00067506">
        <w:rPr>
          <w:rFonts w:asciiTheme="majorBidi" w:hAnsiTheme="majorBidi" w:cstheme="majorBidi"/>
          <w:szCs w:val="24"/>
        </w:rPr>
        <w:t>(</w:t>
      </w:r>
      <w:r w:rsidRPr="00067506">
        <w:rPr>
          <w:rFonts w:asciiTheme="majorBidi" w:hAnsiTheme="majorBidi" w:cstheme="majorBidi"/>
          <w:szCs w:val="24"/>
        </w:rPr>
        <w:t>1887</w:t>
      </w:r>
      <w:r w:rsidR="000E370E" w:rsidRPr="00067506">
        <w:rPr>
          <w:rFonts w:asciiTheme="majorBidi" w:hAnsiTheme="majorBidi" w:cstheme="majorBidi"/>
          <w:szCs w:val="24"/>
        </w:rPr>
        <w:t>)</w:t>
      </w:r>
      <w:r w:rsidRPr="00067506">
        <w:rPr>
          <w:rFonts w:asciiTheme="majorBidi" w:hAnsiTheme="majorBidi" w:cstheme="majorBidi"/>
          <w:szCs w:val="24"/>
        </w:rPr>
        <w:t>. "The extermination of the American bison, with a sketch of its discovery and life history." in Report of the United States National Museum for the year ending June 30, 1887 (Pt. 2 of the Annual Report of the Board of Regents of the Smithsonian Institution for the year ending June 30, 1887.), 367–548, 21 pls, 1 map.</w:t>
      </w:r>
    </w:p>
    <w:p w14:paraId="4A37B46A" w14:textId="699045B7" w:rsidR="007251DE" w:rsidRPr="00067506" w:rsidRDefault="007251DE" w:rsidP="007251DE">
      <w:pPr>
        <w:ind w:left="432" w:hanging="432"/>
        <w:rPr>
          <w:rFonts w:asciiTheme="majorBidi" w:hAnsiTheme="majorBidi" w:cstheme="majorBidi"/>
          <w:szCs w:val="24"/>
        </w:rPr>
      </w:pPr>
      <w:r w:rsidRPr="00067506">
        <w:rPr>
          <w:rFonts w:asciiTheme="majorBidi" w:hAnsiTheme="majorBidi" w:cstheme="majorBidi"/>
          <w:szCs w:val="24"/>
        </w:rPr>
        <w:t xml:space="preserve">LANDFIRE. </w:t>
      </w:r>
      <w:r w:rsidR="000E370E" w:rsidRPr="00067506">
        <w:rPr>
          <w:rFonts w:asciiTheme="majorBidi" w:hAnsiTheme="majorBidi" w:cstheme="majorBidi"/>
          <w:szCs w:val="24"/>
        </w:rPr>
        <w:t>(</w:t>
      </w:r>
      <w:r w:rsidRPr="00067506">
        <w:rPr>
          <w:rFonts w:asciiTheme="majorBidi" w:hAnsiTheme="majorBidi" w:cstheme="majorBidi"/>
          <w:szCs w:val="24"/>
        </w:rPr>
        <w:t>2018</w:t>
      </w:r>
      <w:r w:rsidR="000E370E" w:rsidRPr="00067506">
        <w:rPr>
          <w:rFonts w:asciiTheme="majorBidi" w:hAnsiTheme="majorBidi" w:cstheme="majorBidi"/>
          <w:szCs w:val="24"/>
        </w:rPr>
        <w:t>)</w:t>
      </w:r>
      <w:r w:rsidRPr="00067506">
        <w:rPr>
          <w:rFonts w:asciiTheme="majorBidi" w:hAnsiTheme="majorBidi" w:cstheme="majorBidi"/>
          <w:szCs w:val="24"/>
        </w:rPr>
        <w:t xml:space="preserve">. LANDFIRE Existing Vegetation Type layer. U.S. Department of Interior, Geological Survey, and U.S. Department of Agriculture. [Online]. Available: http://landfire.cr.usgs.gov/viewer/. </w:t>
      </w:r>
    </w:p>
    <w:p w14:paraId="56112C42" w14:textId="6B0118A9" w:rsidR="007251DE" w:rsidRPr="00067506" w:rsidRDefault="007251DE" w:rsidP="007251DE">
      <w:pPr>
        <w:ind w:left="432" w:hanging="432"/>
        <w:rPr>
          <w:rFonts w:asciiTheme="majorBidi" w:hAnsiTheme="majorBidi" w:cstheme="majorBidi"/>
          <w:szCs w:val="24"/>
        </w:rPr>
      </w:pPr>
      <w:r w:rsidRPr="00067506">
        <w:rPr>
          <w:rFonts w:asciiTheme="majorBidi" w:hAnsiTheme="majorBidi" w:cstheme="majorBidi"/>
          <w:szCs w:val="24"/>
        </w:rPr>
        <w:t xml:space="preserve">NASA Shuttle </w:t>
      </w:r>
      <w:r w:rsidR="00AA081A" w:rsidRPr="00067506">
        <w:rPr>
          <w:rFonts w:asciiTheme="majorBidi" w:hAnsiTheme="majorBidi" w:cstheme="majorBidi"/>
          <w:szCs w:val="24"/>
        </w:rPr>
        <w:t xml:space="preserve">Radar Topography Mission (SRTM). </w:t>
      </w:r>
      <w:r w:rsidR="000E370E" w:rsidRPr="00067506">
        <w:rPr>
          <w:rFonts w:asciiTheme="majorBidi" w:hAnsiTheme="majorBidi" w:cstheme="majorBidi"/>
          <w:szCs w:val="24"/>
        </w:rPr>
        <w:t>(</w:t>
      </w:r>
      <w:r w:rsidR="00AA081A" w:rsidRPr="00067506">
        <w:rPr>
          <w:rFonts w:asciiTheme="majorBidi" w:hAnsiTheme="majorBidi" w:cstheme="majorBidi"/>
          <w:szCs w:val="24"/>
        </w:rPr>
        <w:t>2013</w:t>
      </w:r>
      <w:r w:rsidR="000E370E" w:rsidRPr="00067506">
        <w:rPr>
          <w:rFonts w:asciiTheme="majorBidi" w:hAnsiTheme="majorBidi" w:cstheme="majorBidi"/>
          <w:szCs w:val="24"/>
        </w:rPr>
        <w:t>)</w:t>
      </w:r>
      <w:r w:rsidRPr="00067506">
        <w:rPr>
          <w:rFonts w:asciiTheme="majorBidi" w:hAnsiTheme="majorBidi" w:cstheme="majorBidi"/>
          <w:szCs w:val="24"/>
        </w:rPr>
        <w:t xml:space="preserve">. Shuttle Radar Topography Mission (SRTM) Global. Distributed by </w:t>
      </w:r>
      <w:proofErr w:type="spellStart"/>
      <w:r w:rsidRPr="00067506">
        <w:rPr>
          <w:rFonts w:asciiTheme="majorBidi" w:hAnsiTheme="majorBidi" w:cstheme="majorBidi"/>
          <w:szCs w:val="24"/>
        </w:rPr>
        <w:t>OpenTopography</w:t>
      </w:r>
      <w:proofErr w:type="spellEnd"/>
      <w:r w:rsidRPr="00067506">
        <w:rPr>
          <w:rFonts w:asciiTheme="majorBidi" w:hAnsiTheme="majorBidi" w:cstheme="majorBidi"/>
          <w:szCs w:val="24"/>
        </w:rPr>
        <w:t>. https://doi.org/10.5069/G9445JDF Accessed: 2020-11-14</w:t>
      </w:r>
    </w:p>
    <w:p w14:paraId="6BDBD370" w14:textId="628B6330" w:rsidR="007251DE" w:rsidRPr="00067506" w:rsidRDefault="007251DE" w:rsidP="007251DE">
      <w:pPr>
        <w:ind w:left="432" w:hanging="432"/>
        <w:rPr>
          <w:rFonts w:asciiTheme="majorBidi" w:hAnsiTheme="majorBidi" w:cstheme="majorBidi"/>
          <w:szCs w:val="24"/>
        </w:rPr>
      </w:pPr>
      <w:r w:rsidRPr="00067506">
        <w:rPr>
          <w:rFonts w:asciiTheme="majorBidi" w:hAnsiTheme="majorBidi" w:cstheme="majorBidi"/>
          <w:szCs w:val="24"/>
        </w:rPr>
        <w:t xml:space="preserve">North American Land Change Monitoring System. </w:t>
      </w:r>
      <w:r w:rsidR="000E370E" w:rsidRPr="00067506">
        <w:rPr>
          <w:rFonts w:asciiTheme="majorBidi" w:hAnsiTheme="majorBidi" w:cstheme="majorBidi"/>
          <w:szCs w:val="24"/>
        </w:rPr>
        <w:t>(</w:t>
      </w:r>
      <w:r w:rsidRPr="00067506">
        <w:rPr>
          <w:rFonts w:asciiTheme="majorBidi" w:hAnsiTheme="majorBidi" w:cstheme="majorBidi"/>
          <w:szCs w:val="24"/>
        </w:rPr>
        <w:t>2020</w:t>
      </w:r>
      <w:r w:rsidR="000E370E" w:rsidRPr="00067506">
        <w:rPr>
          <w:rFonts w:asciiTheme="majorBidi" w:hAnsiTheme="majorBidi" w:cstheme="majorBidi"/>
          <w:szCs w:val="24"/>
        </w:rPr>
        <w:t>)</w:t>
      </w:r>
      <w:r w:rsidRPr="00067506">
        <w:rPr>
          <w:rFonts w:asciiTheme="majorBidi" w:hAnsiTheme="majorBidi" w:cstheme="majorBidi"/>
          <w:szCs w:val="24"/>
        </w:rPr>
        <w:t xml:space="preserve">. 2015 Land Cover of North America at 30 meters. Commission for Environmental Cooperation. [Online]. Available: </w:t>
      </w:r>
      <w:bookmarkStart w:id="2" w:name="_Hlk32169454"/>
      <w:r w:rsidRPr="00067506">
        <w:rPr>
          <w:rFonts w:asciiTheme="majorBidi" w:hAnsiTheme="majorBidi" w:cstheme="majorBidi"/>
          <w:szCs w:val="24"/>
        </w:rPr>
        <w:fldChar w:fldCharType="begin"/>
      </w:r>
      <w:r w:rsidRPr="00067506">
        <w:rPr>
          <w:rFonts w:asciiTheme="majorBidi" w:hAnsiTheme="majorBidi" w:cstheme="majorBidi"/>
          <w:szCs w:val="24"/>
        </w:rPr>
        <w:instrText xml:space="preserve"> HYPERLINK "http://www.cec.org/nalcms" </w:instrText>
      </w:r>
      <w:r w:rsidRPr="00067506">
        <w:rPr>
          <w:rFonts w:asciiTheme="majorBidi" w:hAnsiTheme="majorBidi" w:cstheme="majorBidi"/>
          <w:szCs w:val="24"/>
        </w:rPr>
        <w:fldChar w:fldCharType="separate"/>
      </w:r>
      <w:r w:rsidRPr="00067506">
        <w:rPr>
          <w:rStyle w:val="Hyperlink"/>
          <w:rFonts w:asciiTheme="majorBidi" w:eastAsia="MS Mincho" w:hAnsiTheme="majorBidi" w:cstheme="majorBidi"/>
          <w:color w:val="auto"/>
          <w:szCs w:val="24"/>
        </w:rPr>
        <w:t>http://www.cec.org/nalcms</w:t>
      </w:r>
      <w:r w:rsidRPr="00067506">
        <w:rPr>
          <w:rFonts w:asciiTheme="majorBidi" w:hAnsiTheme="majorBidi" w:cstheme="majorBidi"/>
          <w:szCs w:val="24"/>
        </w:rPr>
        <w:fldChar w:fldCharType="end"/>
      </w:r>
      <w:bookmarkEnd w:id="2"/>
    </w:p>
    <w:p w14:paraId="6B4B6C5E" w14:textId="116939DF" w:rsidR="007251DE" w:rsidRPr="00067506" w:rsidRDefault="007251DE" w:rsidP="007251DE">
      <w:pPr>
        <w:ind w:left="432" w:hanging="432"/>
        <w:rPr>
          <w:rFonts w:asciiTheme="majorBidi" w:hAnsiTheme="majorBidi" w:cstheme="majorBidi"/>
          <w:szCs w:val="24"/>
        </w:rPr>
      </w:pPr>
      <w:proofErr w:type="spellStart"/>
      <w:r w:rsidRPr="00067506">
        <w:rPr>
          <w:rFonts w:asciiTheme="majorBidi" w:hAnsiTheme="majorBidi" w:cstheme="majorBidi"/>
          <w:szCs w:val="24"/>
        </w:rPr>
        <w:t>Steenweg</w:t>
      </w:r>
      <w:proofErr w:type="spellEnd"/>
      <w:r w:rsidRPr="00067506">
        <w:rPr>
          <w:rFonts w:asciiTheme="majorBidi" w:hAnsiTheme="majorBidi" w:cstheme="majorBidi"/>
          <w:szCs w:val="24"/>
        </w:rPr>
        <w:t xml:space="preserve"> R, </w:t>
      </w:r>
      <w:proofErr w:type="spellStart"/>
      <w:r w:rsidRPr="00067506">
        <w:rPr>
          <w:rFonts w:asciiTheme="majorBidi" w:hAnsiTheme="majorBidi" w:cstheme="majorBidi"/>
          <w:szCs w:val="24"/>
        </w:rPr>
        <w:t>Hebblewhite</w:t>
      </w:r>
      <w:proofErr w:type="spellEnd"/>
      <w:r w:rsidRPr="00067506">
        <w:rPr>
          <w:rFonts w:asciiTheme="majorBidi" w:hAnsiTheme="majorBidi" w:cstheme="majorBidi"/>
          <w:szCs w:val="24"/>
        </w:rPr>
        <w:t xml:space="preserve"> M, Gummer D, Low B, Hunt </w:t>
      </w:r>
      <w:proofErr w:type="gramStart"/>
      <w:r w:rsidRPr="00067506">
        <w:rPr>
          <w:rFonts w:asciiTheme="majorBidi" w:hAnsiTheme="majorBidi" w:cstheme="majorBidi"/>
          <w:szCs w:val="24"/>
        </w:rPr>
        <w:t xml:space="preserve">B </w:t>
      </w:r>
      <w:r w:rsidR="00AA081A" w:rsidRPr="00067506">
        <w:rPr>
          <w:rFonts w:asciiTheme="majorBidi" w:hAnsiTheme="majorBidi" w:cstheme="majorBidi"/>
          <w:szCs w:val="24"/>
        </w:rPr>
        <w:t>.</w:t>
      </w:r>
      <w:proofErr w:type="gramEnd"/>
      <w:r w:rsidR="000E370E" w:rsidRPr="00067506">
        <w:rPr>
          <w:rFonts w:asciiTheme="majorBidi" w:hAnsiTheme="majorBidi" w:cstheme="majorBidi"/>
          <w:szCs w:val="24"/>
        </w:rPr>
        <w:t>(</w:t>
      </w:r>
      <w:r w:rsidRPr="00067506">
        <w:rPr>
          <w:rFonts w:asciiTheme="majorBidi" w:hAnsiTheme="majorBidi" w:cstheme="majorBidi"/>
          <w:szCs w:val="24"/>
        </w:rPr>
        <w:t>2016</w:t>
      </w:r>
      <w:r w:rsidR="000E370E" w:rsidRPr="00067506">
        <w:rPr>
          <w:rFonts w:asciiTheme="majorBidi" w:hAnsiTheme="majorBidi" w:cstheme="majorBidi"/>
          <w:szCs w:val="24"/>
        </w:rPr>
        <w:t>)</w:t>
      </w:r>
      <w:r w:rsidR="00AA081A" w:rsidRPr="00067506">
        <w:rPr>
          <w:rFonts w:asciiTheme="majorBidi" w:hAnsiTheme="majorBidi" w:cstheme="majorBidi"/>
          <w:szCs w:val="24"/>
        </w:rPr>
        <w:t>.</w:t>
      </w:r>
      <w:r w:rsidRPr="00067506">
        <w:rPr>
          <w:rFonts w:asciiTheme="majorBidi" w:hAnsiTheme="majorBidi" w:cstheme="majorBidi"/>
          <w:szCs w:val="24"/>
        </w:rPr>
        <w:t xml:space="preserve"> Assessing Potential Habitat and Carrying Capacity for Reintroduction of Plains Bison (</w:t>
      </w:r>
      <w:r w:rsidRPr="00067506">
        <w:rPr>
          <w:rStyle w:val="Emphasis"/>
          <w:rFonts w:asciiTheme="majorBidi" w:hAnsiTheme="majorBidi" w:cstheme="majorBidi"/>
          <w:i w:val="0"/>
          <w:iCs w:val="0"/>
          <w:szCs w:val="24"/>
        </w:rPr>
        <w:t xml:space="preserve">Bison </w:t>
      </w:r>
      <w:proofErr w:type="spellStart"/>
      <w:r w:rsidRPr="00067506">
        <w:rPr>
          <w:rStyle w:val="Emphasis"/>
          <w:rFonts w:asciiTheme="majorBidi" w:hAnsiTheme="majorBidi" w:cstheme="majorBidi"/>
          <w:i w:val="0"/>
          <w:iCs w:val="0"/>
          <w:szCs w:val="24"/>
        </w:rPr>
        <w:t>bison</w:t>
      </w:r>
      <w:proofErr w:type="spellEnd"/>
      <w:r w:rsidRPr="00067506">
        <w:rPr>
          <w:rStyle w:val="Emphasis"/>
          <w:rFonts w:asciiTheme="majorBidi" w:hAnsiTheme="majorBidi" w:cstheme="majorBidi"/>
          <w:i w:val="0"/>
          <w:iCs w:val="0"/>
          <w:szCs w:val="24"/>
        </w:rPr>
        <w:t xml:space="preserve"> bison</w:t>
      </w:r>
      <w:r w:rsidRPr="00067506">
        <w:rPr>
          <w:rFonts w:asciiTheme="majorBidi" w:hAnsiTheme="majorBidi" w:cstheme="majorBidi"/>
          <w:szCs w:val="24"/>
        </w:rPr>
        <w:t xml:space="preserve">) in Banff National Park. </w:t>
      </w:r>
      <w:proofErr w:type="spellStart"/>
      <w:r w:rsidRPr="00067506">
        <w:rPr>
          <w:rFonts w:asciiTheme="majorBidi" w:hAnsiTheme="majorBidi" w:cstheme="majorBidi"/>
          <w:szCs w:val="24"/>
        </w:rPr>
        <w:t>PLoS</w:t>
      </w:r>
      <w:proofErr w:type="spellEnd"/>
      <w:r w:rsidRPr="00067506">
        <w:rPr>
          <w:rFonts w:asciiTheme="majorBidi" w:hAnsiTheme="majorBidi" w:cstheme="majorBidi"/>
          <w:szCs w:val="24"/>
        </w:rPr>
        <w:t xml:space="preserve"> ONE 11(2): e0150065. </w:t>
      </w:r>
      <w:hyperlink r:id="rId16" w:history="1">
        <w:r w:rsidRPr="00067506">
          <w:rPr>
            <w:rStyle w:val="Hyperlink"/>
            <w:rFonts w:asciiTheme="majorBidi" w:hAnsiTheme="majorBidi" w:cstheme="majorBidi"/>
            <w:color w:val="auto"/>
            <w:szCs w:val="24"/>
          </w:rPr>
          <w:t>https://doi.org/10.1371/journal.pone.0150065</w:t>
        </w:r>
      </w:hyperlink>
    </w:p>
    <w:p w14:paraId="47893594" w14:textId="354F10DA" w:rsidR="007251DE" w:rsidRPr="00BA0ABE" w:rsidRDefault="007251DE" w:rsidP="007251DE">
      <w:pPr>
        <w:ind w:left="432" w:hanging="432"/>
        <w:rPr>
          <w:rFonts w:asciiTheme="majorBidi" w:hAnsiTheme="majorBidi" w:cstheme="majorBidi"/>
          <w:szCs w:val="24"/>
        </w:rPr>
      </w:pPr>
      <w:proofErr w:type="spellStart"/>
      <w:r w:rsidRPr="00067506">
        <w:rPr>
          <w:rFonts w:asciiTheme="majorBidi" w:hAnsiTheme="majorBidi" w:cstheme="majorBidi"/>
          <w:szCs w:val="24"/>
        </w:rPr>
        <w:t>Vermote</w:t>
      </w:r>
      <w:proofErr w:type="spellEnd"/>
      <w:r w:rsidRPr="00067506">
        <w:rPr>
          <w:rFonts w:asciiTheme="majorBidi" w:hAnsiTheme="majorBidi" w:cstheme="majorBidi"/>
          <w:szCs w:val="24"/>
        </w:rPr>
        <w:t xml:space="preserve">, E., Wolfe, R. </w:t>
      </w:r>
      <w:r w:rsidR="000E370E" w:rsidRPr="00067506">
        <w:rPr>
          <w:rFonts w:asciiTheme="majorBidi" w:hAnsiTheme="majorBidi" w:cstheme="majorBidi"/>
          <w:szCs w:val="24"/>
        </w:rPr>
        <w:t>(</w:t>
      </w:r>
      <w:r w:rsidRPr="00067506">
        <w:rPr>
          <w:rFonts w:asciiTheme="majorBidi" w:hAnsiTheme="majorBidi" w:cstheme="majorBidi"/>
          <w:szCs w:val="24"/>
        </w:rPr>
        <w:t>2015</w:t>
      </w:r>
      <w:r w:rsidR="000E370E" w:rsidRPr="00067506">
        <w:rPr>
          <w:rFonts w:asciiTheme="majorBidi" w:hAnsiTheme="majorBidi" w:cstheme="majorBidi"/>
          <w:szCs w:val="24"/>
        </w:rPr>
        <w:t>)</w:t>
      </w:r>
      <w:r w:rsidRPr="00067506">
        <w:rPr>
          <w:rFonts w:asciiTheme="majorBidi" w:hAnsiTheme="majorBidi" w:cstheme="majorBidi"/>
          <w:szCs w:val="24"/>
        </w:rPr>
        <w:t>. MOD09GA MODIS/Terra Surface Reflectance Daily L2G Global 1kmand 500m SIN Grid V006 [The Enhanced Vegetation Index (EVI)]. NASA EOSDIS Land Processes DAAC. Accessed 2021-03-25 from https://doi.org/10.5067/MODIS/MOD09GA.006</w:t>
      </w:r>
    </w:p>
    <w:p w14:paraId="7B65BC41" w14:textId="77777777" w:rsidR="00DE23E8" w:rsidRPr="00BA0ABE" w:rsidRDefault="00DE23E8" w:rsidP="007251DE">
      <w:pPr>
        <w:jc w:val="both"/>
        <w:rPr>
          <w:rFonts w:asciiTheme="majorBidi" w:hAnsiTheme="majorBidi" w:cstheme="majorBidi"/>
          <w:szCs w:val="24"/>
        </w:rPr>
      </w:pPr>
    </w:p>
    <w:sectPr w:rsidR="00DE23E8" w:rsidRPr="00BA0ABE" w:rsidSect="0093429D">
      <w:headerReference w:type="even" r:id="rId17"/>
      <w:footerReference w:type="even" r:id="rId18"/>
      <w:footerReference w:type="default" r:id="rId19"/>
      <w:headerReference w:type="first" r:id="rId2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DF68E" w14:textId="77777777" w:rsidR="006F28CB" w:rsidRDefault="006F28CB" w:rsidP="00117666">
      <w:pPr>
        <w:spacing w:after="0"/>
      </w:pPr>
      <w:r>
        <w:separator/>
      </w:r>
    </w:p>
  </w:endnote>
  <w:endnote w:type="continuationSeparator" w:id="0">
    <w:p w14:paraId="104DE382" w14:textId="77777777" w:rsidR="006F28CB" w:rsidRDefault="006F28C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1C7F7DA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279D">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1C7F7DA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279D">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2E4BD4D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279D">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2E4BD4D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279D">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18E0" w14:textId="77777777" w:rsidR="006F28CB" w:rsidRDefault="006F28CB" w:rsidP="00117666">
      <w:pPr>
        <w:spacing w:after="0"/>
      </w:pPr>
      <w:r>
        <w:separator/>
      </w:r>
    </w:p>
  </w:footnote>
  <w:footnote w:type="continuationSeparator" w:id="0">
    <w:p w14:paraId="183EB926" w14:textId="77777777" w:rsidR="006F28CB" w:rsidRDefault="006F28C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7D"/>
    <w:multiLevelType w:val="hybridMultilevel"/>
    <w:tmpl w:val="2B9C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030"/>
    <w:multiLevelType w:val="hybridMultilevel"/>
    <w:tmpl w:val="7D3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601A"/>
    <w:multiLevelType w:val="multilevel"/>
    <w:tmpl w:val="AFAC03C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E40697"/>
    <w:multiLevelType w:val="hybridMultilevel"/>
    <w:tmpl w:val="21A06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2044F"/>
    <w:multiLevelType w:val="hybridMultilevel"/>
    <w:tmpl w:val="7228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32594"/>
    <w:multiLevelType w:val="hybridMultilevel"/>
    <w:tmpl w:val="D61A5CF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78582048"/>
    <w:multiLevelType w:val="hybridMultilevel"/>
    <w:tmpl w:val="24D0BCFC"/>
    <w:lvl w:ilvl="0" w:tplc="18D62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rPr>
          <w:b/>
          <w:bCs w:val="0"/>
        </w:rPr>
      </w:lvl>
    </w:lvlOverride>
    <w:lvlOverride w:ilvl="2">
      <w:lvl w:ilvl="2">
        <w:start w:val="1"/>
        <w:numFmt w:val="decimal"/>
        <w:pStyle w:val="Heading3"/>
        <w:lvlText w:val="%1.%2.%3."/>
        <w:lvlJc w:val="left"/>
        <w:pPr>
          <w:ind w:left="1224" w:hanging="504"/>
        </w:pPr>
      </w:lvl>
    </w:lvlOverride>
    <w:lvlOverride w:ilvl="3">
      <w:lvl w:ilvl="3">
        <w:start w:val="1"/>
        <w:numFmt w:val="decimal"/>
        <w:pStyle w:val="Heading4"/>
        <w:lvlText w:val="%1.%2.%3.%4."/>
        <w:lvlJc w:val="left"/>
        <w:pPr>
          <w:ind w:left="1728" w:hanging="648"/>
        </w:pPr>
      </w:lvl>
    </w:lvlOverride>
    <w:lvlOverride w:ilvl="4">
      <w:lvl w:ilvl="4">
        <w:start w:val="1"/>
        <w:numFmt w:val="decimal"/>
        <w:pStyle w:val="Heading5"/>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8"/>
  </w:num>
  <w:num w:numId="21">
    <w:abstractNumId w:val="7"/>
  </w:num>
  <w:num w:numId="22">
    <w:abstractNumId w:val="3"/>
  </w:num>
  <w:num w:numId="23">
    <w:abstractNumId w:val="0"/>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37EE4"/>
    <w:rsid w:val="00052A14"/>
    <w:rsid w:val="00067506"/>
    <w:rsid w:val="00077D53"/>
    <w:rsid w:val="000D543D"/>
    <w:rsid w:val="000E370E"/>
    <w:rsid w:val="00105FD9"/>
    <w:rsid w:val="00117666"/>
    <w:rsid w:val="001549D3"/>
    <w:rsid w:val="00160065"/>
    <w:rsid w:val="00177D84"/>
    <w:rsid w:val="00233E93"/>
    <w:rsid w:val="00261758"/>
    <w:rsid w:val="00267D18"/>
    <w:rsid w:val="00274347"/>
    <w:rsid w:val="002868E2"/>
    <w:rsid w:val="002869C3"/>
    <w:rsid w:val="00287801"/>
    <w:rsid w:val="002936E4"/>
    <w:rsid w:val="002B4A57"/>
    <w:rsid w:val="002C74CA"/>
    <w:rsid w:val="002D2B18"/>
    <w:rsid w:val="003123F4"/>
    <w:rsid w:val="003544FB"/>
    <w:rsid w:val="00397405"/>
    <w:rsid w:val="003D2F2D"/>
    <w:rsid w:val="00401590"/>
    <w:rsid w:val="00447801"/>
    <w:rsid w:val="00452E9C"/>
    <w:rsid w:val="004735C8"/>
    <w:rsid w:val="004947A6"/>
    <w:rsid w:val="004961FF"/>
    <w:rsid w:val="004A65E6"/>
    <w:rsid w:val="00517A89"/>
    <w:rsid w:val="005250F2"/>
    <w:rsid w:val="005610FD"/>
    <w:rsid w:val="0057319D"/>
    <w:rsid w:val="00593EEA"/>
    <w:rsid w:val="005A5EEE"/>
    <w:rsid w:val="005C392E"/>
    <w:rsid w:val="00603B1F"/>
    <w:rsid w:val="006375C7"/>
    <w:rsid w:val="00654E8F"/>
    <w:rsid w:val="00660D05"/>
    <w:rsid w:val="006820B1"/>
    <w:rsid w:val="006B7D14"/>
    <w:rsid w:val="006F28CB"/>
    <w:rsid w:val="00701727"/>
    <w:rsid w:val="0070566C"/>
    <w:rsid w:val="00714C50"/>
    <w:rsid w:val="007251DE"/>
    <w:rsid w:val="00725A7D"/>
    <w:rsid w:val="007501BE"/>
    <w:rsid w:val="00790BB3"/>
    <w:rsid w:val="007C206C"/>
    <w:rsid w:val="00817DD6"/>
    <w:rsid w:val="0083759F"/>
    <w:rsid w:val="0086516A"/>
    <w:rsid w:val="00871E87"/>
    <w:rsid w:val="00883C76"/>
    <w:rsid w:val="00885156"/>
    <w:rsid w:val="008A3B7D"/>
    <w:rsid w:val="00907E04"/>
    <w:rsid w:val="009151AA"/>
    <w:rsid w:val="0093429D"/>
    <w:rsid w:val="00943573"/>
    <w:rsid w:val="00964134"/>
    <w:rsid w:val="00970F7D"/>
    <w:rsid w:val="00974B2D"/>
    <w:rsid w:val="00994A3D"/>
    <w:rsid w:val="009B3A0B"/>
    <w:rsid w:val="009C2B12"/>
    <w:rsid w:val="009D23BD"/>
    <w:rsid w:val="009D279D"/>
    <w:rsid w:val="00A174D9"/>
    <w:rsid w:val="00A57A45"/>
    <w:rsid w:val="00AA081A"/>
    <w:rsid w:val="00AA4D24"/>
    <w:rsid w:val="00AB6715"/>
    <w:rsid w:val="00AB6A49"/>
    <w:rsid w:val="00AF7256"/>
    <w:rsid w:val="00B1671E"/>
    <w:rsid w:val="00B25EB8"/>
    <w:rsid w:val="00B37F4D"/>
    <w:rsid w:val="00BA0ABE"/>
    <w:rsid w:val="00BC5FA3"/>
    <w:rsid w:val="00C1094F"/>
    <w:rsid w:val="00C512EF"/>
    <w:rsid w:val="00C523D1"/>
    <w:rsid w:val="00C52A7B"/>
    <w:rsid w:val="00C56BAF"/>
    <w:rsid w:val="00C679AA"/>
    <w:rsid w:val="00C75972"/>
    <w:rsid w:val="00C779FD"/>
    <w:rsid w:val="00CD066B"/>
    <w:rsid w:val="00CE4FEE"/>
    <w:rsid w:val="00CF225E"/>
    <w:rsid w:val="00D060CF"/>
    <w:rsid w:val="00DB59C3"/>
    <w:rsid w:val="00DC259A"/>
    <w:rsid w:val="00DE23E8"/>
    <w:rsid w:val="00E52377"/>
    <w:rsid w:val="00E537AD"/>
    <w:rsid w:val="00E64E17"/>
    <w:rsid w:val="00E866C9"/>
    <w:rsid w:val="00EA3D3C"/>
    <w:rsid w:val="00EC090A"/>
    <w:rsid w:val="00ED20B5"/>
    <w:rsid w:val="00ED28B2"/>
    <w:rsid w:val="00F2498B"/>
    <w:rsid w:val="00F46900"/>
    <w:rsid w:val="00F61D89"/>
    <w:rsid w:val="00F81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IntenseQuote">
    <w:name w:val="Intense Quote"/>
    <w:basedOn w:val="Normal"/>
    <w:next w:val="Normal"/>
    <w:link w:val="IntenseQuoteChar"/>
    <w:uiPriority w:val="30"/>
    <w:qFormat/>
    <w:rsid w:val="007251DE"/>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i/>
      <w:iCs/>
      <w:color w:val="4F81BD" w:themeColor="accent1"/>
      <w:sz w:val="22"/>
    </w:rPr>
  </w:style>
  <w:style w:type="character" w:customStyle="1" w:styleId="IntenseQuoteChar">
    <w:name w:val="Intense Quote Char"/>
    <w:basedOn w:val="DefaultParagraphFont"/>
    <w:link w:val="IntenseQuote"/>
    <w:uiPriority w:val="30"/>
    <w:rsid w:val="007251DE"/>
    <w:rPr>
      <w:i/>
      <w:iCs/>
      <w:color w:val="4F81BD" w:themeColor="accent1"/>
    </w:rPr>
  </w:style>
  <w:style w:type="table" w:styleId="GridTable1Light">
    <w:name w:val="Grid Table 1 Light"/>
    <w:basedOn w:val="TableNormal"/>
    <w:uiPriority w:val="46"/>
    <w:rsid w:val="007251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5C3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339195120">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s.google.com/earth-engine/datasets/catalog/MODIS_MOD09GA_006_EV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371/journal.pone.015006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jpl.nasa.gov/srtm/" TargetMode="External"/><Relationship Id="rId5" Type="http://schemas.openxmlformats.org/officeDocument/2006/relationships/numbering" Target="numbering.xml"/><Relationship Id="rId15" Type="http://schemas.openxmlformats.org/officeDocument/2006/relationships/image" Target="media/image2.tif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earthengine.google.com/?scriptPath=users%2Fbbrock_wcs%2FMODIS_EVI%3AMODIS_MEAN_YEARLY_MAXEV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93181745F764B899AE8F9FEDE63EA" ma:contentTypeVersion="9" ma:contentTypeDescription="Create a new document." ma:contentTypeScope="" ma:versionID="c24f1f7dca13cb1e6de4e298243b3bb5">
  <xsd:schema xmlns:xsd="http://www.w3.org/2001/XMLSchema" xmlns:xs="http://www.w3.org/2001/XMLSchema" xmlns:p="http://schemas.microsoft.com/office/2006/metadata/properties" xmlns:ns3="64ec67ff-e0cb-43cb-b323-2319eae6d9a1" xmlns:ns4="b5627a90-692f-4ec8-9071-3d7f0dfe901e" targetNamespace="http://schemas.microsoft.com/office/2006/metadata/properties" ma:root="true" ma:fieldsID="f552fe55f84b23ce28b7ffa76c22c22d" ns3:_="" ns4:_="">
    <xsd:import namespace="64ec67ff-e0cb-43cb-b323-2319eae6d9a1"/>
    <xsd:import namespace="b5627a90-692f-4ec8-9071-3d7f0dfe9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67ff-e0cb-43cb-b323-2319eae6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27a90-692f-4ec8-9071-3d7f0dfe9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49B8C-336C-430F-914C-4A6D5FE5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67ff-e0cb-43cb-b323-2319eae6d9a1"/>
    <ds:schemaRef ds:uri="b5627a90-692f-4ec8-9071-3d7f0dfe9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70019-5F7F-47AB-81B1-03BFC3085E44}">
  <ds:schemaRefs>
    <ds:schemaRef ds:uri="http://schemas.openxmlformats.org/officeDocument/2006/bibliography"/>
  </ds:schemaRefs>
</ds:datastoreItem>
</file>

<file path=customXml/itemProps3.xml><?xml version="1.0" encoding="utf-8"?>
<ds:datastoreItem xmlns:ds="http://schemas.openxmlformats.org/officeDocument/2006/customXml" ds:itemID="{BA156CFD-13B2-4A1F-86BF-CBB76A002377}">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64ec67ff-e0cb-43cb-b323-2319eae6d9a1"/>
    <ds:schemaRef ds:uri="http://schemas.microsoft.com/office/infopath/2007/PartnerControls"/>
    <ds:schemaRef ds:uri="b5627a90-692f-4ec8-9071-3d7f0dfe901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DE6B6B9-2749-4349-91E1-B1C04DE90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Author</cp:lastModifiedBy>
  <cp:revision>2</cp:revision>
  <cp:lastPrinted>2013-10-03T12:51:00Z</cp:lastPrinted>
  <dcterms:created xsi:type="dcterms:W3CDTF">2021-11-30T01:46:00Z</dcterms:created>
  <dcterms:modified xsi:type="dcterms:W3CDTF">2021-11-30T01:46:00Z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http://www.zotero.org/styles/ecological-applications</vt:lpwstr>
  </property>
  <property fmtid="{D5CDD505-2E9C-101B-9397-08002B2CF9AE}" pid="7" name="Mendeley Recent Style Name 2_1">
    <vt:lpwstr>Ecological Applications</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http://www.zotero.org/styles/european-journal-of-wildlife-research</vt:lpwstr>
  </property>
  <property fmtid="{D5CDD505-2E9C-101B-9397-08002B2CF9AE}" pid="11" name="Mendeley Recent Style Name 4_1">
    <vt:lpwstr>European Journal of Wildlife Research</vt:lpwstr>
  </property>
  <property fmtid="{D5CDD505-2E9C-101B-9397-08002B2CF9AE}" pid="12" name="Mendeley Recent Style Id 5_1">
    <vt:lpwstr>http://www.zotero.org/styles/frontiers-in-ecology-and-evolution</vt:lpwstr>
  </property>
  <property fmtid="{D5CDD505-2E9C-101B-9397-08002B2CF9AE}" pid="13" name="Mendeley Recent Style Name 5_1">
    <vt:lpwstr>Frontiers in Ecology and Evolution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http://www.zotero.org/styles/journal-of-zoology</vt:lpwstr>
  </property>
  <property fmtid="{D5CDD505-2E9C-101B-9397-08002B2CF9AE}" pid="17" name="Mendeley Recent Style Name 7_1">
    <vt:lpwstr>Journal of Zoology</vt:lpwstr>
  </property>
  <property fmtid="{D5CDD505-2E9C-101B-9397-08002B2CF9AE}" pid="18" name="Mendeley Recent Style Id 8_1">
    <vt:lpwstr>http://www.zotero.org/styles/springer-vancouver</vt:lpwstr>
  </property>
  <property fmtid="{D5CDD505-2E9C-101B-9397-08002B2CF9AE}" pid="19" name="Mendeley Recent Style Name 8_1">
    <vt:lpwstr>Springer - Vancouver</vt:lpwstr>
  </property>
  <property fmtid="{D5CDD505-2E9C-101B-9397-08002B2CF9AE}" pid="20" name="Mendeley Recent Style Id 9_1">
    <vt:lpwstr>http://www.zotero.org/styles/wildlife-research</vt:lpwstr>
  </property>
  <property fmtid="{D5CDD505-2E9C-101B-9397-08002B2CF9AE}" pid="21" name="Mendeley Recent Style Name 9_1">
    <vt:lpwstr>Wildlife Research</vt:lpwstr>
  </property>
  <property fmtid="{D5CDD505-2E9C-101B-9397-08002B2CF9AE}" pid="22" name="ContentTypeId">
    <vt:lpwstr>0x01010069093181745F764B899AE8F9FEDE63EA</vt:lpwstr>
  </property>
  <property fmtid="{D5CDD505-2E9C-101B-9397-08002B2CF9AE}" pid="23" name="Mendeley Document_1">
    <vt:lpwstr>True</vt:lpwstr>
  </property>
  <property fmtid="{D5CDD505-2E9C-101B-9397-08002B2CF9AE}" pid="24" name="Mendeley Unique User Id_1">
    <vt:lpwstr>20067890-1883-334d-a871-fc0d73a7d437</vt:lpwstr>
  </property>
  <property fmtid="{D5CDD505-2E9C-101B-9397-08002B2CF9AE}" pid="25" name="Mendeley Citation Style_1">
    <vt:lpwstr>http://www.zotero.org/styles/frontiers-in-ecology-and-evolution</vt:lpwstr>
  </property>
</Properties>
</file>