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A427" w14:textId="7AB07B36" w:rsidR="00EA3D3C" w:rsidRPr="00994A3D" w:rsidRDefault="00654E8F" w:rsidP="0001436A">
      <w:pPr>
        <w:pStyle w:val="Heading1"/>
      </w:pPr>
      <w:r w:rsidRPr="00994A3D">
        <w:t>Supplementary Data</w:t>
      </w:r>
      <w:r w:rsidR="004E097B">
        <w:t xml:space="preserve"> 1</w:t>
      </w:r>
    </w:p>
    <w:p w14:paraId="68786026" w14:textId="170F415C" w:rsidR="004E097B" w:rsidRDefault="004E097B" w:rsidP="004E097B">
      <w:pPr>
        <w:shd w:val="clear" w:color="auto" w:fill="FFFFFF" w:themeFill="background1"/>
        <w:spacing w:before="240"/>
        <w:rPr>
          <w:rFonts w:asciiTheme="majorBidi" w:hAnsiTheme="majorBidi" w:cstheme="majorBidi"/>
          <w:b/>
          <w:bCs/>
        </w:rPr>
      </w:pPr>
      <w:r w:rsidRPr="50F38551">
        <w:rPr>
          <w:rFonts w:asciiTheme="majorBidi" w:hAnsiTheme="majorBidi" w:cstheme="majorBidi"/>
          <w:b/>
          <w:bCs/>
        </w:rPr>
        <w:t xml:space="preserve">Further explanation to Figure 2. </w:t>
      </w:r>
      <w:r w:rsidRPr="001655FA">
        <w:rPr>
          <w:rFonts w:eastAsia="Times New Roman" w:cs="Times New Roman"/>
          <w:b/>
          <w:bCs/>
          <w:color w:val="201F1E"/>
        </w:rPr>
        <w:t>Major events leading to decline of American bison (</w:t>
      </w:r>
      <w:r w:rsidRPr="001655FA">
        <w:rPr>
          <w:rFonts w:eastAsia="Times New Roman" w:cs="Times New Roman"/>
          <w:b/>
          <w:bCs/>
          <w:i/>
          <w:iCs/>
          <w:color w:val="201F1E"/>
        </w:rPr>
        <w:t>Bison bison</w:t>
      </w:r>
      <w:r w:rsidRPr="001655FA">
        <w:rPr>
          <w:rFonts w:eastAsia="Times New Roman" w:cs="Times New Roman"/>
          <w:b/>
          <w:bCs/>
          <w:color w:val="201F1E"/>
        </w:rPr>
        <w:t xml:space="preserve">) </w:t>
      </w:r>
      <w:r w:rsidR="73C7F051" w:rsidRPr="50F38551">
        <w:rPr>
          <w:rFonts w:eastAsia="Times New Roman" w:cs="Times New Roman"/>
          <w:b/>
          <w:bCs/>
          <w:color w:val="201F1E"/>
        </w:rPr>
        <w:t>occurred</w:t>
      </w:r>
      <w:r w:rsidRPr="001655FA">
        <w:rPr>
          <w:rFonts w:eastAsia="Times New Roman" w:cs="Times New Roman"/>
          <w:b/>
          <w:bCs/>
          <w:color w:val="201F1E"/>
        </w:rPr>
        <w:t xml:space="preserve"> in parallel with settler </w:t>
      </w:r>
      <w:r w:rsidRPr="50F38551">
        <w:rPr>
          <w:rFonts w:eastAsia="Times New Roman" w:cs="Times New Roman"/>
          <w:b/>
          <w:bCs/>
          <w:color w:val="201F1E"/>
        </w:rPr>
        <w:t>coloni</w:t>
      </w:r>
      <w:r w:rsidR="00819F06" w:rsidRPr="50F38551">
        <w:rPr>
          <w:rFonts w:eastAsia="Times New Roman" w:cs="Times New Roman"/>
          <w:b/>
          <w:bCs/>
          <w:color w:val="201F1E"/>
        </w:rPr>
        <w:t>zation</w:t>
      </w:r>
      <w:r w:rsidRPr="001655FA">
        <w:rPr>
          <w:rFonts w:eastAsia="Times New Roman" w:cs="Times New Roman"/>
          <w:b/>
          <w:bCs/>
          <w:color w:val="201F1E"/>
        </w:rPr>
        <w:t xml:space="preserve"> and the disenfranchisement of Plains people</w:t>
      </w:r>
      <w:r w:rsidRPr="001655FA">
        <w:rPr>
          <w:rFonts w:eastAsia="Times New Roman" w:cs="Times New Roman"/>
          <w:b/>
          <w:bCs/>
          <w:i/>
          <w:iCs/>
          <w:color w:val="201F1E"/>
        </w:rPr>
        <w:t>.</w:t>
      </w:r>
      <w:r w:rsidRPr="00032CE5">
        <w:rPr>
          <w:rFonts w:asciiTheme="majorBidi" w:hAnsiTheme="majorBidi" w:cstheme="majorBidi"/>
          <w:b/>
          <w:bCs/>
        </w:rPr>
        <w:t xml:space="preserve"> </w:t>
      </w:r>
      <w:r w:rsidR="00AC7DCA">
        <w:rPr>
          <w:rFonts w:asciiTheme="majorBidi" w:hAnsiTheme="majorBidi" w:cstheme="majorBidi"/>
          <w:b/>
          <w:bCs/>
        </w:rPr>
        <w:fldChar w:fldCharType="begin" w:fldLock="1"/>
      </w:r>
      <w:r w:rsidR="00AC7DCA">
        <w:rPr>
          <w:rFonts w:asciiTheme="majorBidi" w:hAnsiTheme="majorBidi" w:cstheme="majorBidi"/>
          <w:b/>
          <w:bCs/>
        </w:rPr>
        <w:instrText>ADDIN CSL_CITATION {"citationItems":[{"id":"ITEM-1","itemData":{"URL":"https://iltf.org/about-us/","accessed":{"date-parts":[["2021","11","23"]]},"author":[{"dropping-particle":"","family":"ILTF","given":"","non-dropping-particle":"","parse-names":false,"suffix":""}],"id":"ITEM-1","issued":{"date-parts":[["0"]]},"title":"The Indian Land Tenure Foundation","type":"webpage"},"uris":["http://www.mendeley.com/documents/?uuid=bbb91c09-05a6-45a3-89af-b4353852e4a9"]}],"mendeley":{"formattedCitation":"(ILTF)","plainTextFormattedCitation":"(ILTF)"},"properties":{"noteIndex":0},"schema":"https://github.com/citation-style-language/schema/raw/master/csl-citation.json"}</w:instrText>
      </w:r>
      <w:r w:rsidR="00AC7DCA">
        <w:rPr>
          <w:rFonts w:asciiTheme="majorBidi" w:hAnsiTheme="majorBidi" w:cstheme="majorBidi"/>
          <w:b/>
          <w:bCs/>
        </w:rPr>
        <w:fldChar w:fldCharType="separate"/>
      </w:r>
      <w:r w:rsidR="00AC7DCA" w:rsidRPr="00AC7DCA">
        <w:rPr>
          <w:rFonts w:asciiTheme="majorBidi" w:hAnsiTheme="majorBidi" w:cstheme="majorBidi"/>
          <w:bCs/>
          <w:noProof/>
        </w:rPr>
        <w:t>(ILTF)</w:t>
      </w:r>
      <w:r w:rsidR="00AC7DCA">
        <w:rPr>
          <w:rFonts w:asciiTheme="majorBidi" w:hAnsiTheme="majorBidi" w:cstheme="majorBidi"/>
          <w:b/>
          <w:bCs/>
        </w:rPr>
        <w:fldChar w:fldCharType="end"/>
      </w:r>
    </w:p>
    <w:p w14:paraId="6D0D7FDF" w14:textId="49C27037" w:rsidR="004E097B" w:rsidRDefault="004E097B" w:rsidP="004E097B">
      <w:pPr>
        <w:pStyle w:val="NormalWeb"/>
        <w:shd w:val="clear" w:color="auto" w:fill="FFFFFF" w:themeFill="background1"/>
        <w:spacing w:before="240" w:after="240"/>
        <w:rPr>
          <w:rFonts w:asciiTheme="majorBidi" w:hAnsiTheme="majorBidi" w:cstheme="majorBidi"/>
          <w:color w:val="201F1E"/>
        </w:rPr>
      </w:pPr>
      <w:r w:rsidRPr="70FA2EF9">
        <w:rPr>
          <w:color w:val="201F1E"/>
        </w:rPr>
        <w:t xml:space="preserve">For </w:t>
      </w:r>
      <w:r>
        <w:t xml:space="preserve">more than 10,000 years, Native Americans hunted and lived alongside bison, with an estimated population of </w:t>
      </w:r>
      <w:r w:rsidR="0061603C">
        <w:t>tens of</w:t>
      </w:r>
      <w:r>
        <w:t xml:space="preserve"> million animals roaming between the Rocky and Appalachian Mountains </w:t>
      </w:r>
      <w:r>
        <w:rPr>
          <w:color w:val="2B579A"/>
          <w:shd w:val="clear" w:color="auto" w:fill="E6E6E6"/>
        </w:rPr>
        <w:fldChar w:fldCharType="begin" w:fldLock="1"/>
      </w:r>
      <w:r>
        <w:instrText>ADDIN CSL_CITATION {"citationItems":[{"id":"ITEM-1","itemData":{"ISBN":"1315422085","author":[{"dropping-particle":"","family":"Kornfeld","given":"Marcel","non-dropping-particle":"","parse-names":false,"suffix":""},{"dropping-particle":"","family":"Frison","given":"George C","non-dropping-particle":"","parse-names":false,"suffix":""},{"dropping-particle":"Lou","family":"Larson","given":"Mary","non-dropping-particle":"","parse-names":false,"suffix":""}],"id":"ITEM-1","issued":{"date-parts":[["2016"]]},"publisher":"Routledge","title":"Prehistoric hunter-gatherers of the High Plains and Rockies","type":"book"},"uris":["http://www.mendeley.com/documents/?uuid=2edd5833-3851-4556-a7e8-a5f5120fa6d0"]},{"id":"ITEM-2","itemData":{"author":[{"dropping-particle":"","family":"Gilmore","given":"Kevin P","non-dropping-particle":"","parse-names":false,"suffix":""},{"dropping-particle":"","family":"Tate","given":"Marcia","non-dropping-particle":"","parse-names":false,"suffix":""},{"dropping-particle":"","family":"Chenault","given":"Mark L","non-dropping-particle":"","parse-names":false,"suffix":""},{"dropping-particle":"","family":"Clark","given":"Bonnie","non-dropping-particle":"","parse-names":false,"suffix":""},{"dropping-particle":"","family":"McBride","given":"Terri","non-dropping-particle":"","parse-names":false,"suffix":""},{"dropping-particle":"","family":"Wood","given":"Margaret","non-dropping-particle":"","parse-names":false,"suffix":""}],"id":"ITEM-2","issued":{"date-parts":[["1999"]]},"publisher":"Colorado Council of Professional Archaeologists Denver","title":"Colorado prehistory: a context for the Platte River Basin","type":"book"},"uris":["http://www.mendeley.com/documents/?uuid=d3dae3ed-d8fe-4280-8043-3dc14850b708"]}],"mendeley":{"formattedCitation":"(Gilmore et al., 1999; Kornfeld et al., 2016)","plainTextFormattedCitation":"(Gilmore et al., 1999; Kornfeld et al., 2016)","previouslyFormattedCitation":"(Gilmore et al., 1999; Kornfeld et al., 2016)"},"properties":{"noteIndex":0},"schema":"https://github.com/citation-style-language/schema/raw/master/csl-citation.json"}</w:instrText>
      </w:r>
      <w:r>
        <w:rPr>
          <w:color w:val="2B579A"/>
          <w:shd w:val="clear" w:color="auto" w:fill="E6E6E6"/>
        </w:rPr>
        <w:fldChar w:fldCharType="separate"/>
      </w:r>
      <w:r w:rsidRPr="70FA2EF9">
        <w:rPr>
          <w:noProof/>
        </w:rPr>
        <w:t>(Gilmore et al., 1999; Kornfeld et al., 2016)</w:t>
      </w:r>
      <w:r>
        <w:rPr>
          <w:color w:val="2B579A"/>
          <w:shd w:val="clear" w:color="auto" w:fill="E6E6E6"/>
        </w:rPr>
        <w:fldChar w:fldCharType="end"/>
      </w:r>
      <w:r>
        <w:t xml:space="preserve"> (</w:t>
      </w:r>
      <w:r w:rsidRPr="0057052D">
        <w:rPr>
          <w:b/>
          <w:bCs/>
        </w:rPr>
        <w:t>Figure 2</w:t>
      </w:r>
      <w:r>
        <w:t>).</w:t>
      </w:r>
      <w:r w:rsidRPr="70FA2EF9">
        <w:rPr>
          <w:rFonts w:asciiTheme="majorBidi" w:hAnsiTheme="majorBidi" w:cstheme="majorBidi"/>
          <w:color w:val="201F1E"/>
        </w:rPr>
        <w:t xml:space="preserve"> Bison were an integral part of life and many creation stories tell of the connection between the people and their kin, the ‘buffalo’ (bison) </w:t>
      </w:r>
      <w:r w:rsidRPr="70FA2EF9">
        <w:rPr>
          <w:rFonts w:asciiTheme="majorBidi" w:hAnsiTheme="majorBidi" w:cstheme="majorBidi"/>
          <w:color w:val="201F1E"/>
          <w:shd w:val="clear" w:color="auto" w:fill="E6E6E6"/>
        </w:rPr>
        <w:fldChar w:fldCharType="begin" w:fldLock="1"/>
      </w:r>
      <w:r w:rsidRPr="70FA2EF9">
        <w:rPr>
          <w:rFonts w:asciiTheme="majorBidi" w:hAnsiTheme="majorBidi" w:cstheme="majorBidi"/>
          <w:color w:val="201F1E"/>
        </w:rPr>
        <w:instrText>ADDIN CSL_CITATION {"citationItems":[{"id":"ITEM-1","itemData":{"DOI":"http://dx.doi.org/10.11575/PRISM/28021","abstract":"This dissertation examines the kinship relationship between Indigenous peoples and our relative the buffalo. I posit that texts in which Indigenous peoples express their relationship with the buffalo contain expressions of Indigenous epistemologies. Indigenous kinship theory, Indigenous critical geography, and Indigenous histories are foundational for this project. The presence of the buffalo is found within Indigenous oral stories, literature, art, and other forms of expression. Specifically, the dissertation engages with the representation of buffalo’s role in creating and renewing kinship ties. It examines Indigenous grief and mourning during the genocide of the buffalo; buffalo confinement and diaspora during the settlement era; women’s knowledge of the connection between buffalo and the land; and the artist’s role in revitalizing the relationship with buffalo. Authors and creators include Percy Bullchild, Alexander Wolfe, Edward Benton-Banai, Leslie Marmon Silko, Stan Cuthand, Barry Ahenakew, Neal McLeod, Marilyn Dumont, Louise Erdrich, Mourning Dove, D’Arcy McNickle, Linda Hogan, Beverly Hungry Wolf, Beth Cuthand, Louise Halfe, Jaune Quick-To-See Smith, Adrian Stimson and Thomas King. This work can be understood as the imperative for Indigenous peoples to remember the kinship relationship shared with the buffalo, including the web of responsibilities to all peoples, human and more-than-human, with whom we share this land.","author":[{"dropping-particle":"","family":"Hubbard","given":"Tasha","non-dropping-particle":"","parse-names":false,"suffix":""}],"id":"ITEM-1","issued":{"date-parts":[["2016"]]},"language":"eng","title":"The Call of the Buffalo: Exploring Kinship with the Buffalo in Indigenous Creative Expression","type":"article"},"uris":["http://www.mendeley.com/documents/?uuid=b49716ea-8bcc-4109-ae7a-213f88c13634"]},{"id":"ITEM-2","itemData":{"ISBN":"9781933316673","author":[{"dropping-particle":"","family":"Goble","given":"P","non-dropping-particle":"","parse-names":false,"suffix":""},{"dropping-particle":"","family":"Crow","given":"J M","non-dropping-particle":"","parse-names":false,"suffix":""}],"id":"ITEM-2","issued":{"date-parts":[["2009"]]},"publisher":"World Wisdom, Incorporated","title":"The Earth Made New: Plains Indian Stories of Creation","type":"book"},"uris":["http://www.mendeley.com/documents/?uuid=99902030-86a9-4899-a5fb-acffa72f928e"]}],"mendeley":{"formattedCitation":"(Goble and Crow, 2009; Hubbard, 2016)","plainTextFormattedCitation":"(Goble and Crow, 2009; Hubbard, 2016)","previouslyFormattedCitation":"(Goble and Crow, 2009; Hubbard, 2016)"},"properties":{"noteIndex":0},"schema":"https://github.com/citation-style-language/schema/raw/master/csl-citation.json"}</w:instrText>
      </w:r>
      <w:r w:rsidRPr="70FA2EF9">
        <w:rPr>
          <w:rFonts w:asciiTheme="majorBidi" w:hAnsiTheme="majorBidi" w:cstheme="majorBidi"/>
          <w:color w:val="201F1E"/>
          <w:shd w:val="clear" w:color="auto" w:fill="E6E6E6"/>
        </w:rPr>
        <w:fldChar w:fldCharType="separate"/>
      </w:r>
      <w:r w:rsidRPr="70FA2EF9">
        <w:rPr>
          <w:rFonts w:asciiTheme="majorBidi" w:hAnsiTheme="majorBidi" w:cstheme="majorBidi"/>
          <w:noProof/>
          <w:color w:val="201F1E"/>
        </w:rPr>
        <w:t>(Goble and Crow, 2009; Hubbard, 2016)</w:t>
      </w:r>
      <w:r w:rsidRPr="70FA2EF9">
        <w:rPr>
          <w:rFonts w:asciiTheme="majorBidi" w:hAnsiTheme="majorBidi" w:cstheme="majorBidi"/>
          <w:color w:val="201F1E"/>
          <w:shd w:val="clear" w:color="auto" w:fill="E6E6E6"/>
        </w:rPr>
        <w:fldChar w:fldCharType="end"/>
      </w:r>
      <w:r w:rsidRPr="70FA2EF9">
        <w:rPr>
          <w:rFonts w:asciiTheme="majorBidi" w:hAnsiTheme="majorBidi" w:cstheme="majorBidi"/>
          <w:color w:val="201F1E"/>
        </w:rPr>
        <w:t xml:space="preserve">. </w:t>
      </w:r>
      <w:r w:rsidRPr="0AA0FB6E">
        <w:rPr>
          <w:rFonts w:asciiTheme="majorBidi" w:hAnsiTheme="majorBidi" w:cstheme="majorBidi"/>
          <w:color w:val="201F1E"/>
        </w:rPr>
        <w:t>Plains Native peoples</w:t>
      </w:r>
      <w:r w:rsidRPr="70FA2EF9">
        <w:rPr>
          <w:rFonts w:asciiTheme="majorBidi" w:hAnsiTheme="majorBidi" w:cstheme="majorBidi"/>
          <w:color w:val="201F1E"/>
        </w:rPr>
        <w:t xml:space="preserve"> continuously moved and followed bison herds </w:t>
      </w:r>
      <w:r w:rsidRPr="70FA2EF9">
        <w:rPr>
          <w:rFonts w:asciiTheme="majorBidi" w:hAnsiTheme="majorBidi" w:cstheme="majorBidi"/>
          <w:color w:val="201F1E"/>
          <w:shd w:val="clear" w:color="auto" w:fill="E6E6E6"/>
        </w:rPr>
        <w:fldChar w:fldCharType="begin" w:fldLock="1"/>
      </w:r>
      <w:r w:rsidRPr="70FA2EF9">
        <w:rPr>
          <w:rFonts w:asciiTheme="majorBidi" w:hAnsiTheme="majorBidi" w:cstheme="majorBidi"/>
          <w:color w:val="201F1E"/>
        </w:rPr>
        <w:instrText>ADDIN CSL_CITATION {"citationItems":[{"id":"ITEM-1","itemData":{"DOI":"10.30861/9781841716312","abstract":"611 / 612 / 943 / 051","author":[{"dropping-particle":"","family":"Peck","given":"Trevor Richard","non-dropping-particle":"","parse-names":false,"suffix":""}],"container-title":"Bison Ethology and Native Settlement Patterns during the Old Women’s Phase on the Northwestern Plains","id":"ITEM-1","issued":{"date-parts":[["2001"]]},"publisher":"University of Calgary","title":"Bison Ethology and Native Settlement Patterns during the Old Women’s Phase on the Northwestern Plains","type":"thesis"},"uris":["http://www.mendeley.com/documents/?uuid=606b0ed8-7e82-47ce-aefa-6b5790a99c85"]}],"mendeley":{"formattedCitation":"(Peck, 2001)","plainTextFormattedCitation":"(Peck, 2001)","previouslyFormattedCitation":"(Peck, 2001)"},"properties":{"noteIndex":0},"schema":"https://github.com/citation-style-language/schema/raw/master/csl-citation.json"}</w:instrText>
      </w:r>
      <w:r w:rsidRPr="70FA2EF9">
        <w:rPr>
          <w:rFonts w:asciiTheme="majorBidi" w:hAnsiTheme="majorBidi" w:cstheme="majorBidi"/>
          <w:color w:val="201F1E"/>
          <w:shd w:val="clear" w:color="auto" w:fill="E6E6E6"/>
        </w:rPr>
        <w:fldChar w:fldCharType="separate"/>
      </w:r>
      <w:r w:rsidRPr="70FA2EF9">
        <w:rPr>
          <w:rFonts w:asciiTheme="majorBidi" w:hAnsiTheme="majorBidi" w:cstheme="majorBidi"/>
          <w:noProof/>
          <w:color w:val="201F1E"/>
        </w:rPr>
        <w:t>(Peck, 2001)</w:t>
      </w:r>
      <w:r w:rsidRPr="70FA2EF9">
        <w:rPr>
          <w:rFonts w:asciiTheme="majorBidi" w:hAnsiTheme="majorBidi" w:cstheme="majorBidi"/>
          <w:color w:val="201F1E"/>
          <w:shd w:val="clear" w:color="auto" w:fill="E6E6E6"/>
        </w:rPr>
        <w:fldChar w:fldCharType="end"/>
      </w:r>
      <w:r w:rsidRPr="70FA2EF9">
        <w:rPr>
          <w:rFonts w:asciiTheme="majorBidi" w:hAnsiTheme="majorBidi" w:cstheme="majorBidi"/>
          <w:color w:val="201F1E"/>
        </w:rPr>
        <w:t xml:space="preserve">, and the bison provided a reliable source of protein and hides </w:t>
      </w:r>
      <w:r w:rsidRPr="70FA2EF9">
        <w:rPr>
          <w:rFonts w:asciiTheme="majorBidi" w:hAnsiTheme="majorBidi" w:cstheme="majorBidi"/>
          <w:color w:val="201F1E"/>
          <w:shd w:val="clear" w:color="auto" w:fill="E6E6E6"/>
        </w:rPr>
        <w:fldChar w:fldCharType="begin" w:fldLock="1"/>
      </w:r>
      <w:r w:rsidRPr="70FA2EF9">
        <w:rPr>
          <w:rFonts w:asciiTheme="majorBidi" w:hAnsiTheme="majorBidi" w:cstheme="majorBidi"/>
          <w:color w:val="201F1E"/>
        </w:rPr>
        <w:instrText>ADDIN CSL_CITATION {"citationItems":[{"id":"ITEM-1","itemData":{"DOI":"10.1080/2052546.1978.11908920","ISSN":"0032-0447","author":[{"dropping-particle":"","family":"Schaeffer","given":"Claude E.","non-dropping-particle":"","parse-names":false,"suffix":""}],"container-title":"Plains Anthropologist","id":"ITEM-1","issue":"82","issued":{"date-parts":[["1978"]]},"page":"243-248","title":"The Bison Drive of the Blackfeet Indians","type":"article-journal","volume":"23"},"uris":["http://www.mendeley.com/documents/?uuid=77cd0b6c-812c-4434-b525-c57873ecd644"]}],"mendeley":{"formattedCitation":"(Schaeffer, 1978)","plainTextFormattedCitation":"(Schaeffer, 1978)","previouslyFormattedCitation":"(Schaeffer, 1978)"},"properties":{"noteIndex":0},"schema":"https://github.com/citation-style-language/schema/raw/master/csl-citation.json"}</w:instrText>
      </w:r>
      <w:r w:rsidRPr="70FA2EF9">
        <w:rPr>
          <w:rFonts w:asciiTheme="majorBidi" w:hAnsiTheme="majorBidi" w:cstheme="majorBidi"/>
          <w:color w:val="201F1E"/>
          <w:shd w:val="clear" w:color="auto" w:fill="E6E6E6"/>
        </w:rPr>
        <w:fldChar w:fldCharType="separate"/>
      </w:r>
      <w:r w:rsidRPr="70FA2EF9">
        <w:rPr>
          <w:rFonts w:asciiTheme="majorBidi" w:hAnsiTheme="majorBidi" w:cstheme="majorBidi"/>
          <w:noProof/>
          <w:color w:val="201F1E"/>
        </w:rPr>
        <w:t>(Schaeffer, 1978)</w:t>
      </w:r>
      <w:r w:rsidRPr="70FA2EF9">
        <w:rPr>
          <w:rFonts w:asciiTheme="majorBidi" w:hAnsiTheme="majorBidi" w:cstheme="majorBidi"/>
          <w:color w:val="201F1E"/>
          <w:shd w:val="clear" w:color="auto" w:fill="E6E6E6"/>
        </w:rPr>
        <w:fldChar w:fldCharType="end"/>
      </w:r>
      <w:r w:rsidRPr="70FA2EF9">
        <w:rPr>
          <w:rFonts w:asciiTheme="majorBidi" w:hAnsiTheme="majorBidi" w:cstheme="majorBidi"/>
          <w:color w:val="201F1E"/>
        </w:rPr>
        <w:t xml:space="preserve">. Historic records from the mid-nineteenth century show that Plains people were the tallest people in the world </w:t>
      </w:r>
      <w:r w:rsidRPr="70FA2EF9">
        <w:rPr>
          <w:rFonts w:asciiTheme="majorBidi" w:hAnsiTheme="majorBidi" w:cstheme="majorBidi"/>
          <w:color w:val="201F1E"/>
          <w:shd w:val="clear" w:color="auto" w:fill="E6E6E6"/>
        </w:rPr>
        <w:fldChar w:fldCharType="begin" w:fldLock="1"/>
      </w:r>
      <w:r w:rsidRPr="70FA2EF9">
        <w:rPr>
          <w:rFonts w:asciiTheme="majorBidi" w:hAnsiTheme="majorBidi" w:cstheme="majorBidi"/>
          <w:color w:val="201F1E"/>
        </w:rPr>
        <w:instrText>ADDIN CSL_CITATION {"citationItems":[{"id":"ITEM-1","itemData":{"DOI":"10.1257/aer.91.1.287","ISSN":"00028282","author":[{"dropping-particle":"","family":"Steckel","given":"Richard H.","non-dropping-particle":"","parse-names":false,"suffix":""},{"dropping-particle":"","family":"Prince","given":"Joseph M.","non-dropping-particle":"","parse-names":false,"suffix":""}],"container-title":"American Economic Review","id":"ITEM-1","issue":"1","issued":{"date-parts":[["2001"]]},"page":"287-294","title":"Tallest in the world: Native Americans of the Great Plains in the nineteenth century","type":"article-journal","volume":"91"},"uris":["http://www.mendeley.com/documents/?uuid=1158e853-564a-4f0d-baee-dc2aedf58e4c"]}],"mendeley":{"formattedCitation":"(Steckel and Prince, 2001)","plainTextFormattedCitation":"(Steckel and Prince, 2001)","previouslyFormattedCitation":"(Steckel and Prince, 2001)"},"properties":{"noteIndex":0},"schema":"https://github.com/citation-style-language/schema/raw/master/csl-citation.json"}</w:instrText>
      </w:r>
      <w:r w:rsidRPr="70FA2EF9">
        <w:rPr>
          <w:rFonts w:asciiTheme="majorBidi" w:hAnsiTheme="majorBidi" w:cstheme="majorBidi"/>
          <w:color w:val="201F1E"/>
          <w:shd w:val="clear" w:color="auto" w:fill="E6E6E6"/>
        </w:rPr>
        <w:fldChar w:fldCharType="separate"/>
      </w:r>
      <w:r w:rsidRPr="70FA2EF9">
        <w:rPr>
          <w:rFonts w:asciiTheme="majorBidi" w:hAnsiTheme="majorBidi" w:cstheme="majorBidi"/>
          <w:noProof/>
          <w:color w:val="201F1E"/>
        </w:rPr>
        <w:t>(Steckel and Prince, 2001)</w:t>
      </w:r>
      <w:r w:rsidRPr="70FA2EF9">
        <w:rPr>
          <w:rFonts w:asciiTheme="majorBidi" w:hAnsiTheme="majorBidi" w:cstheme="majorBidi"/>
          <w:color w:val="201F1E"/>
          <w:shd w:val="clear" w:color="auto" w:fill="E6E6E6"/>
        </w:rPr>
        <w:fldChar w:fldCharType="end"/>
      </w:r>
      <w:r w:rsidRPr="70FA2EF9">
        <w:rPr>
          <w:rFonts w:asciiTheme="majorBidi" w:hAnsiTheme="majorBidi" w:cstheme="majorBidi"/>
          <w:noProof/>
          <w:color w:val="201F1E"/>
        </w:rPr>
        <w:t>,</w:t>
      </w:r>
      <w:r w:rsidRPr="70FA2EF9">
        <w:rPr>
          <w:rFonts w:asciiTheme="majorBidi" w:hAnsiTheme="majorBidi" w:cstheme="majorBidi"/>
          <w:color w:val="201F1E"/>
        </w:rPr>
        <w:t xml:space="preserve"> which is indicative of good nutrition </w:t>
      </w:r>
      <w:r w:rsidRPr="0AA0FB6E">
        <w:rPr>
          <w:rFonts w:asciiTheme="majorBidi" w:hAnsiTheme="majorBidi" w:cstheme="majorBidi"/>
          <w:color w:val="201F1E"/>
        </w:rPr>
        <w:t xml:space="preserve">and overall health </w:t>
      </w:r>
      <w:r w:rsidRPr="70FA2EF9">
        <w:rPr>
          <w:rFonts w:asciiTheme="majorBidi" w:hAnsiTheme="majorBidi" w:cstheme="majorBidi"/>
          <w:color w:val="201F1E"/>
          <w:shd w:val="clear" w:color="auto" w:fill="E6E6E6"/>
        </w:rPr>
        <w:fldChar w:fldCharType="begin" w:fldLock="1"/>
      </w:r>
      <w:r w:rsidRPr="70FA2EF9">
        <w:rPr>
          <w:rFonts w:asciiTheme="majorBidi" w:hAnsiTheme="majorBidi" w:cstheme="majorBidi"/>
          <w:color w:val="201F1E"/>
        </w:rPr>
        <w:instrText>ADDIN CSL_CITATION {"citationItems":[{"id":"ITEM-1","itemData":{"DOI":"10.1257/aer.91.1.287","ISSN":"00028282","author":[{"dropping-particle":"","family":"Steckel","given":"Richard H.","non-dropping-particle":"","parse-names":false,"suffix":""},{"dropping-particle":"","family":"Prince","given":"Joseph M.","non-dropping-particle":"","parse-names":false,"suffix":""}],"container-title":"American Economic Review","id":"ITEM-1","issue":"1","issued":{"date-parts":[["2001"]]},"page":"287-294","title":"Tallest in the world: Native Americans of the Great Plains in the nineteenth century","type":"article-journal","volume":"91"},"uris":["http://www.mendeley.com/documents/?uuid=1158e853-564a-4f0d-baee-dc2aedf58e4c"]}],"mendeley":{"formattedCitation":"(Steckel and Prince, 2001)","plainTextFormattedCitation":"(Steckel and Prince, 2001)","previouslyFormattedCitation":"(Steckel and Prince, 2001)"},"properties":{"noteIndex":0},"schema":"https://github.com/citation-style-language/schema/raw/master/csl-citation.json"}</w:instrText>
      </w:r>
      <w:r w:rsidRPr="70FA2EF9">
        <w:rPr>
          <w:rFonts w:asciiTheme="majorBidi" w:hAnsiTheme="majorBidi" w:cstheme="majorBidi"/>
          <w:color w:val="201F1E"/>
          <w:shd w:val="clear" w:color="auto" w:fill="E6E6E6"/>
        </w:rPr>
        <w:fldChar w:fldCharType="separate"/>
      </w:r>
      <w:r w:rsidRPr="70FA2EF9">
        <w:rPr>
          <w:rFonts w:asciiTheme="majorBidi" w:hAnsiTheme="majorBidi" w:cstheme="majorBidi"/>
          <w:noProof/>
          <w:color w:val="201F1E"/>
        </w:rPr>
        <w:t>(Steckel and Prince, 2001)</w:t>
      </w:r>
      <w:r w:rsidRPr="70FA2EF9">
        <w:rPr>
          <w:rFonts w:asciiTheme="majorBidi" w:hAnsiTheme="majorBidi" w:cstheme="majorBidi"/>
          <w:color w:val="201F1E"/>
          <w:shd w:val="clear" w:color="auto" w:fill="E6E6E6"/>
        </w:rPr>
        <w:fldChar w:fldCharType="end"/>
      </w:r>
      <w:r w:rsidRPr="70FA2EF9">
        <w:rPr>
          <w:rFonts w:asciiTheme="majorBidi" w:hAnsiTheme="majorBidi" w:cstheme="majorBidi"/>
          <w:color w:val="201F1E"/>
        </w:rPr>
        <w:t xml:space="preserve">. </w:t>
      </w:r>
    </w:p>
    <w:p w14:paraId="39EF87B2" w14:textId="54E9CDBE" w:rsidR="004E097B" w:rsidRDefault="004E097B" w:rsidP="004E097B">
      <w:pPr>
        <w:shd w:val="clear" w:color="auto" w:fill="FFFFFF" w:themeFill="background1"/>
        <w:spacing w:before="240"/>
        <w:rPr>
          <w:rFonts w:asciiTheme="majorBidi" w:hAnsiTheme="majorBidi" w:cstheme="majorBidi"/>
          <w:color w:val="201F1E"/>
        </w:rPr>
      </w:pPr>
      <w:r w:rsidRPr="00AC28F1">
        <w:rPr>
          <w:rFonts w:asciiTheme="majorBidi" w:hAnsiTheme="majorBidi" w:cstheme="majorBidi"/>
          <w:color w:val="201F1E"/>
        </w:rPr>
        <w:t xml:space="preserve">Plains Indians, who lived a nomadic life, traded bison goods with southern tribes (e.g., fur, hides, tools) </w:t>
      </w:r>
      <w:r w:rsidRPr="00AC28F1">
        <w:rPr>
          <w:rFonts w:asciiTheme="majorBidi" w:hAnsiTheme="majorBidi" w:cstheme="majorBidi"/>
          <w:color w:val="201F1E"/>
          <w:shd w:val="clear" w:color="auto" w:fill="E6E6E6"/>
        </w:rPr>
        <w:fldChar w:fldCharType="begin" w:fldLock="1"/>
      </w:r>
      <w:r w:rsidRPr="00AC28F1">
        <w:rPr>
          <w:rFonts w:asciiTheme="majorBidi" w:hAnsiTheme="majorBidi" w:cstheme="majorBidi"/>
          <w:color w:val="201F1E"/>
        </w:rPr>
        <w:instrText>ADDIN CSL_CITATION {"citationItems":[{"id":"ITEM-1","itemData":{"DOI":"DOI: 10.2307/280971","ISSN":"0002-7316","abstract":"Widespread exchange networks operative in the early historic period in the southern Plains and adjacent areas were documented by early Spanish explorers. Among the more important trade items they noted were bison hides, including robes. It is suggested here that the occurrence of beveled knives and endscrapers in assemblages dating after about A.D. 1300 reflects the importance of bison hides in late prehistoric exchange. Both of these chippedstone tools probably were used in acquiring and processing the hides of bison. The importance of bison hides continued into the historic period when they were documented items of exchange in southern Plains and adjacent areas.","author":[{"dropping-particle":"","family":"Creel","given":"Darrell","non-dropping-particle":"","parse-names":false,"suffix":""}],"container-title":"American Antiquity","edition":"2017/01/20","id":"ITEM-1","issue":"1","issued":{"date-parts":[["1991"]]},"page":"40-49","publisher":"Cambridge University Press","title":"Bison Hides in Late Prehistoric Exchange in the Southern Plains","type":"article-journal","volume":"56"},"uris":["http://www.mendeley.com/documents/?uuid=d2052e29-3b80-430c-a428-67b0a94e36f6"]}],"mendeley":{"formattedCitation":"(Creel, 1991)","plainTextFormattedCitation":"(Creel, 1991)","previouslyFormattedCitation":"(Creel, 1991)"},"properties":{"noteIndex":0},"schema":"https://github.com/citation-style-language/schema/raw/master/csl-citation.json"}</w:instrText>
      </w:r>
      <w:r w:rsidRPr="00AC28F1">
        <w:rPr>
          <w:rFonts w:asciiTheme="majorBidi" w:hAnsiTheme="majorBidi" w:cstheme="majorBidi"/>
          <w:color w:val="201F1E"/>
          <w:shd w:val="clear" w:color="auto" w:fill="E6E6E6"/>
        </w:rPr>
        <w:fldChar w:fldCharType="separate"/>
      </w:r>
      <w:r w:rsidRPr="00AC28F1">
        <w:rPr>
          <w:rFonts w:asciiTheme="majorBidi" w:hAnsiTheme="majorBidi" w:cstheme="majorBidi"/>
          <w:noProof/>
          <w:color w:val="201F1E"/>
        </w:rPr>
        <w:t>(Creel, 1991)</w:t>
      </w:r>
      <w:r w:rsidRPr="00AC28F1">
        <w:rPr>
          <w:rFonts w:asciiTheme="majorBidi" w:hAnsiTheme="majorBidi" w:cstheme="majorBidi"/>
          <w:color w:val="201F1E"/>
          <w:shd w:val="clear" w:color="auto" w:fill="E6E6E6"/>
        </w:rPr>
        <w:fldChar w:fldCharType="end"/>
      </w:r>
      <w:r w:rsidRPr="00AC28F1">
        <w:rPr>
          <w:rFonts w:asciiTheme="majorBidi" w:hAnsiTheme="majorBidi" w:cstheme="majorBidi"/>
          <w:color w:val="201F1E"/>
        </w:rPr>
        <w:t xml:space="preserve">. </w:t>
      </w:r>
      <w:r w:rsidRPr="70FA2EF9">
        <w:rPr>
          <w:rFonts w:asciiTheme="majorBidi" w:hAnsiTheme="majorBidi" w:cstheme="majorBidi"/>
          <w:color w:val="201F1E"/>
        </w:rPr>
        <w:t xml:space="preserve">Prior to European settlement, Native American nations engaged in trade and led prosperous economic systems that enabled private enterprise </w:t>
      </w:r>
      <w:r w:rsidRPr="70FA2EF9">
        <w:rPr>
          <w:rFonts w:asciiTheme="majorBidi" w:hAnsiTheme="majorBidi" w:cstheme="majorBidi"/>
          <w:color w:val="201F1E"/>
          <w:shd w:val="clear" w:color="auto" w:fill="E6E6E6"/>
        </w:rPr>
        <w:fldChar w:fldCharType="begin" w:fldLock="1"/>
      </w:r>
      <w:r w:rsidRPr="70FA2EF9">
        <w:rPr>
          <w:rFonts w:asciiTheme="majorBidi" w:hAnsiTheme="majorBidi" w:cstheme="majorBidi"/>
          <w:color w:val="201F1E"/>
        </w:rPr>
        <w:instrText>ADDIN CSL_CITATION {"citationItems":[{"id":"ITEM-1","itemData":{"abstract":"… control over federal programs affecting Indians.3 Nixon's words heralded significant and positive policy change for … Likewise, tribes implemented laws that made commerce possible … Part III of the paper sets forth reforms that tribal governments can implement to increase business …","author":[{"dropping-particle":"","family":"Crepelle","given":"A","non-dropping-particle":"","parse-names":false,"suffix":""}],"container-title":"J. Bus. Entrepreneurship &amp; L.","id":"ITEM-1","issued":{"date-parts":[["2019"]]},"title":"Decolonizing Reservation Economies: Returning to Private Enterprise and Trade","type":"article-journal"},"uris":["http://www.mendeley.com/documents/?uuid=44bc479e-4f7b-48b1-a5e7-aa6be4acd6b4"]}],"mendeley":{"formattedCitation":"(Crepelle, 2019)","plainTextFormattedCitation":"(Crepelle, 2019)","previouslyFormattedCitation":"(Crepelle, 2019)"},"properties":{"noteIndex":0},"schema":"https://github.com/citation-style-language/schema/raw/master/csl-citation.json"}</w:instrText>
      </w:r>
      <w:r w:rsidRPr="70FA2EF9">
        <w:rPr>
          <w:rFonts w:asciiTheme="majorBidi" w:hAnsiTheme="majorBidi" w:cstheme="majorBidi"/>
          <w:color w:val="201F1E"/>
          <w:shd w:val="clear" w:color="auto" w:fill="E6E6E6"/>
        </w:rPr>
        <w:fldChar w:fldCharType="separate"/>
      </w:r>
      <w:r w:rsidRPr="70FA2EF9">
        <w:rPr>
          <w:rFonts w:asciiTheme="majorBidi" w:hAnsiTheme="majorBidi" w:cstheme="majorBidi"/>
          <w:noProof/>
          <w:color w:val="201F1E"/>
        </w:rPr>
        <w:t>(Crepelle, 2019)</w:t>
      </w:r>
      <w:r w:rsidRPr="70FA2EF9">
        <w:rPr>
          <w:rFonts w:asciiTheme="majorBidi" w:hAnsiTheme="majorBidi" w:cstheme="majorBidi"/>
          <w:color w:val="201F1E"/>
          <w:shd w:val="clear" w:color="auto" w:fill="E6E6E6"/>
        </w:rPr>
        <w:fldChar w:fldCharType="end"/>
      </w:r>
      <w:r w:rsidRPr="70FA2EF9">
        <w:rPr>
          <w:rFonts w:asciiTheme="majorBidi" w:hAnsiTheme="majorBidi" w:cstheme="majorBidi"/>
          <w:color w:val="201F1E"/>
        </w:rPr>
        <w:t xml:space="preserve">. </w:t>
      </w:r>
      <w:r w:rsidRPr="00AC28F1">
        <w:rPr>
          <w:rFonts w:asciiTheme="majorBidi" w:hAnsiTheme="majorBidi" w:cstheme="majorBidi"/>
          <w:color w:val="201F1E"/>
        </w:rPr>
        <w:t xml:space="preserve">After Europeans colonized the west, Plains Indians continued to trade bison products, however, the overwhelming demand for bison parts for international trade, the intense harvest by settlers for European markets, and the U.S. government bison extermination program – which was used as a direct method to subjugate tribes –  led to the collapse of </w:t>
      </w:r>
      <w:r w:rsidR="270FD514" w:rsidRPr="6BEA0DC4">
        <w:rPr>
          <w:rFonts w:asciiTheme="majorBidi" w:hAnsiTheme="majorBidi" w:cstheme="majorBidi"/>
          <w:color w:val="201F1E"/>
        </w:rPr>
        <w:t>an</w:t>
      </w:r>
      <w:r w:rsidRPr="00AC28F1">
        <w:rPr>
          <w:rFonts w:asciiTheme="majorBidi" w:hAnsiTheme="majorBidi" w:cstheme="majorBidi"/>
          <w:color w:val="201F1E"/>
        </w:rPr>
        <w:t xml:space="preserve"> economic system based around bison (</w:t>
      </w:r>
      <w:r w:rsidRPr="00AC28F1">
        <w:rPr>
          <w:rFonts w:asciiTheme="majorBidi" w:hAnsiTheme="majorBidi" w:cstheme="majorBidi"/>
          <w:b/>
          <w:bCs/>
          <w:color w:val="201F1E"/>
        </w:rPr>
        <w:t xml:space="preserve">Figure 2) </w:t>
      </w:r>
      <w:r w:rsidRPr="00AC28F1">
        <w:rPr>
          <w:rFonts w:asciiTheme="majorBidi" w:hAnsiTheme="majorBidi" w:cstheme="majorBidi"/>
          <w:color w:val="201F1E"/>
          <w:shd w:val="clear" w:color="auto" w:fill="E6E6E6"/>
        </w:rPr>
        <w:fldChar w:fldCharType="begin" w:fldLock="1"/>
      </w:r>
      <w:r w:rsidRPr="00AC28F1">
        <w:rPr>
          <w:rFonts w:asciiTheme="majorBidi" w:hAnsiTheme="majorBidi" w:cstheme="majorBidi"/>
          <w:color w:val="201F1E"/>
        </w:rPr>
        <w:instrText>ADDIN CSL_CITATION {"citationItems":[{"id":"ITEM-1","itemData":{"DOI":"doi:10.1515/9780822376149-015","author":[{"dropping-particle":"","family":"Hubbard","given":"Tasha","non-dropping-particle":"","parse-names":false,"suffix":""}],"editor":[{"dropping-particle":"","family":"Hinton","given":"Alexander Laban","non-dropping-particle":"","parse-names":false,"suffix":""},{"dropping-particle":"","family":"Woolford","given":"Andrew","non-dropping-particle":"","parse-names":false,"suffix":""},{"dropping-particle":"","family":"Benvenuto","given":"Jeff","non-dropping-particle":"","parse-names":false,"suffix":""}],"id":"ITEM-1","issued":{"date-parts":[["2014"]]},"page":"292-305","publisher":"Duke University Press","title":"Chapter 13. Buffalo Genocide in Nineteenth-Century North America: “Kill, Skin, and Sell”","type":"chapter"},"uris":["http://www.mendeley.com/documents/?uuid=cee95a2f-3e2b-4e99-bbe8-6100b7babdc1"]},{"id":"ITEM-2","itemData":{"DOI":"10.1257/aer.101.7.3162","ISSN":"00028282","abstract":"In the sixteenth century, North America contained 25 to 30 million buffalo; by the late nineteenth century fewer than 100 remained. While removing the buffalo east of the Mississippi took over 100 years, the remaining 10 to 15 million buffalo on the Great Plains were killed in a punctuated slaughter lasting little more than ten years. I employ theory, international trade statistics, and first-person accounts to argue the slaughter was initiated by a foreign-made innovation and fueled by a foreign demand for industrial leather. European demand and American policy failure are jointly responsible for the \"Slaughter on the Plains.\".","author":[{"dropping-particle":"","family":"Taylor","given":"M. Scott","non-dropping-particle":"","parse-names":false,"suffix":""}],"container-title":"American Economic Review","id":"ITEM-2","issue":"7","issued":{"date-parts":[["2011"]]},"page":"3162-3195","title":"Buffalo hunt: International trade and the virtual extinction of the North American Bison","type":"article-journal","volume":"101"},"uris":["http://www.mendeley.com/documents/?uuid=bdddf105-95fe-437a-a131-a8f466426ca9"]}],"mendeley":{"formattedCitation":"(Taylor, 2011b; Hubbard, 2014)","plainTextFormattedCitation":"(Taylor, 2011b; Hubbard, 2014)","previouslyFormattedCitation":"(Taylor, 2011b; Hubbard, 2014)"},"properties":{"noteIndex":0},"schema":"https://github.com/citation-style-language/schema/raw/master/csl-citation.json"}</w:instrText>
      </w:r>
      <w:r w:rsidRPr="00AC28F1">
        <w:rPr>
          <w:rFonts w:asciiTheme="majorBidi" w:hAnsiTheme="majorBidi" w:cstheme="majorBidi"/>
          <w:color w:val="201F1E"/>
          <w:shd w:val="clear" w:color="auto" w:fill="E6E6E6"/>
        </w:rPr>
        <w:fldChar w:fldCharType="separate"/>
      </w:r>
      <w:r w:rsidRPr="00AC28F1">
        <w:rPr>
          <w:rFonts w:asciiTheme="majorBidi" w:hAnsiTheme="majorBidi" w:cstheme="majorBidi"/>
          <w:noProof/>
          <w:color w:val="201F1E"/>
        </w:rPr>
        <w:t>(Taylor, 2011b; Hubbard, 2014)</w:t>
      </w:r>
      <w:r w:rsidRPr="00AC28F1">
        <w:rPr>
          <w:rFonts w:asciiTheme="majorBidi" w:hAnsiTheme="majorBidi" w:cstheme="majorBidi"/>
          <w:color w:val="201F1E"/>
          <w:shd w:val="clear" w:color="auto" w:fill="E6E6E6"/>
        </w:rPr>
        <w:fldChar w:fldCharType="end"/>
      </w:r>
      <w:r w:rsidRPr="00AC28F1">
        <w:rPr>
          <w:rFonts w:asciiTheme="majorBidi" w:hAnsiTheme="majorBidi" w:cstheme="majorBidi"/>
          <w:color w:val="201F1E"/>
        </w:rPr>
        <w:t xml:space="preserve">. </w:t>
      </w:r>
    </w:p>
    <w:p w14:paraId="6A76EC0A" w14:textId="0288F6BD" w:rsidR="004E097B" w:rsidRPr="003802E2" w:rsidRDefault="004E097B" w:rsidP="78FF99D4">
      <w:pPr>
        <w:shd w:val="clear" w:color="auto" w:fill="FFFFFF" w:themeFill="background1"/>
        <w:spacing w:before="240" w:after="120"/>
      </w:pPr>
      <w:r w:rsidRPr="003802E2">
        <w:rPr>
          <w:rFonts w:eastAsia="Times New Roman" w:cs="Times New Roman"/>
        </w:rPr>
        <w:t>Early conflicts between Plains Indians and outside traders were in part due to overhunting bison</w:t>
      </w:r>
      <w:r w:rsidR="00925E6E">
        <w:rPr>
          <w:rFonts w:eastAsia="Times New Roman" w:cs="Times New Roman"/>
        </w:rPr>
        <w:t xml:space="preserve"> by </w:t>
      </w:r>
      <w:r w:rsidR="00D532D2">
        <w:rPr>
          <w:rFonts w:eastAsia="Times New Roman" w:cs="Times New Roman"/>
        </w:rPr>
        <w:t>Europeans</w:t>
      </w:r>
      <w:r w:rsidRPr="003802E2">
        <w:rPr>
          <w:rFonts w:eastAsia="Times New Roman" w:cs="Times New Roman"/>
        </w:rPr>
        <w:t xml:space="preserve">, which was only further exacerbated with increased settler presence following the discovery of gold and the construction of the Trans-Pacific Railroad (1869). The latter was only possible due to treaties made with bison-reliant nations (Treaty-making Era), all of which included clauses ensuring the protection of bison from outside hunters, as overhunting had already led to the noticeable decline of bison elsewhere </w:t>
      </w:r>
      <w:r w:rsidRPr="003802E2">
        <w:rPr>
          <w:rFonts w:asciiTheme="majorBidi" w:hAnsiTheme="majorBidi" w:cstheme="majorBidi"/>
          <w:color w:val="201F1E"/>
        </w:rPr>
        <w:t>(</w:t>
      </w:r>
      <w:r w:rsidRPr="003802E2">
        <w:rPr>
          <w:rFonts w:asciiTheme="majorBidi" w:hAnsiTheme="majorBidi" w:cstheme="majorBidi"/>
          <w:b/>
          <w:bCs/>
          <w:color w:val="201F1E"/>
        </w:rPr>
        <w:t>Figure 2</w:t>
      </w:r>
      <w:r w:rsidRPr="003802E2">
        <w:rPr>
          <w:rFonts w:asciiTheme="majorBidi" w:hAnsiTheme="majorBidi" w:cstheme="majorBidi"/>
          <w:color w:val="201F1E"/>
        </w:rPr>
        <w:t>)</w:t>
      </w:r>
      <w:r w:rsidRPr="003802E2">
        <w:rPr>
          <w:rFonts w:eastAsia="Times New Roman" w:cs="Times New Roman"/>
        </w:rPr>
        <w:t xml:space="preserve"> </w:t>
      </w:r>
      <w:r w:rsidRPr="005353CD">
        <w:rPr>
          <w:rFonts w:eastAsia="Times New Roman" w:cs="Times New Roman"/>
          <w:color w:val="2B579A"/>
          <w:shd w:val="clear" w:color="auto" w:fill="E6E6E6"/>
        </w:rPr>
        <w:fldChar w:fldCharType="begin" w:fldLock="1"/>
      </w:r>
      <w:r w:rsidRPr="003802E2">
        <w:rPr>
          <w:rFonts w:eastAsia="Times New Roman" w:cs="Times New Roman"/>
        </w:rPr>
        <w:instrText>ADDIN CSL_CITATION {"citationItems":[{"id":"ITEM-1","itemData":{"ISBN":"1416591060","author":[{"dropping-particle":"","family":"Gwynne","given":"Samuel C","non-dropping-particle":"","parse-names":false,"suffix":""}],"id":"ITEM-1","issued":{"date-parts":[["2010"]]},"publisher":"Simon and Schuster","title":"Empire of the summer moon: Quanah Parker and the rise and fall of the Comanches, the most powerful Indian tribe in American history","type":"book"},"uris":["http://www.mendeley.com/documents/?uuid=9e1f9308-2e5f-4849-9c89-b704140ab921"]}],"mendeley":{"formattedCitation":"(Gwynne, 2010)","plainTextFormattedCitation":"(Gwynne, 2010)","previouslyFormattedCitation":"(Gwynne, 2010)"},"properties":{"noteIndex":0},"schema":"https://github.com/citation-style-language/schema/raw/master/csl-citation.json"}</w:instrText>
      </w:r>
      <w:r w:rsidRPr="005353CD">
        <w:rPr>
          <w:rFonts w:eastAsia="Times New Roman" w:cs="Times New Roman"/>
          <w:color w:val="2B579A"/>
          <w:shd w:val="clear" w:color="auto" w:fill="E6E6E6"/>
        </w:rPr>
        <w:fldChar w:fldCharType="separate"/>
      </w:r>
      <w:r w:rsidRPr="005353CD">
        <w:rPr>
          <w:rFonts w:eastAsia="Times New Roman" w:cs="Times New Roman"/>
          <w:noProof/>
        </w:rPr>
        <w:t>(Gwynne, 2010)</w:t>
      </w:r>
      <w:r w:rsidRPr="005353CD">
        <w:rPr>
          <w:rFonts w:eastAsia="Times New Roman" w:cs="Times New Roman"/>
          <w:color w:val="2B579A"/>
          <w:shd w:val="clear" w:color="auto" w:fill="E6E6E6"/>
        </w:rPr>
        <w:fldChar w:fldCharType="end"/>
      </w:r>
      <w:r w:rsidRPr="003802E2">
        <w:rPr>
          <w:rFonts w:eastAsia="Times New Roman" w:cs="Times New Roman"/>
        </w:rPr>
        <w:t>. In addition, European demand for bison hides spiked in response to the</w:t>
      </w:r>
      <w:r w:rsidRPr="003802E2">
        <w:rPr>
          <w:rFonts w:eastAsia="Times New Roman" w:cs="Times New Roman"/>
          <w:color w:val="FF0000"/>
        </w:rPr>
        <w:t xml:space="preserve"> </w:t>
      </w:r>
      <w:r w:rsidRPr="003802E2">
        <w:rPr>
          <w:rFonts w:eastAsia="Times New Roman" w:cs="Times New Roman"/>
        </w:rPr>
        <w:t xml:space="preserve">development of a commercially viable method of tanning buffalo hides (1865-1889), causing hunters to flood bison territory </w:t>
      </w:r>
      <w:r w:rsidRPr="005353CD">
        <w:rPr>
          <w:rFonts w:eastAsia="Times New Roman" w:cs="Times New Roman"/>
          <w:color w:val="2B579A"/>
          <w:shd w:val="clear" w:color="auto" w:fill="E6E6E6"/>
        </w:rPr>
        <w:fldChar w:fldCharType="begin" w:fldLock="1"/>
      </w:r>
      <w:r w:rsidRPr="003802E2">
        <w:rPr>
          <w:rFonts w:eastAsia="Times New Roman" w:cs="Times New Roman"/>
        </w:rPr>
        <w:instrText>ADDIN CSL_CITATION {"citationItems":[{"id":"ITEM-1","itemData":{"ISSN":"0002-8282","author":[{"dropping-particle":"","family":"Taylor","given":"M Scott","non-dropping-particle":"","parse-names":false,"suffix":""}],"container-title":"American Economic Review","id":"ITEM-1","issue":"7","issued":{"date-parts":[["2011"]]},"page":"3162-3195","title":"Buffalo hunt: International trade and the virtual extinction of the North American bison","type":"article-journal","volume":"101"},"uris":["http://www.mendeley.com/documents/?uuid=88bfcc8b-4a2f-4c7f-b1a3-31e98315c9f1"]}],"mendeley":{"formattedCitation":"(Taylor, 2011a)","plainTextFormattedCitation":"(Taylor, 2011a)","previouslyFormattedCitation":"(Taylor, 2011a)"},"properties":{"noteIndex":0},"schema":"https://github.com/citation-style-language/schema/raw/master/csl-citation.json"}</w:instrText>
      </w:r>
      <w:r w:rsidRPr="005353CD">
        <w:rPr>
          <w:rFonts w:eastAsia="Times New Roman" w:cs="Times New Roman"/>
          <w:color w:val="2B579A"/>
          <w:shd w:val="clear" w:color="auto" w:fill="E6E6E6"/>
        </w:rPr>
        <w:fldChar w:fldCharType="separate"/>
      </w:r>
      <w:r w:rsidRPr="005353CD">
        <w:rPr>
          <w:rFonts w:eastAsia="Times New Roman" w:cs="Times New Roman"/>
          <w:noProof/>
        </w:rPr>
        <w:t>(Taylor, 2011a)</w:t>
      </w:r>
      <w:r w:rsidRPr="005353CD">
        <w:rPr>
          <w:rFonts w:eastAsia="Times New Roman" w:cs="Times New Roman"/>
          <w:color w:val="2B579A"/>
          <w:shd w:val="clear" w:color="auto" w:fill="E6E6E6"/>
        </w:rPr>
        <w:fldChar w:fldCharType="end"/>
      </w:r>
      <w:r w:rsidRPr="003802E2">
        <w:rPr>
          <w:rFonts w:eastAsia="Times New Roman" w:cs="Times New Roman"/>
        </w:rPr>
        <w:t xml:space="preserve">. Finally, the ultimate decimation of the bison population was multi-pronged, </w:t>
      </w:r>
      <w:r w:rsidR="37677995" w:rsidRPr="6BEA0DC4">
        <w:rPr>
          <w:rFonts w:eastAsia="Times New Roman" w:cs="Times New Roman"/>
        </w:rPr>
        <w:t>including</w:t>
      </w:r>
      <w:r w:rsidRPr="003802E2">
        <w:rPr>
          <w:rFonts w:eastAsia="Times New Roman" w:cs="Times New Roman"/>
        </w:rPr>
        <w:t xml:space="preserve"> the unintentional introduction of novel epizootic diseases spread from cattle to bison </w:t>
      </w:r>
      <w:r>
        <w:rPr>
          <w:rFonts w:eastAsia="Times New Roman" w:cs="Times New Roman"/>
        </w:rPr>
        <w:t xml:space="preserve">throughout </w:t>
      </w:r>
      <w:r w:rsidRPr="003802E2">
        <w:rPr>
          <w:rFonts w:eastAsia="Times New Roman" w:cs="Times New Roman"/>
        </w:rPr>
        <w:t xml:space="preserve">the region </w:t>
      </w:r>
      <w:r w:rsidRPr="005353CD">
        <w:rPr>
          <w:rFonts w:eastAsia="Times New Roman" w:cs="Times New Roman"/>
          <w:color w:val="2B579A"/>
          <w:shd w:val="clear" w:color="auto" w:fill="E6E6E6"/>
        </w:rPr>
        <w:fldChar w:fldCharType="begin" w:fldLock="1"/>
      </w:r>
      <w:r w:rsidRPr="003802E2">
        <w:rPr>
          <w:rFonts w:eastAsia="Times New Roman" w:cs="Times New Roman"/>
        </w:rPr>
        <w:instrText>ADDIN CSL_CITATION {"citationItems":[{"id":"ITEM-1","itemData":{"DOI":"https://doi.org/10.1016/j.rala.2018.05.004","ISSN":"0190-0528","author":[{"dropping-particle":"","family":"Stoneberg Holt","given":"Sierra Dawn","non-dropping-particle":"","parse-names":false,"suffix":""}],"container-title":"Rangelands","id":"ITEM-1","issue":"4","issued":{"date-parts":[["2018"]]},"page":"106-114","title":"Reinterpreting the 1882 Bison Population Collapse","type":"article-journal","volume":"40"},"uris":["http://www.mendeley.com/documents/?uuid=a93d0679-c4e6-41cb-8b56-f592b7561219"]}],"mendeley":{"formattedCitation":"(Stoneberg Holt, 2018)","plainTextFormattedCitation":"(Stoneberg Holt, 2018)","previouslyFormattedCitation":"(Stoneberg Holt, 2018)"},"properties":{"noteIndex":0},"schema":"https://github.com/citation-style-language/schema/raw/master/csl-citation.json"}</w:instrText>
      </w:r>
      <w:r w:rsidRPr="005353CD">
        <w:rPr>
          <w:rFonts w:eastAsia="Times New Roman" w:cs="Times New Roman"/>
          <w:color w:val="2B579A"/>
          <w:shd w:val="clear" w:color="auto" w:fill="E6E6E6"/>
        </w:rPr>
        <w:fldChar w:fldCharType="separate"/>
      </w:r>
      <w:r w:rsidRPr="005353CD">
        <w:rPr>
          <w:rFonts w:eastAsia="Times New Roman" w:cs="Times New Roman"/>
          <w:noProof/>
        </w:rPr>
        <w:t>(Stoneberg Holt, 2018)</w:t>
      </w:r>
      <w:r w:rsidRPr="005353CD">
        <w:rPr>
          <w:rFonts w:eastAsia="Times New Roman" w:cs="Times New Roman"/>
          <w:color w:val="2B579A"/>
          <w:shd w:val="clear" w:color="auto" w:fill="E6E6E6"/>
        </w:rPr>
        <w:fldChar w:fldCharType="end"/>
      </w:r>
      <w:r w:rsidRPr="003802E2">
        <w:rPr>
          <w:rFonts w:eastAsia="Times New Roman" w:cs="Times New Roman"/>
        </w:rPr>
        <w:t xml:space="preserve">. </w:t>
      </w:r>
    </w:p>
    <w:p w14:paraId="174C961B" w14:textId="79DCC555" w:rsidR="00E422D4" w:rsidRDefault="004E097B" w:rsidP="00E422D4">
      <w:pPr>
        <w:shd w:val="clear" w:color="auto" w:fill="FFFFFF" w:themeFill="background1"/>
        <w:spacing w:before="240" w:after="120"/>
        <w:rPr>
          <w:rFonts w:asciiTheme="majorBidi" w:hAnsiTheme="majorBidi" w:cstheme="majorBidi"/>
          <w:color w:val="201F1E"/>
        </w:rPr>
      </w:pPr>
      <w:r w:rsidRPr="003802E2">
        <w:rPr>
          <w:rFonts w:eastAsia="Times New Roman" w:cs="Times New Roman"/>
        </w:rPr>
        <w:t xml:space="preserve">By the late 1800s, despite years of organized resistance, all Plains people were forced onto </w:t>
      </w:r>
      <w:r w:rsidR="082F27CD" w:rsidRPr="6BEA0DC4">
        <w:rPr>
          <w:rFonts w:eastAsia="Times New Roman" w:cs="Times New Roman"/>
        </w:rPr>
        <w:t>r</w:t>
      </w:r>
      <w:r w:rsidRPr="6BEA0DC4">
        <w:rPr>
          <w:rFonts w:eastAsia="Times New Roman" w:cs="Times New Roman"/>
        </w:rPr>
        <w:t>eservations</w:t>
      </w:r>
      <w:r w:rsidRPr="003802E2">
        <w:rPr>
          <w:rFonts w:eastAsia="Times New Roman" w:cs="Times New Roman"/>
        </w:rPr>
        <w:t xml:space="preserve"> by the U.S. government (Relocation &amp; Reservation Eras), a feat made possible in large part due to the disappearance of bison, their primary food source, </w:t>
      </w:r>
      <w:r w:rsidR="15A36BB6" w:rsidRPr="78FF99D4">
        <w:rPr>
          <w:rFonts w:eastAsia="Times New Roman" w:cs="Times New Roman"/>
        </w:rPr>
        <w:t>providing</w:t>
      </w:r>
      <w:r w:rsidRPr="003802E2">
        <w:rPr>
          <w:rFonts w:eastAsia="Times New Roman" w:cs="Times New Roman"/>
        </w:rPr>
        <w:t xml:space="preserve"> means of self-sufficiency as sovereign societies</w:t>
      </w:r>
      <w:r w:rsidR="38223D35" w:rsidRPr="78FF99D4">
        <w:rPr>
          <w:rFonts w:eastAsia="Times New Roman" w:cs="Times New Roman"/>
        </w:rPr>
        <w:t xml:space="preserve"> as well as having significant cultural value.</w:t>
      </w:r>
      <w:r w:rsidRPr="003802E2">
        <w:rPr>
          <w:rFonts w:eastAsia="Times New Roman" w:cs="Times New Roman"/>
        </w:rPr>
        <w:t xml:space="preserve"> </w:t>
      </w:r>
      <w:r w:rsidRPr="003802E2">
        <w:rPr>
          <w:rFonts w:asciiTheme="majorBidi" w:hAnsiTheme="majorBidi" w:cstheme="majorBidi"/>
          <w:color w:val="201F1E"/>
        </w:rPr>
        <w:t>(</w:t>
      </w:r>
      <w:r w:rsidRPr="003802E2">
        <w:rPr>
          <w:rFonts w:asciiTheme="majorBidi" w:hAnsiTheme="majorBidi" w:cstheme="majorBidi"/>
          <w:b/>
          <w:bCs/>
          <w:color w:val="201F1E"/>
        </w:rPr>
        <w:t>Figure 2</w:t>
      </w:r>
      <w:r w:rsidRPr="003802E2">
        <w:rPr>
          <w:rFonts w:asciiTheme="majorBidi" w:hAnsiTheme="majorBidi" w:cstheme="majorBidi"/>
          <w:color w:val="201F1E"/>
        </w:rPr>
        <w:t>)</w:t>
      </w:r>
      <w:r w:rsidRPr="003802E2">
        <w:rPr>
          <w:rFonts w:eastAsia="Times New Roman" w:cs="Times New Roman"/>
        </w:rPr>
        <w:t xml:space="preserve"> </w:t>
      </w:r>
      <w:r w:rsidRPr="005353CD">
        <w:rPr>
          <w:color w:val="2B579A"/>
          <w:shd w:val="clear" w:color="auto" w:fill="E6E6E6"/>
        </w:rPr>
        <w:fldChar w:fldCharType="begin" w:fldLock="1"/>
      </w:r>
      <w:r w:rsidRPr="003802E2">
        <w:instrText>ADDIN CSL_CITATION {"citationItems":[{"id":"ITEM-1","itemData":{"abstract":"In the late-19th century, the North American bison was slaughtered in a dramatic near-extinction episode that occurred in a period of just over ten years. We argue that the rapidity of this slaughter led to a \"reversal of fortunes\" for the Native American societies that relied on the bison. We exploit regional variation in the speed at which the bison were slaughtered and tribal variation in bison-dependence to show that bison-dependent Native American tribes suffered a significant change in living standards immediately after the bison's near-extinction, as measured by changes in height. Once the tallest people in the world, the generations of bison-dependent people born after the slaughter were amongst the shortest. We show that these effects persist into the present: formerly bison-dependent societies have between 20-40% less income per capita in 2000 than the average Native American nation, and this effect is strongest among the least historically diverse economies. Our results are robust to the inclusion of cultural, colonial, contemporary, and geographic factors and hold in both Canada and the United States. Although the living conditions of historically bison-dependent nations improved modestly between 1910 and 2010, as measured by standardized occupational rank, outcomes remain lower than non-bison-dependent nations, particularly for those living on Native American reservations. We suggest that the restrictions on mobility and economic diversification that were placed on Native Americans by federal Indian policy during the 19th and 20th centuries likely hampered the ability of these economies to adjust in the long-run. Abstract In the late 19th century, the North American bison was slaughtered in a dramatic near-extinction episode that occurred in a period of just over ten years. We argue that the rapidity of this slaughter led to a \"reversal of fortunes\" for the Native American societies that relied on the bison. We exploit regional variation in the speed at which the bison were slaughtered and tribal variation in bison-dependence to show that bison-dependent Native American tribes suffered a significant change in living standards immediately after the bison's near-extinction, as measured by changes in height. Once the tallest people in the world, the generations of bison-dependent people born after the slaughter were amongst the shortest. We show that these effects persist into the present: formerly bison-dependent societies have between 20-40%…","author":[{"dropping-particle":"","family":"Feir","given":"Donna","non-dropping-particle":"","parse-names":false,"suffix":""},{"dropping-particle":"","family":"Gillezeau","given":"Rob","non-dropping-particle":"","parse-names":false,"suffix":""},{"dropping-particle":"","family":"Jones","given":"Maggie","non-dropping-particle":"","parse-names":false,"suffix":""},{"dropping-particle":"","family":"Jones","given":"Maggie E C","non-dropping-particle":"","parse-names":false,"suffix":""}],"container-title":"Federal Reserve Bank of Minneapolis","id":"ITEM-1","issued":{"date-parts":[["2018"]]},"page":"1-61","title":"The Slaughter of the bison and the reversal of fortunes on the Great Plains","type":"article-journal"},"uris":["http://www.mendeley.com/documents/?uuid=f55b92d5-2272-4719-9cba-35845542049b"]},{"id":"ITEM-2","itemData":{"ISBN":"1442252669","author":[{"dropping-particle":"","family":"Wilkins","given":"David E","non-dropping-particle":"","parse-names":false,"suffix":""},{"dropping-particle":"","family":"Stark","given":"Heidi Kiiwetinepinesiik","non-dropping-particle":"","parse-names":false,"suffix":""}],"id":"ITEM-2","issued":{"date-parts":[["2017"]]},"publisher":"Rowman &amp; Littlefield","title":"American Indian politics and the American political system","type":"book"},"uris":["http://www.mendeley.com/documents/?uuid=cfe0a118-bdfc-4e66-8cca-e42be6fcb898"]}],"mendeley":{"formattedCitation":"(Wilkins and Stark, 2017; Feir et al., 2018)","plainTextFormattedCitation":"(Wilkins and Stark, 2017; Feir et al., 2018)","previouslyFormattedCitation":"(Wilkins and Stark, 2017; Feir et al., 2018)"},"properties":{"noteIndex":0},"schema":"https://github.com/citation-style-language/schema/raw/master/csl-citation.json"}</w:instrText>
      </w:r>
      <w:r w:rsidRPr="005353CD">
        <w:rPr>
          <w:color w:val="2B579A"/>
          <w:shd w:val="clear" w:color="auto" w:fill="E6E6E6"/>
        </w:rPr>
        <w:fldChar w:fldCharType="separate"/>
      </w:r>
      <w:r w:rsidRPr="005353CD">
        <w:rPr>
          <w:noProof/>
        </w:rPr>
        <w:t>(Wilkins and Stark, 2017; Feir et al., 2018)</w:t>
      </w:r>
      <w:r w:rsidRPr="005353CD">
        <w:rPr>
          <w:color w:val="2B579A"/>
          <w:shd w:val="clear" w:color="auto" w:fill="E6E6E6"/>
        </w:rPr>
        <w:fldChar w:fldCharType="end"/>
      </w:r>
      <w:r w:rsidRPr="003802E2">
        <w:t xml:space="preserve">. </w:t>
      </w:r>
      <w:r w:rsidR="55A19D32">
        <w:t>In addition</w:t>
      </w:r>
      <w:r w:rsidRPr="003802E2">
        <w:t xml:space="preserve">, forced government assimilation programs (Allotment and Assimilation Era) prohibited the practice of all former cultural systems </w:t>
      </w:r>
      <w:r w:rsidRPr="005353CD">
        <w:rPr>
          <w:color w:val="2B579A"/>
          <w:shd w:val="clear" w:color="auto" w:fill="E6E6E6"/>
        </w:rPr>
        <w:fldChar w:fldCharType="begin" w:fldLock="1"/>
      </w:r>
      <w:r w:rsidRPr="003802E2">
        <w:instrText>ADDIN CSL_CITATION {"citationItems":[{"id":"ITEM-1","itemData":{"ISBN":"1442252669","author":[{"dropping-particle":"","family":"Wilkins","given":"David E","non-dropping-particle":"","parse-names":false,"suffix":""},{"dropping-particle":"","family":"Stark","given":"Heidi Kiiwetinepinesiik","non-dropping-particle":"","parse-names":false,"suffix":""}],"id":"ITEM-1","issued":{"date-parts":[["2017"]]},"publisher":"Rowman &amp; Littlefield","title":"American Indian politics and the American political system","type":"book"},"uris":["http://www.mendeley.com/documents/?uuid=cfe0a118-bdfc-4e66-8cca-e42be6fcb898"]}],"mendeley":{"formattedCitation":"(Wilkins and Stark, 2017)","plainTextFormattedCitation":"(Wilkins and Stark, 2017)","previouslyFormattedCitation":"(Wilkins and Stark, 2017)"},"properties":{"noteIndex":0},"schema":"https://github.com/citation-style-language/schema/raw/master/csl-citation.json"}</w:instrText>
      </w:r>
      <w:r w:rsidRPr="005353CD">
        <w:rPr>
          <w:color w:val="2B579A"/>
          <w:shd w:val="clear" w:color="auto" w:fill="E6E6E6"/>
        </w:rPr>
        <w:fldChar w:fldCharType="separate"/>
      </w:r>
      <w:r w:rsidRPr="005353CD">
        <w:rPr>
          <w:noProof/>
        </w:rPr>
        <w:t>(Wilkins and Stark, 2017)</w:t>
      </w:r>
      <w:r w:rsidRPr="005353CD">
        <w:rPr>
          <w:color w:val="2B579A"/>
          <w:shd w:val="clear" w:color="auto" w:fill="E6E6E6"/>
        </w:rPr>
        <w:fldChar w:fldCharType="end"/>
      </w:r>
      <w:r w:rsidRPr="003802E2">
        <w:t xml:space="preserve">. This included the prohibition of the practice of all former cultural systems (e.g., land-use, education, religion, and language), paired with the forced enrollment of Native American children into government boarding schools, removing children from their families and denying access to their </w:t>
      </w:r>
      <w:r w:rsidRPr="003802E2">
        <w:lastRenderedPageBreak/>
        <w:t xml:space="preserve">language and culture </w:t>
      </w:r>
      <w:r w:rsidRPr="005353CD">
        <w:rPr>
          <w:color w:val="2B579A"/>
          <w:shd w:val="clear" w:color="auto" w:fill="E6E6E6"/>
        </w:rPr>
        <w:fldChar w:fldCharType="begin" w:fldLock="1"/>
      </w:r>
      <w:r w:rsidRPr="003802E2">
        <w:instrText>ADDIN CSL_CITATION {"citationItems":[{"id":"ITEM-1","itemData":{"ISBN":"0803212305","author":[{"dropping-particle":"","family":"Child","given":"Brenda J","non-dropping-particle":"","parse-names":false,"suffix":""}],"id":"ITEM-1","issued":{"date-parts":[["1998"]]},"publisher":"U of Nebraska Press","title":"Boarding school seasons: American Indian families, 1900-1940","type":"book"},"uris":["http://www.mendeley.com/documents/?uuid=c3f34df4-23e9-41cd-8a60-236f9217617a"]}],"mendeley":{"formattedCitation":"(Child, 1998)","plainTextFormattedCitation":"(Child, 1998)","previouslyFormattedCitation":"(Child, 1998)"},"properties":{"noteIndex":0},"schema":"https://github.com/citation-style-language/schema/raw/master/csl-citation.json"}</w:instrText>
      </w:r>
      <w:r w:rsidRPr="005353CD">
        <w:rPr>
          <w:color w:val="2B579A"/>
          <w:shd w:val="clear" w:color="auto" w:fill="E6E6E6"/>
        </w:rPr>
        <w:fldChar w:fldCharType="separate"/>
      </w:r>
      <w:r w:rsidRPr="005353CD">
        <w:rPr>
          <w:noProof/>
        </w:rPr>
        <w:t>(Child, 1998)</w:t>
      </w:r>
      <w:r w:rsidRPr="005353CD">
        <w:rPr>
          <w:color w:val="2B579A"/>
          <w:shd w:val="clear" w:color="auto" w:fill="E6E6E6"/>
        </w:rPr>
        <w:fldChar w:fldCharType="end"/>
      </w:r>
      <w:r w:rsidRPr="003802E2">
        <w:t xml:space="preserve">. </w:t>
      </w:r>
      <w:r w:rsidR="00B85FBA">
        <w:rPr>
          <w:rFonts w:asciiTheme="majorBidi" w:hAnsiTheme="majorBidi" w:cstheme="majorBidi"/>
          <w:color w:val="201F1E"/>
        </w:rPr>
        <w:t>As</w:t>
      </w:r>
      <w:r w:rsidR="00130269" w:rsidRPr="00AC28F1">
        <w:rPr>
          <w:rFonts w:asciiTheme="majorBidi" w:hAnsiTheme="majorBidi" w:cstheme="majorBidi"/>
          <w:color w:val="201F1E"/>
        </w:rPr>
        <w:t xml:space="preserve"> Plains Indians were forced onto reservations and cut off from the bison economic market</w:t>
      </w:r>
      <w:r w:rsidR="00E422D4">
        <w:rPr>
          <w:rFonts w:asciiTheme="majorBidi" w:hAnsiTheme="majorBidi" w:cstheme="majorBidi"/>
          <w:color w:val="201F1E"/>
        </w:rPr>
        <w:t>, they were also cut off from</w:t>
      </w:r>
      <w:r w:rsidR="00130269" w:rsidRPr="00AC28F1">
        <w:rPr>
          <w:rFonts w:asciiTheme="majorBidi" w:hAnsiTheme="majorBidi" w:cstheme="majorBidi"/>
          <w:color w:val="201F1E"/>
        </w:rPr>
        <w:t xml:space="preserve"> their traditional relationship with bison. On paper, Native Americans </w:t>
      </w:r>
      <w:proofErr w:type="gramStart"/>
      <w:r w:rsidR="00130269" w:rsidRPr="00AC28F1">
        <w:rPr>
          <w:rFonts w:asciiTheme="majorBidi" w:hAnsiTheme="majorBidi" w:cstheme="majorBidi"/>
          <w:color w:val="201F1E"/>
        </w:rPr>
        <w:t>were allowed to</w:t>
      </w:r>
      <w:proofErr w:type="gramEnd"/>
      <w:r w:rsidR="00130269" w:rsidRPr="00AC28F1">
        <w:rPr>
          <w:rFonts w:asciiTheme="majorBidi" w:hAnsiTheme="majorBidi" w:cstheme="majorBidi"/>
          <w:color w:val="201F1E"/>
        </w:rPr>
        <w:t xml:space="preserve"> continue their way of life and have food sovereignty</w:t>
      </w:r>
      <w:r w:rsidR="00E422D4">
        <w:rPr>
          <w:rFonts w:asciiTheme="majorBidi" w:hAnsiTheme="majorBidi" w:cstheme="majorBidi"/>
          <w:color w:val="201F1E"/>
        </w:rPr>
        <w:t xml:space="preserve"> on reservations</w:t>
      </w:r>
      <w:r w:rsidR="00130269" w:rsidRPr="00AC28F1">
        <w:rPr>
          <w:rFonts w:asciiTheme="majorBidi" w:hAnsiTheme="majorBidi" w:cstheme="majorBidi"/>
          <w:color w:val="201F1E"/>
        </w:rPr>
        <w:t xml:space="preserve"> (e.g., the ability to hunt, gather food, and control of food systems), but these treaties were not honored by the government and many Native Americans lost the ability to provide for their families; with bison extirpated from the plains (</w:t>
      </w:r>
      <w:r w:rsidR="00130269" w:rsidRPr="00AC28F1">
        <w:rPr>
          <w:rFonts w:asciiTheme="majorBidi" w:hAnsiTheme="majorBidi" w:cstheme="majorBidi"/>
          <w:b/>
          <w:bCs/>
          <w:color w:val="201F1E"/>
        </w:rPr>
        <w:t>Figure 2</w:t>
      </w:r>
      <w:r w:rsidR="00130269" w:rsidRPr="78FF99D4">
        <w:rPr>
          <w:rFonts w:asciiTheme="majorBidi" w:hAnsiTheme="majorBidi" w:cstheme="majorBidi"/>
          <w:color w:val="201F1E"/>
        </w:rPr>
        <w:t>).</w:t>
      </w:r>
      <w:r w:rsidR="00130269" w:rsidRPr="00AC28F1">
        <w:rPr>
          <w:rFonts w:asciiTheme="majorBidi" w:hAnsiTheme="majorBidi" w:cstheme="majorBidi"/>
          <w:color w:val="201F1E"/>
        </w:rPr>
        <w:t xml:space="preserve"> Plains Indians experienced widespread starvation. Records from the 1880’s indicate that approximately 600 people from the Blackfeet Nation, a quarter of the population on the reservation, starved to death due to malnourishment from inadequate government-provided food </w:t>
      </w:r>
      <w:r w:rsidR="00130269" w:rsidRPr="6BC2C5C0">
        <w:rPr>
          <w:rFonts w:eastAsia="Times New Roman" w:cs="Times New Roman"/>
          <w:color w:val="000000" w:themeColor="text1"/>
        </w:rPr>
        <w:t>and</w:t>
      </w:r>
      <w:r w:rsidR="00130269" w:rsidRPr="6BEA0DC4">
        <w:rPr>
          <w:rFonts w:eastAsia="Times New Roman" w:cs="Times New Roman"/>
          <w:color w:val="000000" w:themeColor="text1"/>
        </w:rPr>
        <w:t>,</w:t>
      </w:r>
      <w:r w:rsidR="00130269" w:rsidRPr="6BC2C5C0">
        <w:rPr>
          <w:rFonts w:eastAsia="Times New Roman" w:cs="Times New Roman"/>
          <w:color w:val="000000" w:themeColor="text1"/>
        </w:rPr>
        <w:t xml:space="preserve"> in the winter of 1883-1884, 300 Assiniboine starved to death on the Fort Peck Reservation</w:t>
      </w:r>
      <w:r w:rsidR="00130269" w:rsidRPr="00AC28F1">
        <w:rPr>
          <w:rFonts w:asciiTheme="majorBidi" w:hAnsiTheme="majorBidi" w:cstheme="majorBidi"/>
          <w:color w:val="201F1E"/>
        </w:rPr>
        <w:t xml:space="preserve"> </w:t>
      </w:r>
      <w:r w:rsidR="00130269" w:rsidRPr="00AC28F1">
        <w:rPr>
          <w:rFonts w:asciiTheme="majorBidi" w:hAnsiTheme="majorBidi" w:cstheme="majorBidi"/>
          <w:color w:val="201F1E"/>
          <w:shd w:val="clear" w:color="auto" w:fill="E6E6E6"/>
        </w:rPr>
        <w:fldChar w:fldCharType="begin" w:fldLock="1"/>
      </w:r>
      <w:r w:rsidR="00130269" w:rsidRPr="00AC28F1">
        <w:rPr>
          <w:rFonts w:asciiTheme="majorBidi" w:hAnsiTheme="majorBidi" w:cstheme="majorBidi"/>
          <w:color w:val="201F1E"/>
        </w:rPr>
        <w:instrText>ADDIN CSL_CITATION {"citationItems":[{"id":"ITEM-1","itemData":{"abstract":"Abstract not available.","author":[{"dropping-particle":"","family":"Henderson-Matthews","given":"Betty K","non-dropping-particle":"","parse-names":false,"suffix":""}],"container-title":"ProQuest Dissertations and Theses","id":"ITEM-1","issued":{"date-parts":[["2005"]]},"title":"For as long as the sun shall rise and the mountains cast their shadows","type":"article-journal"},"uris":["http://www.mendeley.com/documents/?uuid=6e079622-944b-44c2-b3e0-829c7141bfc8"]}],"mendeley":{"formattedCitation":"(Henderson-Matthews, 2005)","plainTextFormattedCitation":"(Henderson-Matthews, 2005)","previouslyFormattedCitation":"(Henderson-Matthews, 2005)"},"properties":{"noteIndex":0},"schema":"https://github.com/citation-style-language/schema/raw/master/csl-citation.json"}</w:instrText>
      </w:r>
      <w:r w:rsidR="00130269" w:rsidRPr="00AC28F1">
        <w:rPr>
          <w:rFonts w:asciiTheme="majorBidi" w:hAnsiTheme="majorBidi" w:cstheme="majorBidi"/>
          <w:color w:val="201F1E"/>
          <w:shd w:val="clear" w:color="auto" w:fill="E6E6E6"/>
        </w:rPr>
        <w:fldChar w:fldCharType="separate"/>
      </w:r>
      <w:r w:rsidR="00130269" w:rsidRPr="00AC28F1">
        <w:rPr>
          <w:rFonts w:asciiTheme="majorBidi" w:hAnsiTheme="majorBidi" w:cstheme="majorBidi"/>
          <w:noProof/>
          <w:color w:val="201F1E"/>
        </w:rPr>
        <w:t>(Henderson-Matthews, 2005)</w:t>
      </w:r>
      <w:r w:rsidR="00130269" w:rsidRPr="00AC28F1">
        <w:rPr>
          <w:rFonts w:asciiTheme="majorBidi" w:hAnsiTheme="majorBidi" w:cstheme="majorBidi"/>
          <w:color w:val="201F1E"/>
          <w:shd w:val="clear" w:color="auto" w:fill="E6E6E6"/>
        </w:rPr>
        <w:fldChar w:fldCharType="end"/>
      </w:r>
      <w:r w:rsidR="00130269" w:rsidRPr="00AC28F1">
        <w:rPr>
          <w:rFonts w:asciiTheme="majorBidi" w:hAnsiTheme="majorBidi" w:cstheme="majorBidi"/>
          <w:color w:val="201F1E"/>
        </w:rPr>
        <w:t xml:space="preserve">. </w:t>
      </w:r>
    </w:p>
    <w:p w14:paraId="6304D491" w14:textId="2DC5C613" w:rsidR="004E097B" w:rsidRPr="00AC28F1" w:rsidRDefault="004E097B" w:rsidP="00E422D4">
      <w:pPr>
        <w:shd w:val="clear" w:color="auto" w:fill="FFFFFF" w:themeFill="background1"/>
        <w:spacing w:before="240" w:after="120"/>
        <w:rPr>
          <w:rFonts w:eastAsia="Calibri" w:cs="Arial"/>
        </w:rPr>
      </w:pPr>
      <w:r w:rsidRPr="003802E2">
        <w:t>During this period, tribal lands were divided into small parcels and allo</w:t>
      </w:r>
      <w:r w:rsidRPr="003802E2" w:rsidDel="3B1E9820">
        <w:t>ca</w:t>
      </w:r>
      <w:r w:rsidRPr="003802E2">
        <w:t xml:space="preserve">ted (Dawes Act 1887) to each “competent” male head of household, disregarding a tradition of communal land rights and practice of shared use </w:t>
      </w:r>
      <w:r w:rsidRPr="005353CD">
        <w:rPr>
          <w:color w:val="2B579A"/>
          <w:shd w:val="clear" w:color="auto" w:fill="E6E6E6"/>
        </w:rPr>
        <w:fldChar w:fldCharType="begin" w:fldLock="1"/>
      </w:r>
      <w:r w:rsidRPr="003802E2">
        <w:instrText>ADDIN CSL_CITATION {"citationItems":[{"id":"ITEM-1","itemData":{"ISBN":"0199913439","author":[{"dropping-particle":"","family":"Pevar","given":"Stephen L","non-dropping-particle":"","parse-names":false,"suffix":""}],"id":"ITEM-1","issued":{"date-parts":[["2012"]]},"publisher":"Oxford University Press","title":"The rights of Indians and tribes","type":"book"},"uris":["http://www.mendeley.com/documents/?uuid=bbfac234-7a7a-4ad3-a537-682a1af070f3"]},{"id":"ITEM-2","itemData":{"ISBN":"1442252669","author":[{"dropping-particle":"","family":"Wilkins","given":"David E","non-dropping-particle":"","parse-names":false,"suffix":""},{"dropping-particle":"","family":"Stark","given":"Heidi Kiiwetinepinesiik","non-dropping-particle":"","parse-names":false,"suffix":""}],"id":"ITEM-2","issued":{"date-parts":[["2017"]]},"publisher":"Rowman &amp; Littlefield","title":"American Indian politics and the American political system","type":"book"},"uris":["http://www.mendeley.com/documents/?uuid=cfe0a118-bdfc-4e66-8cca-e42be6fcb898"]}],"mendeley":{"formattedCitation":"(Pevar, 2012; Wilkins and Stark, 2017)","plainTextFormattedCitation":"(Pevar, 2012; Wilkins and Stark, 2017)","previouslyFormattedCitation":"(Pevar, 2012; Wilkins and Stark, 2017)"},"properties":{"noteIndex":0},"schema":"https://github.com/citation-style-language/schema/raw/master/csl-citation.json"}</w:instrText>
      </w:r>
      <w:r w:rsidRPr="005353CD">
        <w:rPr>
          <w:color w:val="2B579A"/>
          <w:shd w:val="clear" w:color="auto" w:fill="E6E6E6"/>
        </w:rPr>
        <w:fldChar w:fldCharType="separate"/>
      </w:r>
      <w:r w:rsidRPr="005353CD">
        <w:rPr>
          <w:noProof/>
        </w:rPr>
        <w:t>(Pevar, 2012; Wilkins and Stark, 2017)</w:t>
      </w:r>
      <w:r w:rsidRPr="005353CD">
        <w:rPr>
          <w:color w:val="2B579A"/>
          <w:shd w:val="clear" w:color="auto" w:fill="E6E6E6"/>
        </w:rPr>
        <w:fldChar w:fldCharType="end"/>
      </w:r>
      <w:r w:rsidRPr="003802E2">
        <w:t>. The unallotted land within tribal territories was then considered surplus and made available to outside homesteaders, resulting in a net loss of 90</w:t>
      </w:r>
      <w:r w:rsidR="08B803F5">
        <w:t xml:space="preserve"> </w:t>
      </w:r>
      <w:r w:rsidRPr="003802E2">
        <w:t xml:space="preserve">million acres of tribal lands across all reservations </w:t>
      </w:r>
      <w:r w:rsidRPr="005353CD">
        <w:rPr>
          <w:color w:val="2B579A"/>
          <w:shd w:val="clear" w:color="auto" w:fill="E6E6E6"/>
        </w:rPr>
        <w:fldChar w:fldCharType="begin" w:fldLock="1"/>
      </w:r>
      <w:r w:rsidRPr="003802E2">
        <w:instrText>ADDIN CSL_CITATION {"citationItems":[{"id":"ITEM-1","itemData":{"ISBN":"0253336287","author":[{"dropping-particle":"","family":"McDonnell","given":"Janet A","non-dropping-particle":"","parse-names":false,"suffix":""}],"id":"ITEM-1","issued":{"date-parts":[["1991"]]},"publisher":"Indiana University Press","title":"Dispossession of the American Indian, 1887-1934","type":"book"},"uris":["http://www.mendeley.com/documents/?uuid=388cfef0-cecb-48a3-b70e-7ea12657c1a4"]}],"mendeley":{"formattedCitation":"(McDonnell, 1991)","plainTextFormattedCitation":"(McDonnell, 1991)","previouslyFormattedCitation":"(McDonnell, 1991)"},"properties":{"noteIndex":0},"schema":"https://github.com/citation-style-language/schema/raw/master/csl-citation.json"}</w:instrText>
      </w:r>
      <w:r w:rsidRPr="005353CD">
        <w:rPr>
          <w:color w:val="2B579A"/>
          <w:shd w:val="clear" w:color="auto" w:fill="E6E6E6"/>
        </w:rPr>
        <w:fldChar w:fldCharType="separate"/>
      </w:r>
      <w:r w:rsidRPr="005353CD">
        <w:rPr>
          <w:noProof/>
        </w:rPr>
        <w:t>(McDonnell, 1991)</w:t>
      </w:r>
      <w:r w:rsidRPr="005353CD">
        <w:rPr>
          <w:color w:val="2B579A"/>
          <w:shd w:val="clear" w:color="auto" w:fill="E6E6E6"/>
        </w:rPr>
        <w:fldChar w:fldCharType="end"/>
      </w:r>
      <w:r w:rsidRPr="003802E2">
        <w:t>. The impact of this history resulted in a suite of legal, economic, land, and social challenges that still impact Native nations to this day</w:t>
      </w:r>
      <w:r w:rsidRPr="003802E2" w:rsidDel="1B2553CE">
        <w:t>.</w:t>
      </w:r>
      <w:r w:rsidRPr="003802E2">
        <w:t xml:space="preserve"> </w:t>
      </w:r>
      <w:r w:rsidRPr="005353CD">
        <w:rPr>
          <w:color w:val="2B579A"/>
          <w:shd w:val="clear" w:color="auto" w:fill="E6E6E6"/>
        </w:rPr>
        <w:fldChar w:fldCharType="begin" w:fldLock="1"/>
      </w:r>
      <w:r w:rsidRPr="003802E2">
        <w:instrText>ADDIN CSL_CITATION {"citationItems":[{"id":"ITEM-1","itemData":{"abstract":"In the late-19th century, the North American bison was slaughtered in a dramatic near-extinction episode that occurred in a period of just over ten years. We argue that the rapidity of this slaughter led to a \"reversal of fortunes\" for the Native American societies that relied on the bison. We exploit regional variation in the speed at which the bison were slaughtered and tribal variation in bison-dependence to show that bison-dependent Native American tribes suffered a significant change in living standards immediately after the bison's near-extinction, as measured by changes in height. Once the tallest people in the world, the generations of bison-dependent people born after the slaughter were amongst the shortest. We show that these effects persist into the present: formerly bison-dependent societies have between 20-40% less income per capita in 2000 than the average Native American nation, and this effect is strongest among the least historically diverse economies. Our results are robust to the inclusion of cultural, colonial, contemporary, and geographic factors and hold in both Canada and the United States. Although the living conditions of historically bison-dependent nations improved modestly between 1910 and 2010, as measured by standardized occupational rank, outcomes remain lower than non-bison-dependent nations, particularly for those living on Native American reservations. We suggest that the restrictions on mobility and economic diversification that were placed on Native Americans by federal Indian policy during the 19th and 20th centuries likely hampered the ability of these economies to adjust in the long-run. Abstract In the late 19th century, the North American bison was slaughtered in a dramatic near-extinction episode that occurred in a period of just over ten years. We argue that the rapidity of this slaughter led to a \"reversal of fortunes\" for the Native American societies that relied on the bison. We exploit regional variation in the speed at which the bison were slaughtered and tribal variation in bison-dependence to show that bison-dependent Native American tribes suffered a significant change in living standards immediately after the bison's near-extinction, as measured by changes in height. Once the tallest people in the world, the generations of bison-dependent people born after the slaughter were amongst the shortest. We show that these effects persist into the present: formerly bison-dependent societies have between 20-40%…","author":[{"dropping-particle":"","family":"Feir","given":"Donna","non-dropping-particle":"","parse-names":false,"suffix":""},{"dropping-particle":"","family":"Gillezeau","given":"Rob","non-dropping-particle":"","parse-names":false,"suffix":""},{"dropping-particle":"","family":"Jones","given":"Maggie","non-dropping-particle":"","parse-names":false,"suffix":""},{"dropping-particle":"","family":"Jones","given":"Maggie E C","non-dropping-particle":"","parse-names":false,"suffix":""}],"container-title":"Federal Reserve Bank of Minneapolis","id":"ITEM-1","issued":{"date-parts":[["2018"]]},"page":"1-61","title":"The Slaughter of the bison and the reversal of fortunes on the Great Plains","type":"article-journal"},"uris":["http://www.mendeley.com/documents/?uuid=f55b92d5-2272-4719-9cba-35845542049b"]},{"id":"ITEM-2","itemData":{"ISBN":"0199913439","author":[{"dropping-particle":"","family":"Pevar","given":"Stephen L","non-dropping-particle":"","parse-names":false,"suffix":""}],"id":"ITEM-2","issued":{"date-parts":[["2012"]]},"publisher":"Oxford University Press","title":"The rights of Indians and tribes","type":"book"},"uris":["http://www.mendeley.com/documents/?uuid=bbfac234-7a7a-4ad3-a537-682a1af070f3"]},{"id":"ITEM-3","itemData":{"ISBN":"1442252669","author":[{"dropping-particle":"","family":"Wilkins","given":"David E","non-dropping-particle":"","parse-names":false,"suffix":""},{"dropping-particle":"","family":"Stark","given":"Heidi Kiiwetinepinesiik","non-dropping-particle":"","parse-names":false,"suffix":""}],"id":"ITEM-3","issued":{"date-parts":[["2017"]]},"publisher":"Rowman &amp; Littlefield","title":"American Indian politics and the American political system","type":"book"},"uris":["http://www.mendeley.com/documents/?uuid=cfe0a118-bdfc-4e66-8cca-e42be6fcb898"]}],"mendeley":{"formattedCitation":"(Pevar, 2012; Wilkins and Stark, 2017; Feir et al., 2018)","plainTextFormattedCitation":"(Pevar, 2012; Wilkins and Stark, 2017; Feir et al., 2018)","previouslyFormattedCitation":"(Pevar, 2012; Wilkins and Stark, 2017; Feir et al., 2018)"},"properties":{"noteIndex":0},"schema":"https://github.com/citation-style-language/schema/raw/master/csl-citation.json"}</w:instrText>
      </w:r>
      <w:r w:rsidRPr="005353CD">
        <w:rPr>
          <w:color w:val="2B579A"/>
          <w:shd w:val="clear" w:color="auto" w:fill="E6E6E6"/>
        </w:rPr>
        <w:fldChar w:fldCharType="separate"/>
      </w:r>
      <w:r w:rsidRPr="005353CD">
        <w:rPr>
          <w:noProof/>
        </w:rPr>
        <w:t>(Pevar, 2012; Wilkins and Stark, 2017; Feir et al., 2018)</w:t>
      </w:r>
      <w:r w:rsidRPr="005353CD">
        <w:rPr>
          <w:color w:val="2B579A"/>
          <w:shd w:val="clear" w:color="auto" w:fill="E6E6E6"/>
        </w:rPr>
        <w:fldChar w:fldCharType="end"/>
      </w:r>
      <w:r w:rsidRPr="003802E2">
        <w:t>.</w:t>
      </w:r>
      <w:r w:rsidR="00BA6F29">
        <w:t xml:space="preserve"> </w:t>
      </w:r>
    </w:p>
    <w:p w14:paraId="6DB5FF10" w14:textId="0B42E94D" w:rsidR="002F2771" w:rsidRDefault="004E097B" w:rsidP="00E422D4">
      <w:pPr>
        <w:shd w:val="clear" w:color="auto" w:fill="FFFFFF" w:themeFill="background1"/>
        <w:spacing w:before="240" w:after="200"/>
        <w:rPr>
          <w:rFonts w:asciiTheme="majorBidi" w:hAnsiTheme="majorBidi" w:cstheme="majorBidi"/>
          <w:color w:val="201F1E"/>
        </w:rPr>
      </w:pPr>
      <w:r w:rsidRPr="70FA2EF9">
        <w:t xml:space="preserve">With persistent Native resistance and activism, </w:t>
      </w:r>
      <w:r w:rsidRPr="63B99A0B">
        <w:t xml:space="preserve">and </w:t>
      </w:r>
      <w:r w:rsidRPr="70FA2EF9">
        <w:t xml:space="preserve">federal policy shifts </w:t>
      </w:r>
      <w:r w:rsidRPr="63B99A0B">
        <w:t>such as</w:t>
      </w:r>
      <w:r w:rsidRPr="70FA2EF9">
        <w:t xml:space="preserve"> the Indian Civil Rights Act (1968), Native Nations became more empowered to deconstruct imposed </w:t>
      </w:r>
      <w:r w:rsidRPr="63B99A0B">
        <w:t xml:space="preserve">government </w:t>
      </w:r>
      <w:r w:rsidRPr="70FA2EF9">
        <w:t xml:space="preserve">systems. </w:t>
      </w:r>
      <w:r w:rsidRPr="70FA2EF9">
        <w:rPr>
          <w:rFonts w:asciiTheme="majorBidi" w:hAnsiTheme="majorBidi" w:cstheme="majorBidi"/>
        </w:rPr>
        <w:t>However, by that time, the</w:t>
      </w:r>
      <w:r w:rsidRPr="70FA2EF9">
        <w:rPr>
          <w:rFonts w:asciiTheme="majorBidi" w:hAnsiTheme="majorBidi" w:cstheme="majorBidi"/>
          <w:color w:val="201F1E"/>
        </w:rPr>
        <w:t xml:space="preserve"> loss of bison and the accompanying loss of food security and sovereignty had directly impacted Native American health and well-being for decades. Despite multiple governmental and private efforts, food sovereignty has not been fully restored on reservations </w:t>
      </w:r>
      <w:r w:rsidRPr="70FA2EF9">
        <w:rPr>
          <w:rFonts w:asciiTheme="majorBidi" w:hAnsiTheme="majorBidi" w:cstheme="majorBidi"/>
          <w:color w:val="201F1E"/>
          <w:shd w:val="clear" w:color="auto" w:fill="E6E6E6"/>
        </w:rPr>
        <w:fldChar w:fldCharType="begin" w:fldLock="1"/>
      </w:r>
      <w:r w:rsidRPr="70FA2EF9">
        <w:rPr>
          <w:rFonts w:asciiTheme="majorBidi" w:hAnsiTheme="majorBidi" w:cstheme="majorBidi"/>
          <w:color w:val="201F1E"/>
        </w:rPr>
        <w:instrText>ADDIN CSL_CITATION {"citationItems":[{"id":"ITEM-1","itemData":{"DOI":"10.17953/aicrj.41.3.ruelle","ISSN":"01616463","author":[{"dropping-particle":"","family":"Ruelle","given":"Morgan L.","non-dropping-particle":"","parse-names":false,"suffix":""}],"container-title":"American Indian Culture and Research Journal","id":"ITEM-1","issue":"3","issued":{"date-parts":[["2017"]]},"page":"113-125","title":"Ecological relations and indigenous food sovereignty in standing rock","type":"article-journal","volume":"41"},"uris":["http://www.mendeley.com/documents/?uuid=1f46dbfd-e6ac-4f09-8aa4-55bf0b99c505"]}],"mendeley":{"formattedCitation":"(Ruelle, 2017)","plainTextFormattedCitation":"(Ruelle, 2017)","previouslyFormattedCitation":"(Ruelle, 2017)"},"properties":{"noteIndex":0},"schema":"https://github.com/citation-style-language/schema/raw/master/csl-citation.json"}</w:instrText>
      </w:r>
      <w:r w:rsidRPr="70FA2EF9">
        <w:rPr>
          <w:rFonts w:asciiTheme="majorBidi" w:hAnsiTheme="majorBidi" w:cstheme="majorBidi"/>
          <w:color w:val="201F1E"/>
          <w:shd w:val="clear" w:color="auto" w:fill="E6E6E6"/>
        </w:rPr>
        <w:fldChar w:fldCharType="separate"/>
      </w:r>
      <w:r w:rsidRPr="70FA2EF9">
        <w:rPr>
          <w:rFonts w:asciiTheme="majorBidi" w:hAnsiTheme="majorBidi" w:cstheme="majorBidi"/>
          <w:noProof/>
          <w:color w:val="201F1E"/>
        </w:rPr>
        <w:t>(Ruelle, 2017)</w:t>
      </w:r>
      <w:r w:rsidRPr="70FA2EF9">
        <w:rPr>
          <w:rFonts w:asciiTheme="majorBidi" w:hAnsiTheme="majorBidi" w:cstheme="majorBidi"/>
          <w:color w:val="201F1E"/>
          <w:shd w:val="clear" w:color="auto" w:fill="E6E6E6"/>
        </w:rPr>
        <w:fldChar w:fldCharType="end"/>
      </w:r>
      <w:r w:rsidRPr="70FA2EF9">
        <w:rPr>
          <w:rFonts w:asciiTheme="majorBidi" w:hAnsiTheme="majorBidi" w:cstheme="majorBidi"/>
          <w:color w:val="201F1E"/>
        </w:rPr>
        <w:t>.</w:t>
      </w:r>
    </w:p>
    <w:p w14:paraId="20FCD530" w14:textId="77777777" w:rsidR="002F2771" w:rsidRDefault="002F2771">
      <w:pPr>
        <w:spacing w:before="0" w:after="200" w:line="276" w:lineRule="auto"/>
        <w:rPr>
          <w:rFonts w:asciiTheme="majorBidi" w:hAnsiTheme="majorBidi" w:cstheme="majorBidi"/>
          <w:color w:val="201F1E"/>
        </w:rPr>
      </w:pPr>
      <w:r>
        <w:rPr>
          <w:rFonts w:asciiTheme="majorBidi" w:hAnsiTheme="majorBidi" w:cstheme="majorBidi"/>
          <w:color w:val="201F1E"/>
        </w:rPr>
        <w:br w:type="page"/>
      </w:r>
    </w:p>
    <w:p w14:paraId="3CC5CC7F" w14:textId="77777777" w:rsidR="004E097B" w:rsidRDefault="004E097B" w:rsidP="00E422D4">
      <w:pPr>
        <w:shd w:val="clear" w:color="auto" w:fill="FFFFFF" w:themeFill="background1"/>
        <w:spacing w:before="240" w:after="200"/>
        <w:rPr>
          <w:rFonts w:asciiTheme="majorBidi" w:hAnsiTheme="majorBidi" w:cstheme="majorBidi"/>
          <w:b/>
          <w:bCs/>
        </w:rPr>
      </w:pPr>
    </w:p>
    <w:p w14:paraId="76D2BF96" w14:textId="2E3943D2" w:rsidR="004E097B" w:rsidRDefault="004E097B" w:rsidP="0048360F">
      <w:pPr>
        <w:pStyle w:val="Heading1"/>
      </w:pPr>
      <w:r>
        <w:t>References</w:t>
      </w:r>
    </w:p>
    <w:p w14:paraId="5B6C3DAC" w14:textId="3D9AC0C8" w:rsidR="00AC7DCA" w:rsidRPr="00AC7DCA" w:rsidRDefault="004E097B" w:rsidP="00AC7DCA">
      <w:pPr>
        <w:widowControl w:val="0"/>
        <w:autoSpaceDE w:val="0"/>
        <w:autoSpaceDN w:val="0"/>
        <w:adjustRightInd w:val="0"/>
        <w:spacing w:before="0" w:after="200"/>
        <w:ind w:left="480" w:hanging="480"/>
        <w:rPr>
          <w:rFonts w:cs="Times New Roman"/>
          <w:noProof/>
          <w:szCs w:val="24"/>
        </w:rPr>
      </w:pPr>
      <w:r>
        <w:rPr>
          <w:rFonts w:asciiTheme="majorBidi" w:hAnsiTheme="majorBidi" w:cstheme="majorBidi"/>
          <w:color w:val="2B579A"/>
          <w:szCs w:val="24"/>
          <w:shd w:val="clear" w:color="auto" w:fill="E6E6E6"/>
        </w:rPr>
        <w:fldChar w:fldCharType="begin" w:fldLock="1"/>
      </w:r>
      <w:r>
        <w:rPr>
          <w:rFonts w:asciiTheme="majorBidi" w:hAnsiTheme="majorBidi" w:cstheme="majorBidi"/>
          <w:szCs w:val="24"/>
        </w:rPr>
        <w:instrText xml:space="preserve">ADDIN Mendeley Bibliography CSL_BIBLIOGRAPHY </w:instrText>
      </w:r>
      <w:r>
        <w:rPr>
          <w:rFonts w:asciiTheme="majorBidi" w:hAnsiTheme="majorBidi" w:cstheme="majorBidi"/>
          <w:color w:val="2B579A"/>
          <w:szCs w:val="24"/>
          <w:shd w:val="clear" w:color="auto" w:fill="E6E6E6"/>
        </w:rPr>
        <w:fldChar w:fldCharType="separate"/>
      </w:r>
      <w:r w:rsidR="00AC7DCA" w:rsidRPr="00AC7DCA">
        <w:rPr>
          <w:rFonts w:cs="Times New Roman"/>
          <w:noProof/>
          <w:szCs w:val="24"/>
        </w:rPr>
        <w:t xml:space="preserve">Child, B. J. (1998). </w:t>
      </w:r>
      <w:r w:rsidR="00AC7DCA" w:rsidRPr="00AC7DCA">
        <w:rPr>
          <w:rFonts w:cs="Times New Roman"/>
          <w:i/>
          <w:iCs/>
          <w:noProof/>
          <w:szCs w:val="24"/>
        </w:rPr>
        <w:t>Boarding school seasons: American Indian families, 1900-1940</w:t>
      </w:r>
      <w:r w:rsidR="00AC7DCA" w:rsidRPr="00AC7DCA">
        <w:rPr>
          <w:rFonts w:cs="Times New Roman"/>
          <w:noProof/>
          <w:szCs w:val="24"/>
        </w:rPr>
        <w:t>. U of Nebraska Press.</w:t>
      </w:r>
    </w:p>
    <w:p w14:paraId="6286D59C"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Creel, D. (1991). Bison Hides in Late Prehistoric Exchange in the Southern Plains. </w:t>
      </w:r>
      <w:r w:rsidRPr="00AC7DCA">
        <w:rPr>
          <w:rFonts w:cs="Times New Roman"/>
          <w:i/>
          <w:iCs/>
          <w:noProof/>
          <w:szCs w:val="24"/>
        </w:rPr>
        <w:t>Am. Antiq.</w:t>
      </w:r>
      <w:r w:rsidRPr="00AC7DCA">
        <w:rPr>
          <w:rFonts w:cs="Times New Roman"/>
          <w:noProof/>
          <w:szCs w:val="24"/>
        </w:rPr>
        <w:t xml:space="preserve"> 56, 40–49. doi:DOI: 10.2307/280971.</w:t>
      </w:r>
    </w:p>
    <w:p w14:paraId="69BDB19D"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Crepelle, A. (2019). Decolonizing Reservation Economies: Returning to Private Enterprise and Trade. </w:t>
      </w:r>
      <w:r w:rsidRPr="00AC7DCA">
        <w:rPr>
          <w:rFonts w:cs="Times New Roman"/>
          <w:i/>
          <w:iCs/>
          <w:noProof/>
          <w:szCs w:val="24"/>
        </w:rPr>
        <w:t>J. Bus. Entrep. L.</w:t>
      </w:r>
      <w:r w:rsidRPr="00AC7DCA">
        <w:rPr>
          <w:rFonts w:cs="Times New Roman"/>
          <w:noProof/>
          <w:szCs w:val="24"/>
        </w:rPr>
        <w:t xml:space="preserve"> Available at: https://heinonline.org/hol-cgi-bin/get_pdf.cgi?handle=hein.journals/jbelw12&amp;section=18.</w:t>
      </w:r>
    </w:p>
    <w:p w14:paraId="2D53BC1D"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Feir, D., Gillezeau, R., Jones, M., and Jones, M. E. C. (2018). The Slaughter of the bison and the reversal of fortunes on the Great Plains. </w:t>
      </w:r>
      <w:r w:rsidRPr="00AC7DCA">
        <w:rPr>
          <w:rFonts w:cs="Times New Roman"/>
          <w:i/>
          <w:iCs/>
          <w:noProof/>
          <w:szCs w:val="24"/>
        </w:rPr>
        <w:t>Fed. Reserv. Bank Minneap.</w:t>
      </w:r>
      <w:r w:rsidRPr="00AC7DCA">
        <w:rPr>
          <w:rFonts w:cs="Times New Roman"/>
          <w:noProof/>
          <w:szCs w:val="24"/>
        </w:rPr>
        <w:t>, 1–61. Available at: https://www.minneapolisfed.org/~/media/files/community/indiancountry/resources-education/working-papers/cicd-wp-2019-01.pdf%0Ahttps://www.uvic.ca/socialsciences/economics/assets/docs/discussion/DDP1701.pdf.</w:t>
      </w:r>
    </w:p>
    <w:p w14:paraId="0064637B"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Gilmore, K. P., Tate, M., Chenault, M. L., Clark, B., McBride, T., and Wood, M. (1999). </w:t>
      </w:r>
      <w:r w:rsidRPr="00AC7DCA">
        <w:rPr>
          <w:rFonts w:cs="Times New Roman"/>
          <w:i/>
          <w:iCs/>
          <w:noProof/>
          <w:szCs w:val="24"/>
        </w:rPr>
        <w:t>Colorado prehistory: a context for the Platte River Basin</w:t>
      </w:r>
      <w:r w:rsidRPr="00AC7DCA">
        <w:rPr>
          <w:rFonts w:cs="Times New Roman"/>
          <w:noProof/>
          <w:szCs w:val="24"/>
        </w:rPr>
        <w:t>. Colorado Council of Professional Archaeologists Denver.</w:t>
      </w:r>
    </w:p>
    <w:p w14:paraId="264908FA"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Goble, P., and Crow, J. M. (2009). </w:t>
      </w:r>
      <w:r w:rsidRPr="00AC7DCA">
        <w:rPr>
          <w:rFonts w:cs="Times New Roman"/>
          <w:i/>
          <w:iCs/>
          <w:noProof/>
          <w:szCs w:val="24"/>
        </w:rPr>
        <w:t>The Earth Made New: Plains Indian Stories of Creation</w:t>
      </w:r>
      <w:r w:rsidRPr="00AC7DCA">
        <w:rPr>
          <w:rFonts w:cs="Times New Roman"/>
          <w:noProof/>
          <w:szCs w:val="24"/>
        </w:rPr>
        <w:t>. World Wisdom, Incorporated Available at: https://books.google.com/books?id=3S0-f4jY3-gC.</w:t>
      </w:r>
    </w:p>
    <w:p w14:paraId="5AEA2780"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Gwynne, S. C. (2010). </w:t>
      </w:r>
      <w:r w:rsidRPr="00AC7DCA">
        <w:rPr>
          <w:rFonts w:cs="Times New Roman"/>
          <w:i/>
          <w:iCs/>
          <w:noProof/>
          <w:szCs w:val="24"/>
        </w:rPr>
        <w:t>Empire of the summer moon: Quanah Parker and the rise and fall of the Comanches, the most powerful Indian tribe in American history</w:t>
      </w:r>
      <w:r w:rsidRPr="00AC7DCA">
        <w:rPr>
          <w:rFonts w:cs="Times New Roman"/>
          <w:noProof/>
          <w:szCs w:val="24"/>
        </w:rPr>
        <w:t>. Simon and Schuster.</w:t>
      </w:r>
    </w:p>
    <w:p w14:paraId="63FA4911"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Henderson-Matthews, B. K. (2005). For as long as the sun shall rise and the mountains cast their shadows. </w:t>
      </w:r>
      <w:r w:rsidRPr="00AC7DCA">
        <w:rPr>
          <w:rFonts w:cs="Times New Roman"/>
          <w:i/>
          <w:iCs/>
          <w:noProof/>
          <w:szCs w:val="24"/>
        </w:rPr>
        <w:t>ProQuest Diss. Theses</w:t>
      </w:r>
      <w:r w:rsidRPr="00AC7DCA">
        <w:rPr>
          <w:rFonts w:cs="Times New Roman"/>
          <w:noProof/>
          <w:szCs w:val="24"/>
        </w:rPr>
        <w:t>. Available at: http://cyber.usask.ca/login?url=https://search.proquest.com/docview/1115317640?accountid=14739&amp;bdid=6498&amp;_bd=qro6%2Bl8E4Svx0HWWuTvgBlcngtI%3D.</w:t>
      </w:r>
    </w:p>
    <w:p w14:paraId="13D1FCC7"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Hubbard, T. (2014). “Chapter 13. Buffalo Genocide in Nineteenth-Century North America: ‘Kill, Skin, and Sell,’” in, eds. A. L. Hinton, A. Woolford, and J. Benvenuto (Duke University Press), 292–305. doi:doi:10.1515/9780822376149-015.</w:t>
      </w:r>
    </w:p>
    <w:p w14:paraId="79DB0B79"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Hubbard, T. (2016). The Call of the Buffalo: Exploring Kinship with the Buffalo in Indigenous Creative Expression. doi:http://dx.doi.org/10.11575/PRISM/28021.</w:t>
      </w:r>
    </w:p>
    <w:p w14:paraId="63540F1A"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ILTF The Indian Land Tenure Foundation. Available at: https://iltf.org/about-us/ [Accessed November 23, 2021].</w:t>
      </w:r>
    </w:p>
    <w:p w14:paraId="2AD432E3"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Kornfeld, M., Frison, G. C., and Larson, M. Lou (2016). </w:t>
      </w:r>
      <w:r w:rsidRPr="00AC7DCA">
        <w:rPr>
          <w:rFonts w:cs="Times New Roman"/>
          <w:i/>
          <w:iCs/>
          <w:noProof/>
          <w:szCs w:val="24"/>
        </w:rPr>
        <w:t>Prehistoric hunter-gatherers of the High Plains and Rockies</w:t>
      </w:r>
      <w:r w:rsidRPr="00AC7DCA">
        <w:rPr>
          <w:rFonts w:cs="Times New Roman"/>
          <w:noProof/>
          <w:szCs w:val="24"/>
        </w:rPr>
        <w:t>. Routledge.</w:t>
      </w:r>
    </w:p>
    <w:p w14:paraId="29B0EB29"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McDonnell, J. A. (1991). </w:t>
      </w:r>
      <w:r w:rsidRPr="00AC7DCA">
        <w:rPr>
          <w:rFonts w:cs="Times New Roman"/>
          <w:i/>
          <w:iCs/>
          <w:noProof/>
          <w:szCs w:val="24"/>
        </w:rPr>
        <w:t>Dispossession of the American Indian, 1887-1934</w:t>
      </w:r>
      <w:r w:rsidRPr="00AC7DCA">
        <w:rPr>
          <w:rFonts w:cs="Times New Roman"/>
          <w:noProof/>
          <w:szCs w:val="24"/>
        </w:rPr>
        <w:t>. Indiana University Press.</w:t>
      </w:r>
    </w:p>
    <w:p w14:paraId="033A3C52"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Peck, T. R. (2001). Bison Ethology and Native Settlement Patterns during the Old Women’s Phase </w:t>
      </w:r>
      <w:r w:rsidRPr="00AC7DCA">
        <w:rPr>
          <w:rFonts w:cs="Times New Roman"/>
          <w:noProof/>
          <w:szCs w:val="24"/>
        </w:rPr>
        <w:lastRenderedPageBreak/>
        <w:t xml:space="preserve">on the Northwestern Plains. </w:t>
      </w:r>
      <w:r w:rsidRPr="00AC7DCA">
        <w:rPr>
          <w:rFonts w:cs="Times New Roman"/>
          <w:i/>
          <w:iCs/>
          <w:noProof/>
          <w:szCs w:val="24"/>
        </w:rPr>
        <w:t>Bison Ethol. Nativ. Settl. Patterns Dur. Old Women’s Phase Northwest. Plains</w:t>
      </w:r>
      <w:r w:rsidRPr="00AC7DCA">
        <w:rPr>
          <w:rFonts w:cs="Times New Roman"/>
          <w:noProof/>
          <w:szCs w:val="24"/>
        </w:rPr>
        <w:t>. doi:10.30861/9781841716312.</w:t>
      </w:r>
    </w:p>
    <w:p w14:paraId="6C28C0A5"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Pevar, S. L. (2012). </w:t>
      </w:r>
      <w:r w:rsidRPr="00AC7DCA">
        <w:rPr>
          <w:rFonts w:cs="Times New Roman"/>
          <w:i/>
          <w:iCs/>
          <w:noProof/>
          <w:szCs w:val="24"/>
        </w:rPr>
        <w:t>The rights of Indians and tribes</w:t>
      </w:r>
      <w:r w:rsidRPr="00AC7DCA">
        <w:rPr>
          <w:rFonts w:cs="Times New Roman"/>
          <w:noProof/>
          <w:szCs w:val="24"/>
        </w:rPr>
        <w:t>. Oxford University Press.</w:t>
      </w:r>
    </w:p>
    <w:p w14:paraId="7273763F"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Ruelle, M. L. (2017). Ecological relations and indigenous food sovereignty in standing rock. </w:t>
      </w:r>
      <w:r w:rsidRPr="00AC7DCA">
        <w:rPr>
          <w:rFonts w:cs="Times New Roman"/>
          <w:i/>
          <w:iCs/>
          <w:noProof/>
          <w:szCs w:val="24"/>
        </w:rPr>
        <w:t>Am. Indian Cult. Res. J.</w:t>
      </w:r>
      <w:r w:rsidRPr="00AC7DCA">
        <w:rPr>
          <w:rFonts w:cs="Times New Roman"/>
          <w:noProof/>
          <w:szCs w:val="24"/>
        </w:rPr>
        <w:t xml:space="preserve"> 41, 113–125. doi:10.17953/aicrj.41.3.ruelle.</w:t>
      </w:r>
    </w:p>
    <w:p w14:paraId="528C4CD7"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Schaeffer, C. E. (1978). The Bison Drive of the Blackfeet Indians. </w:t>
      </w:r>
      <w:r w:rsidRPr="00AC7DCA">
        <w:rPr>
          <w:rFonts w:cs="Times New Roman"/>
          <w:i/>
          <w:iCs/>
          <w:noProof/>
          <w:szCs w:val="24"/>
        </w:rPr>
        <w:t>Plains Anthropol.</w:t>
      </w:r>
      <w:r w:rsidRPr="00AC7DCA">
        <w:rPr>
          <w:rFonts w:cs="Times New Roman"/>
          <w:noProof/>
          <w:szCs w:val="24"/>
        </w:rPr>
        <w:t xml:space="preserve"> 23, 243–248. doi:10.1080/2052546.1978.11908920.</w:t>
      </w:r>
    </w:p>
    <w:p w14:paraId="6B6CBAFB"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Steckel, R. H., and Prince, J. M. (2001). Tallest in the world: Native Americans of the Great Plains in the nineteenth century. </w:t>
      </w:r>
      <w:r w:rsidRPr="00AC7DCA">
        <w:rPr>
          <w:rFonts w:cs="Times New Roman"/>
          <w:i/>
          <w:iCs/>
          <w:noProof/>
          <w:szCs w:val="24"/>
        </w:rPr>
        <w:t>Am. Econ. Rev.</w:t>
      </w:r>
      <w:r w:rsidRPr="00AC7DCA">
        <w:rPr>
          <w:rFonts w:cs="Times New Roman"/>
          <w:noProof/>
          <w:szCs w:val="24"/>
        </w:rPr>
        <w:t xml:space="preserve"> 91, 287–294. doi:10.1257/aer.91.1.287.</w:t>
      </w:r>
    </w:p>
    <w:p w14:paraId="454E1815"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Stoneberg Holt, S. D. (2018). Reinterpreting the 1882 Bison Population Collapse. </w:t>
      </w:r>
      <w:r w:rsidRPr="00AC7DCA">
        <w:rPr>
          <w:rFonts w:cs="Times New Roman"/>
          <w:i/>
          <w:iCs/>
          <w:noProof/>
          <w:szCs w:val="24"/>
        </w:rPr>
        <w:t>Rangelands</w:t>
      </w:r>
      <w:r w:rsidRPr="00AC7DCA">
        <w:rPr>
          <w:rFonts w:cs="Times New Roman"/>
          <w:noProof/>
          <w:szCs w:val="24"/>
        </w:rPr>
        <w:t xml:space="preserve"> 40, 106–114. doi:https://doi.org/10.1016/j.rala.2018.05.004.</w:t>
      </w:r>
    </w:p>
    <w:p w14:paraId="5FFEC2DB"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Taylor, M. S. (2011a). Buffalo hunt: International trade and the virtual extinction of the North American bison. </w:t>
      </w:r>
      <w:r w:rsidRPr="00AC7DCA">
        <w:rPr>
          <w:rFonts w:cs="Times New Roman"/>
          <w:i/>
          <w:iCs/>
          <w:noProof/>
          <w:szCs w:val="24"/>
        </w:rPr>
        <w:t>Am. Econ. Rev.</w:t>
      </w:r>
      <w:r w:rsidRPr="00AC7DCA">
        <w:rPr>
          <w:rFonts w:cs="Times New Roman"/>
          <w:noProof/>
          <w:szCs w:val="24"/>
        </w:rPr>
        <w:t xml:space="preserve"> 101, 3162–3195.</w:t>
      </w:r>
    </w:p>
    <w:p w14:paraId="4B86349C" w14:textId="77777777" w:rsidR="00AC7DCA" w:rsidRPr="00AC7DCA" w:rsidRDefault="00AC7DCA" w:rsidP="00AC7DCA">
      <w:pPr>
        <w:widowControl w:val="0"/>
        <w:autoSpaceDE w:val="0"/>
        <w:autoSpaceDN w:val="0"/>
        <w:adjustRightInd w:val="0"/>
        <w:spacing w:before="0" w:after="200"/>
        <w:ind w:left="480" w:hanging="480"/>
        <w:rPr>
          <w:rFonts w:cs="Times New Roman"/>
          <w:noProof/>
          <w:szCs w:val="24"/>
        </w:rPr>
      </w:pPr>
      <w:r w:rsidRPr="00AC7DCA">
        <w:rPr>
          <w:rFonts w:cs="Times New Roman"/>
          <w:noProof/>
          <w:szCs w:val="24"/>
        </w:rPr>
        <w:t xml:space="preserve">Taylor, M. S. (2011b). Buffalo hunt: International trade and the virtual extinction of the North American Bison. </w:t>
      </w:r>
      <w:r w:rsidRPr="00AC7DCA">
        <w:rPr>
          <w:rFonts w:cs="Times New Roman"/>
          <w:i/>
          <w:iCs/>
          <w:noProof/>
          <w:szCs w:val="24"/>
        </w:rPr>
        <w:t>Am. Econ. Rev.</w:t>
      </w:r>
      <w:r w:rsidRPr="00AC7DCA">
        <w:rPr>
          <w:rFonts w:cs="Times New Roman"/>
          <w:noProof/>
          <w:szCs w:val="24"/>
        </w:rPr>
        <w:t xml:space="preserve"> 101, 3162–3195. doi:10.1257/aer.101.7.3162.</w:t>
      </w:r>
    </w:p>
    <w:p w14:paraId="769D1178" w14:textId="77777777" w:rsidR="00AC7DCA" w:rsidRPr="00AC7DCA" w:rsidRDefault="00AC7DCA" w:rsidP="00AC7DCA">
      <w:pPr>
        <w:widowControl w:val="0"/>
        <w:autoSpaceDE w:val="0"/>
        <w:autoSpaceDN w:val="0"/>
        <w:adjustRightInd w:val="0"/>
        <w:spacing w:before="0" w:after="200"/>
        <w:ind w:left="480" w:hanging="480"/>
        <w:rPr>
          <w:rFonts w:cs="Times New Roman"/>
          <w:noProof/>
        </w:rPr>
      </w:pPr>
      <w:r w:rsidRPr="00AC7DCA">
        <w:rPr>
          <w:rFonts w:cs="Times New Roman"/>
          <w:noProof/>
          <w:szCs w:val="24"/>
        </w:rPr>
        <w:t xml:space="preserve">Wilkins, D. E., and Stark, H. K. (2017). </w:t>
      </w:r>
      <w:r w:rsidRPr="00AC7DCA">
        <w:rPr>
          <w:rFonts w:cs="Times New Roman"/>
          <w:i/>
          <w:iCs/>
          <w:noProof/>
          <w:szCs w:val="24"/>
        </w:rPr>
        <w:t>American Indian politics and the American political system</w:t>
      </w:r>
      <w:r w:rsidRPr="00AC7DCA">
        <w:rPr>
          <w:rFonts w:cs="Times New Roman"/>
          <w:noProof/>
          <w:szCs w:val="24"/>
        </w:rPr>
        <w:t>. Rowman &amp; Littlefield.</w:t>
      </w:r>
    </w:p>
    <w:p w14:paraId="7B65BC41" w14:textId="2963B07F" w:rsidR="00DE23E8" w:rsidRPr="004E097B" w:rsidRDefault="004E097B" w:rsidP="008703C8">
      <w:pPr>
        <w:spacing w:before="0" w:after="200" w:line="276" w:lineRule="auto"/>
        <w:rPr>
          <w:rFonts w:asciiTheme="majorBidi" w:hAnsiTheme="majorBidi" w:cstheme="majorBidi"/>
          <w:szCs w:val="24"/>
        </w:rPr>
      </w:pPr>
      <w:r>
        <w:rPr>
          <w:rFonts w:asciiTheme="majorBidi" w:hAnsiTheme="majorBidi" w:cstheme="majorBidi"/>
          <w:color w:val="2B579A"/>
          <w:szCs w:val="24"/>
          <w:shd w:val="clear" w:color="auto" w:fill="E6E6E6"/>
        </w:rPr>
        <w:fldChar w:fldCharType="end"/>
      </w:r>
    </w:p>
    <w:sectPr w:rsidR="00DE23E8" w:rsidRPr="004E097B"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F804" w14:textId="77777777" w:rsidR="003B0CE8" w:rsidRDefault="003B0CE8" w:rsidP="00117666">
      <w:pPr>
        <w:spacing w:after="0"/>
      </w:pPr>
      <w:r>
        <w:separator/>
      </w:r>
    </w:p>
  </w:endnote>
  <w:endnote w:type="continuationSeparator" w:id="0">
    <w:p w14:paraId="64BFD56B" w14:textId="77777777" w:rsidR="003B0CE8" w:rsidRDefault="003B0CE8" w:rsidP="00117666">
      <w:pPr>
        <w:spacing w:after="0"/>
      </w:pPr>
      <w:r>
        <w:continuationSeparator/>
      </w:r>
    </w:p>
  </w:endnote>
  <w:endnote w:type="continuationNotice" w:id="1">
    <w:p w14:paraId="6553604D" w14:textId="77777777" w:rsidR="003B0CE8" w:rsidRDefault="003B0C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337A67" w:rsidRPr="00577C4C" w:rsidRDefault="00C52A7B">
    <w:pPr>
      <w:rPr>
        <w:color w:val="C00000"/>
        <w:szCs w:val="24"/>
      </w:rPr>
    </w:pPr>
    <w:r>
      <w:rPr>
        <w:noProof/>
        <w:color w:val="2B579A"/>
        <w:shd w:val="clear" w:color="auto" w:fill="E6E6E6"/>
        <w:lang w:val="en-GB" w:eastAsia="en-GB"/>
      </w:rPr>
      <mc:AlternateContent>
        <mc:Choice Requires="wps">
          <w:drawing>
            <wp:anchor distT="0" distB="0" distL="114300" distR="114300" simplePos="0" relativeHeight="251658241"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337A67" w:rsidRPr="00577C4C" w:rsidRDefault="00C52A7B">
                          <w:pPr>
                            <w:jc w:val="right"/>
                            <w:rPr>
                              <w:color w:val="000000" w:themeColor="text1"/>
                              <w:szCs w:val="40"/>
                            </w:rPr>
                          </w:pPr>
                          <w:r w:rsidRPr="00577C4C">
                            <w:rPr>
                              <w:color w:val="000000" w:themeColor="text1"/>
                              <w:szCs w:val="40"/>
                              <w:shd w:val="clear" w:color="auto" w:fill="E6E6E6"/>
                            </w:rPr>
                            <w:fldChar w:fldCharType="begin"/>
                          </w:r>
                          <w:r w:rsidRPr="00577C4C">
                            <w:rPr>
                              <w:color w:val="000000" w:themeColor="text1"/>
                              <w:szCs w:val="40"/>
                            </w:rPr>
                            <w:instrText xml:space="preserve"> PAGE  \* Arabic  \* MERGEFORMAT </w:instrText>
                          </w:r>
                          <w:r w:rsidRPr="00577C4C">
                            <w:rPr>
                              <w:color w:val="000000" w:themeColor="text1"/>
                              <w:szCs w:val="40"/>
                              <w:shd w:val="clear" w:color="auto" w:fill="E6E6E6"/>
                            </w:rPr>
                            <w:fldChar w:fldCharType="separate"/>
                          </w:r>
                          <w:r w:rsidR="002B4A57">
                            <w:rPr>
                              <w:noProof/>
                              <w:color w:val="000000" w:themeColor="text1"/>
                              <w:szCs w:val="40"/>
                            </w:rPr>
                            <w:t>2</w:t>
                          </w:r>
                          <w:r w:rsidRPr="00577C4C">
                            <w:rPr>
                              <w:color w:val="000000" w:themeColor="text1"/>
                              <w:szCs w:val="40"/>
                              <w:shd w:val="clear" w:color="auto" w:fill="E6E6E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337A67" w:rsidRPr="00577C4C" w:rsidRDefault="00C52A7B">
                    <w:pPr>
                      <w:jc w:val="right"/>
                      <w:rPr>
                        <w:color w:val="000000" w:themeColor="text1"/>
                        <w:szCs w:val="40"/>
                      </w:rPr>
                    </w:pPr>
                    <w:r w:rsidRPr="00577C4C">
                      <w:rPr>
                        <w:color w:val="000000" w:themeColor="text1"/>
                        <w:szCs w:val="40"/>
                        <w:shd w:val="clear" w:color="auto" w:fill="E6E6E6"/>
                      </w:rPr>
                      <w:fldChar w:fldCharType="begin"/>
                    </w:r>
                    <w:r w:rsidRPr="00577C4C">
                      <w:rPr>
                        <w:color w:val="000000" w:themeColor="text1"/>
                        <w:szCs w:val="40"/>
                      </w:rPr>
                      <w:instrText xml:space="preserve"> PAGE  \* Arabic  \* MERGEFORMAT </w:instrText>
                    </w:r>
                    <w:r w:rsidRPr="00577C4C">
                      <w:rPr>
                        <w:color w:val="000000" w:themeColor="text1"/>
                        <w:szCs w:val="40"/>
                        <w:shd w:val="clear" w:color="auto" w:fill="E6E6E6"/>
                      </w:rPr>
                      <w:fldChar w:fldCharType="separate"/>
                    </w:r>
                    <w:r w:rsidR="002B4A57">
                      <w:rPr>
                        <w:noProof/>
                        <w:color w:val="000000" w:themeColor="text1"/>
                        <w:szCs w:val="40"/>
                      </w:rPr>
                      <w:t>2</w:t>
                    </w:r>
                    <w:r w:rsidRPr="00577C4C">
                      <w:rPr>
                        <w:color w:val="000000" w:themeColor="text1"/>
                        <w:szCs w:val="40"/>
                        <w:shd w:val="clear" w:color="auto" w:fill="E6E6E6"/>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337A67" w:rsidRPr="00577C4C" w:rsidRDefault="00C52A7B">
    <w:pPr>
      <w:rPr>
        <w:b/>
        <w:sz w:val="20"/>
        <w:szCs w:val="24"/>
      </w:rPr>
    </w:pPr>
    <w:r>
      <w:rPr>
        <w:noProof/>
        <w:color w:val="2B579A"/>
        <w:shd w:val="clear" w:color="auto" w:fill="E6E6E6"/>
        <w:lang w:val="en-GB" w:eastAsia="en-GB"/>
      </w:rPr>
      <mc:AlternateContent>
        <mc:Choice Requires="wps">
          <w:drawing>
            <wp:anchor distT="0" distB="0" distL="114300" distR="114300" simplePos="0" relativeHeight="251658240"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337A67" w:rsidRPr="00577C4C" w:rsidRDefault="00C52A7B">
                          <w:pPr>
                            <w:jc w:val="right"/>
                            <w:rPr>
                              <w:color w:val="000000" w:themeColor="text1"/>
                              <w:szCs w:val="40"/>
                            </w:rPr>
                          </w:pPr>
                          <w:r w:rsidRPr="00577C4C">
                            <w:rPr>
                              <w:color w:val="000000" w:themeColor="text1"/>
                              <w:szCs w:val="40"/>
                              <w:shd w:val="clear" w:color="auto" w:fill="E6E6E6"/>
                            </w:rPr>
                            <w:fldChar w:fldCharType="begin"/>
                          </w:r>
                          <w:r w:rsidRPr="00577C4C">
                            <w:rPr>
                              <w:color w:val="000000" w:themeColor="text1"/>
                              <w:szCs w:val="40"/>
                            </w:rPr>
                            <w:instrText xml:space="preserve"> PAGE  \* Arabic  \* MERGEFORMAT </w:instrText>
                          </w:r>
                          <w:r w:rsidRPr="00577C4C">
                            <w:rPr>
                              <w:color w:val="000000" w:themeColor="text1"/>
                              <w:szCs w:val="40"/>
                              <w:shd w:val="clear" w:color="auto" w:fill="E6E6E6"/>
                            </w:rPr>
                            <w:fldChar w:fldCharType="separate"/>
                          </w:r>
                          <w:r w:rsidR="00994A3D">
                            <w:rPr>
                              <w:noProof/>
                              <w:color w:val="000000" w:themeColor="text1"/>
                              <w:szCs w:val="40"/>
                            </w:rPr>
                            <w:t>3</w:t>
                          </w:r>
                          <w:r w:rsidRPr="00577C4C">
                            <w:rPr>
                              <w:color w:val="000000" w:themeColor="text1"/>
                              <w:szCs w:val="40"/>
                              <w:shd w:val="clear" w:color="auto" w:fill="E6E6E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337A67" w:rsidRPr="00577C4C" w:rsidRDefault="00C52A7B">
                    <w:pPr>
                      <w:jc w:val="right"/>
                      <w:rPr>
                        <w:color w:val="000000" w:themeColor="text1"/>
                        <w:szCs w:val="40"/>
                      </w:rPr>
                    </w:pPr>
                    <w:r w:rsidRPr="00577C4C">
                      <w:rPr>
                        <w:color w:val="000000" w:themeColor="text1"/>
                        <w:szCs w:val="40"/>
                        <w:shd w:val="clear" w:color="auto" w:fill="E6E6E6"/>
                      </w:rPr>
                      <w:fldChar w:fldCharType="begin"/>
                    </w:r>
                    <w:r w:rsidRPr="00577C4C">
                      <w:rPr>
                        <w:color w:val="000000" w:themeColor="text1"/>
                        <w:szCs w:val="40"/>
                      </w:rPr>
                      <w:instrText xml:space="preserve"> PAGE  \* Arabic  \* MERGEFORMAT </w:instrText>
                    </w:r>
                    <w:r w:rsidRPr="00577C4C">
                      <w:rPr>
                        <w:color w:val="000000" w:themeColor="text1"/>
                        <w:szCs w:val="40"/>
                        <w:shd w:val="clear" w:color="auto" w:fill="E6E6E6"/>
                      </w:rPr>
                      <w:fldChar w:fldCharType="separate"/>
                    </w:r>
                    <w:r w:rsidR="00994A3D">
                      <w:rPr>
                        <w:noProof/>
                        <w:color w:val="000000" w:themeColor="text1"/>
                        <w:szCs w:val="40"/>
                      </w:rPr>
                      <w:t>3</w:t>
                    </w:r>
                    <w:r w:rsidRPr="00577C4C">
                      <w:rPr>
                        <w:color w:val="000000" w:themeColor="text1"/>
                        <w:szCs w:val="40"/>
                        <w:shd w:val="clear" w:color="auto" w:fill="E6E6E6"/>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AE73" w14:textId="77777777" w:rsidR="003B0CE8" w:rsidRDefault="003B0CE8" w:rsidP="00117666">
      <w:pPr>
        <w:spacing w:after="0"/>
      </w:pPr>
      <w:r>
        <w:separator/>
      </w:r>
    </w:p>
  </w:footnote>
  <w:footnote w:type="continuationSeparator" w:id="0">
    <w:p w14:paraId="5145CEAE" w14:textId="77777777" w:rsidR="003B0CE8" w:rsidRDefault="003B0CE8" w:rsidP="00117666">
      <w:pPr>
        <w:spacing w:after="0"/>
      </w:pPr>
      <w:r>
        <w:continuationSeparator/>
      </w:r>
    </w:p>
  </w:footnote>
  <w:footnote w:type="continuationNotice" w:id="1">
    <w:p w14:paraId="4B736DD1" w14:textId="77777777" w:rsidR="003B0CE8" w:rsidRDefault="003B0C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337A67"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337A67" w:rsidRDefault="0093429D" w:rsidP="0093429D">
    <w:r w:rsidRPr="005A1D84">
      <w:rPr>
        <w:b/>
        <w:noProof/>
        <w:color w:val="A6A6A6" w:themeColor="background1" w:themeShade="A6"/>
        <w:shd w:val="clear" w:color="auto" w:fill="E6E6E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5655F"/>
    <w:rsid w:val="00077D53"/>
    <w:rsid w:val="000A6623"/>
    <w:rsid w:val="00105FD9"/>
    <w:rsid w:val="00117666"/>
    <w:rsid w:val="00130269"/>
    <w:rsid w:val="00142F56"/>
    <w:rsid w:val="001439CF"/>
    <w:rsid w:val="001549D3"/>
    <w:rsid w:val="00160065"/>
    <w:rsid w:val="001714D1"/>
    <w:rsid w:val="00177D84"/>
    <w:rsid w:val="00212A59"/>
    <w:rsid w:val="00241417"/>
    <w:rsid w:val="0026779F"/>
    <w:rsid w:val="00267D18"/>
    <w:rsid w:val="00274347"/>
    <w:rsid w:val="00285E2C"/>
    <w:rsid w:val="002868E2"/>
    <w:rsid w:val="002869C3"/>
    <w:rsid w:val="002936E4"/>
    <w:rsid w:val="002A2FA1"/>
    <w:rsid w:val="002B4A57"/>
    <w:rsid w:val="002C74CA"/>
    <w:rsid w:val="002E1110"/>
    <w:rsid w:val="002F2771"/>
    <w:rsid w:val="002F4DE9"/>
    <w:rsid w:val="003123F4"/>
    <w:rsid w:val="003261BA"/>
    <w:rsid w:val="00337A67"/>
    <w:rsid w:val="003544FB"/>
    <w:rsid w:val="003B0CE8"/>
    <w:rsid w:val="003B7D18"/>
    <w:rsid w:val="003D1DE8"/>
    <w:rsid w:val="003D2F2D"/>
    <w:rsid w:val="003D71AB"/>
    <w:rsid w:val="00401590"/>
    <w:rsid w:val="00447801"/>
    <w:rsid w:val="00452E9C"/>
    <w:rsid w:val="004638F6"/>
    <w:rsid w:val="004735C8"/>
    <w:rsid w:val="0048360F"/>
    <w:rsid w:val="004947A6"/>
    <w:rsid w:val="004961FF"/>
    <w:rsid w:val="004E097B"/>
    <w:rsid w:val="004E64AF"/>
    <w:rsid w:val="00517A89"/>
    <w:rsid w:val="005250F2"/>
    <w:rsid w:val="0056012D"/>
    <w:rsid w:val="00593EEA"/>
    <w:rsid w:val="005A5EEE"/>
    <w:rsid w:val="0061603C"/>
    <w:rsid w:val="00633905"/>
    <w:rsid w:val="006375C7"/>
    <w:rsid w:val="00654E8F"/>
    <w:rsid w:val="00660D05"/>
    <w:rsid w:val="006820B1"/>
    <w:rsid w:val="006B7D14"/>
    <w:rsid w:val="006E4B70"/>
    <w:rsid w:val="006F2447"/>
    <w:rsid w:val="00701727"/>
    <w:rsid w:val="0070566C"/>
    <w:rsid w:val="00714C50"/>
    <w:rsid w:val="00725A7D"/>
    <w:rsid w:val="00744C77"/>
    <w:rsid w:val="007501BE"/>
    <w:rsid w:val="00780947"/>
    <w:rsid w:val="00790BB3"/>
    <w:rsid w:val="007C206C"/>
    <w:rsid w:val="00817DD6"/>
    <w:rsid w:val="00819F06"/>
    <w:rsid w:val="008314D6"/>
    <w:rsid w:val="0083759F"/>
    <w:rsid w:val="008703C8"/>
    <w:rsid w:val="00871EBA"/>
    <w:rsid w:val="00885156"/>
    <w:rsid w:val="009151AA"/>
    <w:rsid w:val="00925E6E"/>
    <w:rsid w:val="0093429D"/>
    <w:rsid w:val="00943573"/>
    <w:rsid w:val="00964134"/>
    <w:rsid w:val="00970F7D"/>
    <w:rsid w:val="00994A3D"/>
    <w:rsid w:val="009C2B12"/>
    <w:rsid w:val="009F72E8"/>
    <w:rsid w:val="00A00FE0"/>
    <w:rsid w:val="00A14880"/>
    <w:rsid w:val="00A174D9"/>
    <w:rsid w:val="00A44820"/>
    <w:rsid w:val="00A54228"/>
    <w:rsid w:val="00AA4D24"/>
    <w:rsid w:val="00AB6715"/>
    <w:rsid w:val="00AC7DCA"/>
    <w:rsid w:val="00B1671E"/>
    <w:rsid w:val="00B25EB8"/>
    <w:rsid w:val="00B37F4D"/>
    <w:rsid w:val="00B60D18"/>
    <w:rsid w:val="00B77E84"/>
    <w:rsid w:val="00B85FBA"/>
    <w:rsid w:val="00BA6F29"/>
    <w:rsid w:val="00C52A7B"/>
    <w:rsid w:val="00C56BAF"/>
    <w:rsid w:val="00C679AA"/>
    <w:rsid w:val="00C75972"/>
    <w:rsid w:val="00C9344E"/>
    <w:rsid w:val="00CD066B"/>
    <w:rsid w:val="00CE4FEE"/>
    <w:rsid w:val="00D05C43"/>
    <w:rsid w:val="00D060CF"/>
    <w:rsid w:val="00D532D2"/>
    <w:rsid w:val="00DB59C3"/>
    <w:rsid w:val="00DC259A"/>
    <w:rsid w:val="00DE23E8"/>
    <w:rsid w:val="00E33505"/>
    <w:rsid w:val="00E422D4"/>
    <w:rsid w:val="00E52377"/>
    <w:rsid w:val="00E537AD"/>
    <w:rsid w:val="00E64E17"/>
    <w:rsid w:val="00E866C9"/>
    <w:rsid w:val="00E87A39"/>
    <w:rsid w:val="00EA3D3C"/>
    <w:rsid w:val="00EC090A"/>
    <w:rsid w:val="00ED1393"/>
    <w:rsid w:val="00ED20B5"/>
    <w:rsid w:val="00ED64F2"/>
    <w:rsid w:val="00EF742C"/>
    <w:rsid w:val="00F05730"/>
    <w:rsid w:val="00F46900"/>
    <w:rsid w:val="00F61D89"/>
    <w:rsid w:val="00FD379F"/>
    <w:rsid w:val="017AA641"/>
    <w:rsid w:val="02D0B716"/>
    <w:rsid w:val="03CF8EBD"/>
    <w:rsid w:val="059707EE"/>
    <w:rsid w:val="065C8FF3"/>
    <w:rsid w:val="0742D822"/>
    <w:rsid w:val="082F27CD"/>
    <w:rsid w:val="085B1399"/>
    <w:rsid w:val="08B803F5"/>
    <w:rsid w:val="09FE78ED"/>
    <w:rsid w:val="0A523F86"/>
    <w:rsid w:val="0B75C3BB"/>
    <w:rsid w:val="105E0622"/>
    <w:rsid w:val="1237DD06"/>
    <w:rsid w:val="15A36BB6"/>
    <w:rsid w:val="18F09694"/>
    <w:rsid w:val="20839F56"/>
    <w:rsid w:val="25994CFA"/>
    <w:rsid w:val="270FD514"/>
    <w:rsid w:val="28C99CA4"/>
    <w:rsid w:val="2AEFF25B"/>
    <w:rsid w:val="2E98F016"/>
    <w:rsid w:val="33F64F17"/>
    <w:rsid w:val="3589F30D"/>
    <w:rsid w:val="37677995"/>
    <w:rsid w:val="38223D35"/>
    <w:rsid w:val="3BE14833"/>
    <w:rsid w:val="41371F50"/>
    <w:rsid w:val="41E4EE3A"/>
    <w:rsid w:val="45791AB1"/>
    <w:rsid w:val="467C84E4"/>
    <w:rsid w:val="46E2AF4F"/>
    <w:rsid w:val="4C6A1DA8"/>
    <w:rsid w:val="4FFC5DF5"/>
    <w:rsid w:val="50F38551"/>
    <w:rsid w:val="54101FD5"/>
    <w:rsid w:val="55A19D32"/>
    <w:rsid w:val="5919454E"/>
    <w:rsid w:val="59DF7347"/>
    <w:rsid w:val="5B74533C"/>
    <w:rsid w:val="5FDCCD69"/>
    <w:rsid w:val="63F0C21A"/>
    <w:rsid w:val="6BEA0DC4"/>
    <w:rsid w:val="7090B436"/>
    <w:rsid w:val="73C7F051"/>
    <w:rsid w:val="7439B1F1"/>
    <w:rsid w:val="78FF99D4"/>
    <w:rsid w:val="797948FA"/>
    <w:rsid w:val="7C8CB6D0"/>
    <w:rsid w:val="7E697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40359527-D33C-4D61-B321-5905EC3A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93181745F764B899AE8F9FEDE63EA" ma:contentTypeVersion="9" ma:contentTypeDescription="Create a new document." ma:contentTypeScope="" ma:versionID="c24f1f7dca13cb1e6de4e298243b3bb5">
  <xsd:schema xmlns:xsd="http://www.w3.org/2001/XMLSchema" xmlns:xs="http://www.w3.org/2001/XMLSchema" xmlns:p="http://schemas.microsoft.com/office/2006/metadata/properties" xmlns:ns3="64ec67ff-e0cb-43cb-b323-2319eae6d9a1" xmlns:ns4="b5627a90-692f-4ec8-9071-3d7f0dfe901e" targetNamespace="http://schemas.microsoft.com/office/2006/metadata/properties" ma:root="true" ma:fieldsID="f552fe55f84b23ce28b7ffa76c22c22d" ns3:_="" ns4:_="">
    <xsd:import namespace="64ec67ff-e0cb-43cb-b323-2319eae6d9a1"/>
    <xsd:import namespace="b5627a90-692f-4ec8-9071-3d7f0dfe9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67ff-e0cb-43cb-b323-2319eae6d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27a90-692f-4ec8-9071-3d7f0dfe9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1767C-D951-4564-AD57-4C8263C1D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0AFC2-BDEE-4ECC-9FF1-67E4BBF7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67ff-e0cb-43cb-b323-2319eae6d9a1"/>
    <ds:schemaRef ds:uri="b5627a90-692f-4ec8-9071-3d7f0dfe9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customXml/itemProps4.xml><?xml version="1.0" encoding="utf-8"?>
<ds:datastoreItem xmlns:ds="http://schemas.openxmlformats.org/officeDocument/2006/customXml" ds:itemID="{6478FF08-4437-45B3-8AD7-EC0A1792A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4</Pages>
  <Words>6147</Words>
  <Characters>35042</Characters>
  <Application>Microsoft Office Word</Application>
  <DocSecurity>0</DocSecurity>
  <Lines>292</Lines>
  <Paragraphs>82</Paragraphs>
  <ScaleCrop>false</ScaleCrop>
  <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 Media SA</dc:creator>
  <cp:keywords/>
  <cp:lastModifiedBy>Shamon, Hila</cp:lastModifiedBy>
  <cp:revision>2</cp:revision>
  <cp:lastPrinted>2013-10-03T13:51:00Z</cp:lastPrinted>
  <dcterms:created xsi:type="dcterms:W3CDTF">2022-01-11T19:45:00Z</dcterms:created>
  <dcterms:modified xsi:type="dcterms:W3CDTF">2022-01-11T19:45:00Z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http://www.zotero.org/styles/ecological-applications</vt:lpwstr>
  </property>
  <property fmtid="{D5CDD505-2E9C-101B-9397-08002B2CF9AE}" pid="7" name="Mendeley Recent Style Name 2_1">
    <vt:lpwstr>Ecological Applications</vt:lpwstr>
  </property>
  <property fmtid="{D5CDD505-2E9C-101B-9397-08002B2CF9AE}" pid="8" name="Mendeley Recent Style Id 3_1">
    <vt:lpwstr>http://www.zotero.org/styles/ecology-letters</vt:lpwstr>
  </property>
  <property fmtid="{D5CDD505-2E9C-101B-9397-08002B2CF9AE}" pid="9" name="Mendeley Recent Style Name 3_1">
    <vt:lpwstr>Ecology Letters</vt:lpwstr>
  </property>
  <property fmtid="{D5CDD505-2E9C-101B-9397-08002B2CF9AE}" pid="10" name="Mendeley Recent Style Id 4_1">
    <vt:lpwstr>http://www.zotero.org/styles/european-journal-of-wildlife-research</vt:lpwstr>
  </property>
  <property fmtid="{D5CDD505-2E9C-101B-9397-08002B2CF9AE}" pid="11" name="Mendeley Recent Style Name 4_1">
    <vt:lpwstr>European Journal of Wildlife Research</vt:lpwstr>
  </property>
  <property fmtid="{D5CDD505-2E9C-101B-9397-08002B2CF9AE}" pid="12" name="Mendeley Recent Style Id 5_1">
    <vt:lpwstr>http://www.zotero.org/styles/frontiers-in-ecology-and-evolution</vt:lpwstr>
  </property>
  <property fmtid="{D5CDD505-2E9C-101B-9397-08002B2CF9AE}" pid="13" name="Mendeley Recent Style Name 5_1">
    <vt:lpwstr>Frontiers in Ecology and Evolution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http://www.zotero.org/styles/journal-of-zoology</vt:lpwstr>
  </property>
  <property fmtid="{D5CDD505-2E9C-101B-9397-08002B2CF9AE}" pid="17" name="Mendeley Recent Style Name 7_1">
    <vt:lpwstr>Journal of Zoology</vt:lpwstr>
  </property>
  <property fmtid="{D5CDD505-2E9C-101B-9397-08002B2CF9AE}" pid="18" name="Mendeley Recent Style Id 8_1">
    <vt:lpwstr>http://www.zotero.org/styles/springer-vancouver</vt:lpwstr>
  </property>
  <property fmtid="{D5CDD505-2E9C-101B-9397-08002B2CF9AE}" pid="19" name="Mendeley Recent Style Name 8_1">
    <vt:lpwstr>Springer - Vancouver</vt:lpwstr>
  </property>
  <property fmtid="{D5CDD505-2E9C-101B-9397-08002B2CF9AE}" pid="20" name="Mendeley Recent Style Id 9_1">
    <vt:lpwstr>http://www.zotero.org/styles/wildlife-research</vt:lpwstr>
  </property>
  <property fmtid="{D5CDD505-2E9C-101B-9397-08002B2CF9AE}" pid="21" name="Mendeley Recent Style Name 9_1">
    <vt:lpwstr>Wildlife Research</vt:lpwstr>
  </property>
  <property fmtid="{D5CDD505-2E9C-101B-9397-08002B2CF9AE}" pid="22" name="Mendeley Document_1">
    <vt:lpwstr>True</vt:lpwstr>
  </property>
  <property fmtid="{D5CDD505-2E9C-101B-9397-08002B2CF9AE}" pid="23" name="Mendeley Unique User Id_1">
    <vt:lpwstr>20067890-1883-334d-a871-fc0d73a7d437</vt:lpwstr>
  </property>
  <property fmtid="{D5CDD505-2E9C-101B-9397-08002B2CF9AE}" pid="24" name="Mendeley Citation Style_1">
    <vt:lpwstr>http://www.zotero.org/styles/frontiers-in-ecology-and-evolution</vt:lpwstr>
  </property>
  <property fmtid="{D5CDD505-2E9C-101B-9397-08002B2CF9AE}" pid="25" name="ContentTypeId">
    <vt:lpwstr>0x01010069093181745F764B899AE8F9FEDE63EA</vt:lpwstr>
  </property>
</Properties>
</file>