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58F7D" w14:textId="77777777" w:rsidR="006F34D2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7E99C9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2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Year-Round Dive Characteristics of Male Beluga Whales from the Eastern Beaufort Sea Population Indicate Seasonal Shifts in Foraging Strategies </w:t>
      </w:r>
    </w:p>
    <w:p w14:paraId="4CDE72BC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4716A" w14:textId="065088BC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9323A">
        <w:rPr>
          <w:rFonts w:ascii="Times New Roman" w:hAnsi="Times New Roman" w:cs="Times New Roman"/>
          <w:b/>
          <w:lang w:val="en-US"/>
        </w:rPr>
        <w:t xml:space="preserve">Supplementary Material </w:t>
      </w:r>
      <w:r>
        <w:rPr>
          <w:rFonts w:ascii="Times New Roman" w:hAnsi="Times New Roman" w:cs="Times New Roman"/>
          <w:b/>
          <w:lang w:val="en-US"/>
        </w:rPr>
        <w:t>3</w:t>
      </w:r>
      <w:r w:rsidRPr="0009323A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R</w:t>
      </w:r>
      <w:r w:rsidRPr="006F34D2">
        <w:rPr>
          <w:rFonts w:ascii="Times New Roman" w:hAnsi="Times New Roman" w:cs="Times New Roman"/>
          <w:b/>
          <w:lang w:val="en-US"/>
        </w:rPr>
        <w:t xml:space="preserve">esults on </w:t>
      </w:r>
      <w:r>
        <w:rPr>
          <w:rFonts w:ascii="Times New Roman" w:hAnsi="Times New Roman" w:cs="Times New Roman"/>
          <w:b/>
          <w:lang w:val="en-US"/>
        </w:rPr>
        <w:t>S</w:t>
      </w:r>
      <w:r w:rsidRPr="006F34D2">
        <w:rPr>
          <w:rFonts w:ascii="Times New Roman" w:hAnsi="Times New Roman" w:cs="Times New Roman"/>
          <w:b/>
          <w:lang w:val="en-US"/>
        </w:rPr>
        <w:t xml:space="preserve">uccessive </w:t>
      </w:r>
      <w:r>
        <w:rPr>
          <w:rFonts w:ascii="Times New Roman" w:hAnsi="Times New Roman" w:cs="Times New Roman"/>
          <w:b/>
          <w:lang w:val="en-US"/>
        </w:rPr>
        <w:t>D</w:t>
      </w:r>
      <w:r w:rsidRPr="006F34D2">
        <w:rPr>
          <w:rFonts w:ascii="Times New Roman" w:hAnsi="Times New Roman" w:cs="Times New Roman"/>
          <w:b/>
          <w:lang w:val="en-US"/>
        </w:rPr>
        <w:t xml:space="preserve">ive </w:t>
      </w:r>
      <w:r>
        <w:rPr>
          <w:rFonts w:ascii="Times New Roman" w:hAnsi="Times New Roman" w:cs="Times New Roman"/>
          <w:b/>
          <w:lang w:val="en-US"/>
        </w:rPr>
        <w:t>T</w:t>
      </w:r>
      <w:r w:rsidRPr="006F34D2">
        <w:rPr>
          <w:rFonts w:ascii="Times New Roman" w:hAnsi="Times New Roman" w:cs="Times New Roman"/>
          <w:b/>
          <w:lang w:val="en-US"/>
        </w:rPr>
        <w:t xml:space="preserve">ypes and </w:t>
      </w:r>
      <w:r>
        <w:rPr>
          <w:rFonts w:ascii="Times New Roman" w:hAnsi="Times New Roman" w:cs="Times New Roman"/>
          <w:b/>
          <w:lang w:val="en-US"/>
        </w:rPr>
        <w:t>S</w:t>
      </w:r>
      <w:r w:rsidRPr="006F34D2">
        <w:rPr>
          <w:rFonts w:ascii="Times New Roman" w:hAnsi="Times New Roman" w:cs="Times New Roman"/>
          <w:b/>
          <w:lang w:val="en-US"/>
        </w:rPr>
        <w:t xml:space="preserve">urface </w:t>
      </w:r>
      <w:r>
        <w:rPr>
          <w:rFonts w:ascii="Times New Roman" w:hAnsi="Times New Roman" w:cs="Times New Roman"/>
          <w:b/>
          <w:lang w:val="en-US"/>
        </w:rPr>
        <w:t>D</w:t>
      </w:r>
      <w:r w:rsidRPr="006F34D2">
        <w:rPr>
          <w:rFonts w:ascii="Times New Roman" w:hAnsi="Times New Roman" w:cs="Times New Roman"/>
          <w:b/>
          <w:lang w:val="en-US"/>
        </w:rPr>
        <w:t xml:space="preserve">uration, and </w:t>
      </w:r>
      <w:r>
        <w:rPr>
          <w:rFonts w:ascii="Times New Roman" w:hAnsi="Times New Roman" w:cs="Times New Roman"/>
          <w:b/>
          <w:lang w:val="en-US"/>
        </w:rPr>
        <w:t>Monthly Sea I</w:t>
      </w:r>
      <w:r w:rsidRPr="006F34D2">
        <w:rPr>
          <w:rFonts w:ascii="Times New Roman" w:hAnsi="Times New Roman" w:cs="Times New Roman"/>
          <w:b/>
          <w:lang w:val="en-US"/>
        </w:rPr>
        <w:t xml:space="preserve">ce </w:t>
      </w:r>
      <w:r>
        <w:rPr>
          <w:rFonts w:ascii="Times New Roman" w:hAnsi="Times New Roman" w:cs="Times New Roman"/>
          <w:b/>
          <w:lang w:val="en-US"/>
        </w:rPr>
        <w:t>M</w:t>
      </w:r>
      <w:r w:rsidRPr="006F34D2">
        <w:rPr>
          <w:rFonts w:ascii="Times New Roman" w:hAnsi="Times New Roman" w:cs="Times New Roman"/>
          <w:b/>
          <w:lang w:val="en-US"/>
        </w:rPr>
        <w:t>ap</w:t>
      </w:r>
      <w:r>
        <w:rPr>
          <w:rFonts w:ascii="Times New Roman" w:hAnsi="Times New Roman" w:cs="Times New Roman"/>
          <w:b/>
          <w:lang w:val="en-US"/>
        </w:rPr>
        <w:t>s</w:t>
      </w:r>
    </w:p>
    <w:p w14:paraId="32DF9E30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7C4777F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lang w:val="en-US"/>
        </w:rPr>
        <w:t>Luke Storrie</w:t>
      </w:r>
      <w:r w:rsidRPr="0009323A">
        <w:rPr>
          <w:rFonts w:ascii="Times New Roman" w:hAnsi="Times New Roman" w:cs="Times New Roman"/>
          <w:vertAlign w:val="superscript"/>
          <w:lang w:val="en-US"/>
        </w:rPr>
        <w:t>1,2</w:t>
      </w:r>
      <w:r w:rsidRPr="0009323A">
        <w:rPr>
          <w:rFonts w:ascii="Times New Roman" w:hAnsi="Times New Roman" w:cs="Times New Roman"/>
          <w:lang w:val="en-US"/>
        </w:rPr>
        <w:t>*, Nigel E. Hussey</w:t>
      </w:r>
      <w:r w:rsidRPr="0009323A">
        <w:rPr>
          <w:rFonts w:ascii="Times New Roman" w:hAnsi="Times New Roman" w:cs="Times New Roman"/>
          <w:vertAlign w:val="superscript"/>
          <w:lang w:val="en-US"/>
        </w:rPr>
        <w:t>3</w:t>
      </w:r>
      <w:r w:rsidRPr="0009323A">
        <w:rPr>
          <w:rFonts w:ascii="Times New Roman" w:hAnsi="Times New Roman" w:cs="Times New Roman"/>
          <w:lang w:val="en-US"/>
        </w:rPr>
        <w:t>, Shannon A. MacPhee</w:t>
      </w:r>
      <w:r w:rsidRPr="0009323A">
        <w:rPr>
          <w:rFonts w:ascii="Times New Roman" w:hAnsi="Times New Roman" w:cs="Times New Roman"/>
          <w:vertAlign w:val="superscript"/>
          <w:lang w:val="en-US"/>
        </w:rPr>
        <w:t>2</w:t>
      </w:r>
      <w:r w:rsidRPr="0009323A">
        <w:rPr>
          <w:rFonts w:ascii="Times New Roman" w:hAnsi="Times New Roman" w:cs="Times New Roman"/>
          <w:lang w:val="en-US"/>
        </w:rPr>
        <w:t>, Greg O’Corry-Crowe</w:t>
      </w:r>
      <w:r w:rsidRPr="0009323A">
        <w:rPr>
          <w:rFonts w:ascii="Times New Roman" w:hAnsi="Times New Roman" w:cs="Times New Roman"/>
          <w:vertAlign w:val="superscript"/>
          <w:lang w:val="en-US"/>
        </w:rPr>
        <w:t>4</w:t>
      </w:r>
      <w:r w:rsidRPr="0009323A">
        <w:rPr>
          <w:rFonts w:ascii="Times New Roman" w:hAnsi="Times New Roman" w:cs="Times New Roman"/>
          <w:lang w:val="en-US"/>
        </w:rPr>
        <w:t>, John Iacozza</w:t>
      </w:r>
      <w:r w:rsidRPr="0009323A">
        <w:rPr>
          <w:rFonts w:ascii="Times New Roman" w:hAnsi="Times New Roman" w:cs="Times New Roman"/>
          <w:vertAlign w:val="superscript"/>
          <w:lang w:val="en-US"/>
        </w:rPr>
        <w:t>1</w:t>
      </w:r>
      <w:r w:rsidRPr="0009323A">
        <w:rPr>
          <w:rFonts w:ascii="Times New Roman" w:hAnsi="Times New Roman" w:cs="Times New Roman"/>
          <w:lang w:val="en-US"/>
        </w:rPr>
        <w:t>, David G. Barber</w:t>
      </w:r>
      <w:r w:rsidRPr="0009323A">
        <w:rPr>
          <w:rFonts w:ascii="Times New Roman" w:hAnsi="Times New Roman" w:cs="Times New Roman"/>
          <w:vertAlign w:val="superscript"/>
          <w:lang w:val="en-US"/>
        </w:rPr>
        <w:t>1</w:t>
      </w:r>
      <w:r w:rsidRPr="0009323A">
        <w:rPr>
          <w:rFonts w:ascii="Times New Roman" w:hAnsi="Times New Roman" w:cs="Times New Roman"/>
          <w:lang w:val="en-US"/>
        </w:rPr>
        <w:t>, Alex Nunes</w:t>
      </w:r>
      <w:r w:rsidRPr="0009323A">
        <w:rPr>
          <w:rFonts w:ascii="Times New Roman" w:hAnsi="Times New Roman" w:cs="Times New Roman"/>
          <w:vertAlign w:val="superscript"/>
          <w:lang w:val="en-US"/>
        </w:rPr>
        <w:t>5</w:t>
      </w:r>
      <w:r w:rsidRPr="0009323A">
        <w:rPr>
          <w:rFonts w:ascii="Times New Roman" w:hAnsi="Times New Roman" w:cs="Times New Roman"/>
          <w:lang w:val="en-US"/>
        </w:rPr>
        <w:t xml:space="preserve"> and Lisa L. Loseto</w:t>
      </w:r>
      <w:r w:rsidRPr="0009323A">
        <w:rPr>
          <w:rFonts w:ascii="Times New Roman" w:hAnsi="Times New Roman" w:cs="Times New Roman"/>
          <w:vertAlign w:val="superscript"/>
          <w:lang w:val="en-US"/>
        </w:rPr>
        <w:t>1,2</w:t>
      </w:r>
    </w:p>
    <w:p w14:paraId="572917BB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5E803D8B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vertAlign w:val="superscript"/>
          <w:lang w:val="en-US"/>
        </w:rPr>
        <w:t>1</w:t>
      </w:r>
      <w:r w:rsidRPr="0009323A">
        <w:rPr>
          <w:rFonts w:ascii="Times New Roman" w:hAnsi="Times New Roman" w:cs="Times New Roman"/>
          <w:lang w:val="en-US"/>
        </w:rPr>
        <w:t xml:space="preserve"> Centre for Earth Observation Science, Department of Environment and Geography, The University of Manitoba, Winnipeg, MB, Canada </w:t>
      </w:r>
    </w:p>
    <w:p w14:paraId="78C5EAD0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vertAlign w:val="superscript"/>
          <w:lang w:val="en-US"/>
        </w:rPr>
        <w:t>2</w:t>
      </w:r>
      <w:r w:rsidRPr="0009323A">
        <w:rPr>
          <w:rFonts w:ascii="Times New Roman" w:hAnsi="Times New Roman" w:cs="Times New Roman"/>
          <w:lang w:val="en-US"/>
        </w:rPr>
        <w:t xml:space="preserve"> Freshwater Institute, Fisheries and Oceans Canada, Winnipeg, MB, Canada</w:t>
      </w:r>
    </w:p>
    <w:p w14:paraId="5BCE2E4A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vertAlign w:val="superscript"/>
          <w:lang w:val="en-US"/>
        </w:rPr>
        <w:t>3</w:t>
      </w:r>
      <w:r w:rsidRPr="0009323A">
        <w:rPr>
          <w:rFonts w:ascii="Times New Roman" w:hAnsi="Times New Roman" w:cs="Times New Roman"/>
          <w:lang w:val="en-US"/>
        </w:rPr>
        <w:t xml:space="preserve"> Department of Integrative Biology, University of Windsor, Windsor, ON, Canada</w:t>
      </w:r>
    </w:p>
    <w:p w14:paraId="0FD2A91F" w14:textId="0EE2C8BD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vertAlign w:val="superscript"/>
          <w:lang w:val="en-US"/>
        </w:rPr>
        <w:t>4</w:t>
      </w:r>
      <w:r w:rsidRPr="0009323A">
        <w:rPr>
          <w:rFonts w:ascii="Times New Roman" w:hAnsi="Times New Roman" w:cs="Times New Roman"/>
          <w:lang w:val="en-US"/>
        </w:rPr>
        <w:t xml:space="preserve"> Harbor Branch Oceanographic Institute, Florida Atlantic University, </w:t>
      </w:r>
      <w:r w:rsidR="0098103D">
        <w:rPr>
          <w:rFonts w:ascii="Times New Roman" w:hAnsi="Times New Roman" w:cs="Times New Roman"/>
          <w:lang w:val="en-US"/>
        </w:rPr>
        <w:t>Fort Pierce</w:t>
      </w:r>
      <w:r w:rsidRPr="0009323A">
        <w:rPr>
          <w:rFonts w:ascii="Times New Roman" w:hAnsi="Times New Roman" w:cs="Times New Roman"/>
          <w:lang w:val="en-US"/>
        </w:rPr>
        <w:t>, FL, United States</w:t>
      </w:r>
    </w:p>
    <w:p w14:paraId="1FAED4BE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vertAlign w:val="superscript"/>
          <w:lang w:val="en-US"/>
        </w:rPr>
        <w:t>5</w:t>
      </w:r>
      <w:r w:rsidRPr="0009323A">
        <w:rPr>
          <w:rFonts w:ascii="Times New Roman" w:hAnsi="Times New Roman" w:cs="Times New Roman"/>
          <w:lang w:val="en-US"/>
        </w:rPr>
        <w:t xml:space="preserve"> Ocean Tracking Network, Dalhousie University, Halifax, NS, Canada</w:t>
      </w:r>
      <w:bookmarkStart w:id="0" w:name="_GoBack"/>
      <w:bookmarkEnd w:id="0"/>
    </w:p>
    <w:p w14:paraId="112445A2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37900BB4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lang w:val="en-US"/>
        </w:rPr>
        <w:t>*Correspondence:</w:t>
      </w:r>
    </w:p>
    <w:p w14:paraId="2C1DC68B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lang w:val="en-US"/>
        </w:rPr>
        <w:t>Luke Storrie</w:t>
      </w:r>
    </w:p>
    <w:p w14:paraId="0D568749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9323A">
        <w:rPr>
          <w:rFonts w:ascii="Times New Roman" w:hAnsi="Times New Roman" w:cs="Times New Roman"/>
          <w:lang w:val="en-US"/>
        </w:rPr>
        <w:t>storriel@myumanitoba.ca</w:t>
      </w:r>
    </w:p>
    <w:p w14:paraId="4B90A541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208F20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1F704E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C242438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18E67E9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F35413D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914BB12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B596965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02D28F2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F88C36D" w14:textId="77777777" w:rsidR="006F34D2" w:rsidRPr="0009323A" w:rsidRDefault="006F34D2" w:rsidP="006F34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B14BD00" w14:textId="30414BE5" w:rsidR="006F34D2" w:rsidRPr="00AA0786" w:rsidRDefault="006F34D2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0D0B29" w14:textId="77777777" w:rsidR="00217B02" w:rsidRPr="00AA0786" w:rsidRDefault="00217B02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07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List of figures and tables</w:t>
      </w:r>
    </w:p>
    <w:p w14:paraId="2271F1BF" w14:textId="77777777" w:rsidR="006F4E38" w:rsidRPr="007D40CE" w:rsidRDefault="00217B02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0CE">
        <w:rPr>
          <w:rFonts w:ascii="Times New Roman" w:hAnsi="Times New Roman" w:cs="Times New Roman"/>
          <w:b/>
          <w:sz w:val="24"/>
          <w:szCs w:val="24"/>
          <w:lang w:val="en-US"/>
        </w:rPr>
        <w:t>Figures</w:t>
      </w:r>
    </w:p>
    <w:p w14:paraId="18EA62FB" w14:textId="6932DBC2" w:rsidR="00275C4E" w:rsidRPr="00423CBB" w:rsidRDefault="00275C4E" w:rsidP="00F15169">
      <w:pPr>
        <w:pStyle w:val="TableofFigures"/>
        <w:tabs>
          <w:tab w:val="right" w:leader="dot" w:pos="9962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40CE">
        <w:rPr>
          <w:rFonts w:ascii="Times New Roman" w:hAnsi="Times New Roman" w:cs="Times New Roman"/>
          <w:b/>
          <w:noProof/>
          <w:sz w:val="24"/>
          <w:szCs w:val="24"/>
        </w:rPr>
        <w:t>Figure S3a</w:t>
      </w:r>
      <w:r w:rsidRPr="00423CBB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423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40CE">
        <w:rPr>
          <w:rFonts w:ascii="Times New Roman" w:hAnsi="Times New Roman" w:cs="Times New Roman"/>
          <w:noProof/>
          <w:sz w:val="24"/>
          <w:szCs w:val="24"/>
        </w:rPr>
        <w:t>Frequency of each dive type being followed by another dive type.</w:t>
      </w:r>
      <w:r w:rsidRPr="00423CB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AA0786" w:rsidRPr="00423CBB">
        <w:rPr>
          <w:rFonts w:ascii="Times New Roman" w:hAnsi="Times New Roman" w:cs="Times New Roman"/>
          <w:noProof/>
          <w:webHidden/>
          <w:sz w:val="24"/>
          <w:szCs w:val="24"/>
        </w:rPr>
        <w:t>3</w:t>
      </w:r>
    </w:p>
    <w:p w14:paraId="2502D36E" w14:textId="0EBF4561" w:rsidR="00547A69" w:rsidRPr="00423CBB" w:rsidRDefault="00F0649D" w:rsidP="00547A69">
      <w:pPr>
        <w:pStyle w:val="TableofFigures"/>
        <w:tabs>
          <w:tab w:val="right" w:leader="dot" w:pos="9962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Figure S3b</w:t>
      </w:r>
      <w:r w:rsidR="00547A69" w:rsidRPr="007D40CE">
        <w:rPr>
          <w:rFonts w:ascii="Times New Roman" w:hAnsi="Times New Roman" w:cs="Times New Roman"/>
          <w:noProof/>
          <w:sz w:val="24"/>
          <w:szCs w:val="24"/>
        </w:rPr>
        <w:t>: Monthly sea ice concentrations from July 2018 - June 2019</w:t>
      </w:r>
      <w:r w:rsidR="00547A69" w:rsidRPr="00423CB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>
        <w:rPr>
          <w:rFonts w:ascii="Times New Roman" w:hAnsi="Times New Roman" w:cs="Times New Roman"/>
          <w:noProof/>
          <w:webHidden/>
          <w:sz w:val="24"/>
          <w:szCs w:val="24"/>
        </w:rPr>
        <w:t>5</w:t>
      </w:r>
    </w:p>
    <w:p w14:paraId="2D747E25" w14:textId="08FC5575" w:rsidR="006F4E38" w:rsidRPr="007D40CE" w:rsidRDefault="006F4E38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6717E2" w14:textId="77777777" w:rsidR="00547A69" w:rsidRPr="007D40CE" w:rsidRDefault="00547A69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181B18" w14:textId="77777777" w:rsidR="00275C4E" w:rsidRPr="007D40CE" w:rsidRDefault="00275C4E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0CE">
        <w:rPr>
          <w:rFonts w:ascii="Times New Roman" w:hAnsi="Times New Roman" w:cs="Times New Roman"/>
          <w:b/>
          <w:sz w:val="24"/>
          <w:szCs w:val="24"/>
          <w:lang w:val="en-US"/>
        </w:rPr>
        <w:t>Tables</w:t>
      </w:r>
    </w:p>
    <w:p w14:paraId="5CD456C3" w14:textId="0A1C1CCE" w:rsidR="00275C4E" w:rsidRPr="00423CBB" w:rsidRDefault="00275C4E" w:rsidP="00F15169">
      <w:pPr>
        <w:pStyle w:val="TableofFigures"/>
        <w:tabs>
          <w:tab w:val="right" w:leader="dot" w:pos="9962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</w:pPr>
      <w:r w:rsidRPr="007D40CE">
        <w:rPr>
          <w:rFonts w:ascii="Times New Roman" w:hAnsi="Times New Roman" w:cs="Times New Roman"/>
          <w:b/>
          <w:noProof/>
          <w:sz w:val="24"/>
          <w:szCs w:val="24"/>
        </w:rPr>
        <w:t>Table S3a</w:t>
      </w:r>
      <w:r w:rsidRPr="007D40CE">
        <w:rPr>
          <w:rFonts w:ascii="Times New Roman" w:hAnsi="Times New Roman" w:cs="Times New Roman"/>
          <w:noProof/>
          <w:sz w:val="24"/>
          <w:szCs w:val="24"/>
        </w:rPr>
        <w:t xml:space="preserve">: Comparisons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of</w:t>
      </w:r>
      <w:r w:rsidRPr="007D40CE">
        <w:rPr>
          <w:rFonts w:ascii="Times New Roman" w:hAnsi="Times New Roman" w:cs="Times New Roman"/>
          <w:noProof/>
          <w:sz w:val="24"/>
          <w:szCs w:val="24"/>
        </w:rPr>
        <w:t xml:space="preserve"> post-dive surface intervals among dive types.</w:t>
      </w:r>
      <w:r w:rsidRPr="00423CB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AA0786" w:rsidRPr="00423CBB">
        <w:rPr>
          <w:rFonts w:ascii="Times New Roman" w:hAnsi="Times New Roman" w:cs="Times New Roman"/>
          <w:noProof/>
          <w:webHidden/>
          <w:sz w:val="24"/>
          <w:szCs w:val="24"/>
        </w:rPr>
        <w:t>2</w:t>
      </w:r>
    </w:p>
    <w:p w14:paraId="59115805" w14:textId="1CC20DDD" w:rsidR="00275C4E" w:rsidRPr="00423CBB" w:rsidRDefault="00275C4E" w:rsidP="00F15169">
      <w:pPr>
        <w:pStyle w:val="TableofFigures"/>
        <w:tabs>
          <w:tab w:val="right" w:leader="dot" w:pos="9962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</w:pPr>
      <w:r w:rsidRPr="007D40CE">
        <w:rPr>
          <w:rFonts w:ascii="Times New Roman" w:hAnsi="Times New Roman" w:cs="Times New Roman"/>
          <w:b/>
          <w:noProof/>
          <w:sz w:val="24"/>
          <w:szCs w:val="24"/>
        </w:rPr>
        <w:t>Table S3b</w:t>
      </w:r>
      <w:r w:rsidRPr="007D40CE">
        <w:rPr>
          <w:rFonts w:ascii="Times New Roman" w:hAnsi="Times New Roman" w:cs="Times New Roman"/>
          <w:noProof/>
          <w:sz w:val="24"/>
          <w:szCs w:val="24"/>
        </w:rPr>
        <w:t>:</w:t>
      </w:r>
      <w:r w:rsidRPr="00423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Post-dive surface intervals of dive types depending on following dive type</w:t>
      </w:r>
      <w:r w:rsidRPr="007D40CE">
        <w:rPr>
          <w:rFonts w:ascii="Times New Roman" w:hAnsi="Times New Roman" w:cs="Times New Roman"/>
          <w:noProof/>
          <w:sz w:val="24"/>
          <w:szCs w:val="24"/>
        </w:rPr>
        <w:t>.</w:t>
      </w:r>
      <w:r w:rsidRPr="00423CB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AA0786" w:rsidRPr="00423CBB">
        <w:rPr>
          <w:rFonts w:ascii="Times New Roman" w:hAnsi="Times New Roman" w:cs="Times New Roman"/>
          <w:noProof/>
          <w:webHidden/>
          <w:sz w:val="24"/>
          <w:szCs w:val="24"/>
        </w:rPr>
        <w:t>4</w:t>
      </w:r>
    </w:p>
    <w:p w14:paraId="096AA836" w14:textId="0B709658" w:rsidR="007F7C5D" w:rsidRPr="00423CBB" w:rsidRDefault="00275C4E" w:rsidP="00F15169">
      <w:pPr>
        <w:pStyle w:val="TableofFigures"/>
        <w:tabs>
          <w:tab w:val="right" w:leader="dot" w:pos="9962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40CE">
        <w:rPr>
          <w:rFonts w:ascii="Times New Roman" w:hAnsi="Times New Roman" w:cs="Times New Roman"/>
          <w:b/>
          <w:noProof/>
          <w:sz w:val="24"/>
          <w:szCs w:val="24"/>
        </w:rPr>
        <w:t>Table S3c:</w:t>
      </w:r>
      <w:r w:rsidRPr="00423C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Comparisons of post-dive surface intervals among D</w:t>
      </w:r>
      <w:r w:rsidR="00A15CE1" w:rsidRPr="007D40CE">
        <w:rPr>
          <w:rFonts w:ascii="Times New Roman" w:hAnsi="Times New Roman" w:cs="Times New Roman"/>
          <w:noProof/>
          <w:sz w:val="24"/>
          <w:szCs w:val="24"/>
        </w:rPr>
        <w:t xml:space="preserve">eep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B</w:t>
      </w:r>
      <w:r w:rsidR="00A15CE1" w:rsidRPr="007D40CE">
        <w:rPr>
          <w:rFonts w:ascii="Times New Roman" w:hAnsi="Times New Roman" w:cs="Times New Roman"/>
          <w:noProof/>
          <w:sz w:val="24"/>
          <w:szCs w:val="24"/>
        </w:rPr>
        <w:t>enthic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 xml:space="preserve"> and D</w:t>
      </w:r>
      <w:r w:rsidR="00A15CE1" w:rsidRPr="007D40CE">
        <w:rPr>
          <w:rFonts w:ascii="Times New Roman" w:hAnsi="Times New Roman" w:cs="Times New Roman"/>
          <w:noProof/>
          <w:sz w:val="24"/>
          <w:szCs w:val="24"/>
        </w:rPr>
        <w:t xml:space="preserve">eep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P</w:t>
      </w:r>
      <w:r w:rsidR="00A15CE1" w:rsidRPr="007D40CE">
        <w:rPr>
          <w:rFonts w:ascii="Times New Roman" w:hAnsi="Times New Roman" w:cs="Times New Roman"/>
          <w:noProof/>
          <w:sz w:val="24"/>
          <w:szCs w:val="24"/>
        </w:rPr>
        <w:t xml:space="preserve">elagic </w:t>
      </w:r>
      <w:r w:rsidR="00676125" w:rsidRPr="007D40CE">
        <w:rPr>
          <w:rFonts w:ascii="Times New Roman" w:hAnsi="Times New Roman" w:cs="Times New Roman"/>
          <w:noProof/>
          <w:sz w:val="24"/>
          <w:szCs w:val="24"/>
        </w:rPr>
        <w:t>V dives followed by different dive types</w:t>
      </w:r>
      <w:r w:rsidRPr="007D40CE">
        <w:rPr>
          <w:rFonts w:ascii="Times New Roman" w:hAnsi="Times New Roman" w:cs="Times New Roman"/>
          <w:noProof/>
          <w:sz w:val="24"/>
          <w:szCs w:val="24"/>
        </w:rPr>
        <w:t>.</w:t>
      </w:r>
      <w:r w:rsidRPr="00423CB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AA0786" w:rsidRPr="00423CBB">
        <w:rPr>
          <w:rFonts w:ascii="Times New Roman" w:hAnsi="Times New Roman" w:cs="Times New Roman"/>
          <w:noProof/>
          <w:webHidden/>
          <w:sz w:val="24"/>
          <w:szCs w:val="24"/>
        </w:rPr>
        <w:t>4</w:t>
      </w:r>
    </w:p>
    <w:p w14:paraId="5BC3E4C6" w14:textId="5D1BAF2C" w:rsidR="00386992" w:rsidRPr="00AA0786" w:rsidRDefault="00386992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0F4A0C" w14:textId="72428E52" w:rsidR="006F4E38" w:rsidRPr="00AA0786" w:rsidRDefault="006F4E38" w:rsidP="00F151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98504D" w14:textId="4BB73743" w:rsidR="006F4E38" w:rsidRPr="006B126E" w:rsidRDefault="006B126E" w:rsidP="006B12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676125" w:rsidRPr="006B126E">
        <w:rPr>
          <w:rFonts w:ascii="Times New Roman" w:hAnsi="Times New Roman" w:cs="Times New Roman"/>
          <w:b/>
          <w:sz w:val="24"/>
          <w:szCs w:val="24"/>
          <w:lang w:val="en-US"/>
        </w:rPr>
        <w:t>Overview</w:t>
      </w:r>
    </w:p>
    <w:p w14:paraId="7706A9C5" w14:textId="67A09A77" w:rsidR="000B5E22" w:rsidRDefault="00676125" w:rsidP="00F151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0786">
        <w:rPr>
          <w:rFonts w:ascii="Times New Roman" w:hAnsi="Times New Roman" w:cs="Times New Roman"/>
          <w:sz w:val="24"/>
          <w:szCs w:val="24"/>
          <w:lang w:val="en-US"/>
        </w:rPr>
        <w:t>This document contains supplementary results regarding comparisons in post-dive surface intervals among dive types (</w:t>
      </w:r>
      <w:r w:rsidR="00F15169" w:rsidRPr="00AA0786">
        <w:rPr>
          <w:rFonts w:ascii="Times New Roman" w:hAnsi="Times New Roman" w:cs="Times New Roman"/>
          <w:sz w:val="24"/>
          <w:szCs w:val="24"/>
        </w:rPr>
        <w:t>Table S3</w:t>
      </w:r>
      <w:r w:rsidR="00F15169" w:rsidRPr="00AA0786">
        <w:rPr>
          <w:rFonts w:ascii="Times New Roman" w:hAnsi="Times New Roman" w:cs="Times New Roman"/>
          <w:noProof/>
          <w:sz w:val="24"/>
          <w:szCs w:val="24"/>
        </w:rPr>
        <w:t>a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>), frequency of a dive type being followed by another dive type (</w:t>
      </w:r>
      <w:r w:rsidR="00F15169" w:rsidRPr="00AA0786">
        <w:rPr>
          <w:rFonts w:ascii="Times New Roman" w:hAnsi="Times New Roman" w:cs="Times New Roman"/>
          <w:sz w:val="24"/>
          <w:szCs w:val="24"/>
        </w:rPr>
        <w:t>Figure S3</w:t>
      </w:r>
      <w:r w:rsidR="00F15169" w:rsidRPr="00AA0786">
        <w:rPr>
          <w:rFonts w:ascii="Times New Roman" w:hAnsi="Times New Roman" w:cs="Times New Roman"/>
          <w:noProof/>
          <w:sz w:val="24"/>
          <w:szCs w:val="24"/>
        </w:rPr>
        <w:t>a</w:t>
      </w:r>
      <w:r w:rsidR="00222E0B" w:rsidRPr="00AA0786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46DE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22E0B"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>comparisons among post-dive surface intervals depending on the successive dive type (</w:t>
      </w:r>
      <w:r w:rsidR="00F15169" w:rsidRPr="00AA0786">
        <w:rPr>
          <w:rFonts w:ascii="Times New Roman" w:hAnsi="Times New Roman" w:cs="Times New Roman"/>
          <w:sz w:val="24"/>
          <w:szCs w:val="24"/>
        </w:rPr>
        <w:t>Table S3</w:t>
      </w:r>
      <w:r w:rsidR="00F15169" w:rsidRPr="00AA0786">
        <w:rPr>
          <w:rFonts w:ascii="Times New Roman" w:hAnsi="Times New Roman" w:cs="Times New Roman"/>
          <w:noProof/>
          <w:sz w:val="24"/>
          <w:szCs w:val="24"/>
        </w:rPr>
        <w:t>b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15169" w:rsidRPr="00AA0786">
        <w:rPr>
          <w:rFonts w:ascii="Times New Roman" w:hAnsi="Times New Roman" w:cs="Times New Roman"/>
          <w:sz w:val="24"/>
          <w:szCs w:val="24"/>
        </w:rPr>
        <w:t>Table S3</w:t>
      </w:r>
      <w:r w:rsidR="00F15169" w:rsidRPr="00AA0786">
        <w:rPr>
          <w:rFonts w:ascii="Times New Roman" w:hAnsi="Times New Roman" w:cs="Times New Roman"/>
          <w:noProof/>
          <w:sz w:val="24"/>
          <w:szCs w:val="24"/>
        </w:rPr>
        <w:t>c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6D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2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EDD">
        <w:rPr>
          <w:rFonts w:ascii="Times New Roman" w:hAnsi="Times New Roman" w:cs="Times New Roman"/>
          <w:sz w:val="24"/>
          <w:szCs w:val="24"/>
          <w:lang w:val="en-US"/>
        </w:rPr>
        <w:t xml:space="preserve">Figure S3b shows the </w:t>
      </w:r>
      <w:r w:rsidR="00B72214">
        <w:rPr>
          <w:rFonts w:ascii="Times New Roman" w:hAnsi="Times New Roman" w:cs="Times New Roman"/>
          <w:sz w:val="24"/>
          <w:szCs w:val="24"/>
          <w:lang w:val="en-US"/>
        </w:rPr>
        <w:t>sea ice concentrations over the study area from July 2018 – June 2019</w:t>
      </w:r>
      <w:r w:rsidR="00E85E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787506" w14:textId="34BEAE59" w:rsidR="00AA0786" w:rsidRDefault="00AA0786" w:rsidP="00F151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334D39" w14:textId="77777777" w:rsidR="00AA0786" w:rsidRPr="00AA0786" w:rsidRDefault="00AA0786" w:rsidP="00F151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A2178A" w14:textId="2CAD03D3" w:rsidR="00B215C9" w:rsidRPr="006B126E" w:rsidRDefault="006B126E" w:rsidP="006B12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B215C9" w:rsidRPr="006B126E">
        <w:rPr>
          <w:rFonts w:ascii="Times New Roman" w:hAnsi="Times New Roman" w:cs="Times New Roman"/>
          <w:b/>
          <w:sz w:val="24"/>
          <w:szCs w:val="24"/>
          <w:lang w:val="en-US"/>
        </w:rPr>
        <w:t>Comparing post-dive surface intervals among dive types</w:t>
      </w:r>
    </w:p>
    <w:p w14:paraId="28285CFA" w14:textId="0A7AF44C" w:rsidR="006F4E38" w:rsidRPr="00AA0786" w:rsidRDefault="00B215C9" w:rsidP="00F151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0786">
        <w:rPr>
          <w:rFonts w:ascii="Times New Roman" w:hAnsi="Times New Roman" w:cs="Times New Roman"/>
          <w:sz w:val="24"/>
          <w:szCs w:val="24"/>
          <w:lang w:val="en-US"/>
        </w:rPr>
        <w:t>The post-dive surface interval was not included in the dive classification procedure, as we wanted to maximize the number of dives that could be classifi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>ed; and due to gaps in the data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this metric was 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underestimated. 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>Instead</w:t>
      </w:r>
      <w:r w:rsidR="00A15C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incorrect surface durations were converted to NA (see Supplement</w:t>
      </w:r>
      <w:r w:rsidR="00F15169" w:rsidRPr="00AA0786">
        <w:rPr>
          <w:rFonts w:ascii="Times New Roman" w:hAnsi="Times New Roman" w:cs="Times New Roman"/>
          <w:sz w:val="24"/>
          <w:szCs w:val="24"/>
          <w:lang w:val="en-US"/>
        </w:rPr>
        <w:t>ary material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2), and this metric was compared among dive types </w:t>
      </w:r>
      <w:r w:rsidR="007C7BFE" w:rsidRPr="00AA0786">
        <w:rPr>
          <w:rFonts w:ascii="Times New Roman" w:hAnsi="Times New Roman" w:cs="Times New Roman"/>
          <w:sz w:val="24"/>
          <w:szCs w:val="24"/>
          <w:lang w:val="en-US"/>
        </w:rPr>
        <w:t>following classification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 with a Tukey’s test following an ANOVA (</w:t>
      </w:r>
      <w:r w:rsidR="00F15169" w:rsidRPr="00AA0786">
        <w:rPr>
          <w:rFonts w:ascii="Times New Roman" w:hAnsi="Times New Roman" w:cs="Times New Roman"/>
          <w:sz w:val="24"/>
          <w:szCs w:val="24"/>
        </w:rPr>
        <w:t>Table S3</w:t>
      </w:r>
      <w:r w:rsidR="00F15169" w:rsidRPr="00AA0786">
        <w:rPr>
          <w:rFonts w:ascii="Times New Roman" w:hAnsi="Times New Roman" w:cs="Times New Roman"/>
          <w:noProof/>
          <w:sz w:val="24"/>
          <w:szCs w:val="24"/>
        </w:rPr>
        <w:t>a</w:t>
      </w:r>
      <w:r w:rsidR="000B5E22" w:rsidRPr="00AA078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14BB4C3E" w14:textId="77777777" w:rsidR="00F15169" w:rsidRPr="00AA0786" w:rsidRDefault="00F15169" w:rsidP="00F15169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1" w:name="_Toc59442245"/>
      <w:bookmarkStart w:id="2" w:name="_Toc59531741"/>
    </w:p>
    <w:p w14:paraId="6BF6B956" w14:textId="77777777" w:rsidR="00F15169" w:rsidRPr="00AA0786" w:rsidRDefault="00F15169" w:rsidP="00F15169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2B73CF05" w14:textId="77777777" w:rsidR="00E85EDD" w:rsidRPr="00E85EDD" w:rsidRDefault="00E85EDD" w:rsidP="00F15169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</w:p>
    <w:p w14:paraId="06560FC3" w14:textId="56BC3C56" w:rsidR="00943ED6" w:rsidRDefault="00943ED6" w:rsidP="00423CBB">
      <w:pPr>
        <w:rPr>
          <w:i/>
          <w:lang w:val="en-US"/>
        </w:rPr>
      </w:pPr>
    </w:p>
    <w:p w14:paraId="0E639E84" w14:textId="3D1416CE" w:rsidR="006F34D2" w:rsidRDefault="006F34D2" w:rsidP="00423CBB">
      <w:pPr>
        <w:rPr>
          <w:i/>
          <w:lang w:val="en-US"/>
        </w:rPr>
      </w:pPr>
    </w:p>
    <w:p w14:paraId="46BBC3B6" w14:textId="77777777" w:rsidR="006F34D2" w:rsidRPr="00423CBB" w:rsidRDefault="006F34D2" w:rsidP="00423CBB">
      <w:pPr>
        <w:rPr>
          <w:i/>
          <w:lang w:val="en-US"/>
        </w:rPr>
      </w:pPr>
    </w:p>
    <w:p w14:paraId="2F83B4A5" w14:textId="5390125B" w:rsidR="00537EC4" w:rsidRPr="00AA0786" w:rsidRDefault="00F514ED" w:rsidP="00F15169">
      <w:pPr>
        <w:pStyle w:val="Captio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3" w:name="_Ref72844141"/>
      <w:r w:rsidRPr="00AA0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Table S3</w:t>
      </w:r>
      <w:r w:rsidR="00386992" w:rsidRPr="00AA0786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a</w:t>
      </w:r>
      <w:bookmarkEnd w:id="3"/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: Results of the Tukey’s test comparing difference in (log-transformed) post-dive surface intervals between dive types, following an ANOVA.</w:t>
      </w:r>
      <w:bookmarkEnd w:id="1"/>
      <w:bookmarkEnd w:id="2"/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Number of dives of each type with a complete post-dive surface interval used in calculations: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Deep benthic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DB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11512,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Deep pelagic V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DPV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2219,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Deep Pelagic W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DPW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2133, </w:t>
      </w:r>
      <w:r w:rsidR="00A15CE1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eep Pelagic Skew (DPS)</w:t>
      </w:r>
      <w:r w:rsidR="00A15CE1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= 345,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Intermediate Benthic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IB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21523,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Intermediate Pelagic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IP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11383,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Shallow V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SV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32087, 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Shallow W (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SW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71AF0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= 7704. </w:t>
      </w:r>
    </w:p>
    <w:tbl>
      <w:tblPr>
        <w:tblW w:w="8661" w:type="dxa"/>
        <w:tblInd w:w="4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7"/>
        <w:gridCol w:w="1361"/>
        <w:gridCol w:w="2544"/>
        <w:gridCol w:w="3079"/>
      </w:tblGrid>
      <w:tr w:rsidR="00F514ED" w:rsidRPr="00F15169" w14:paraId="682F4F30" w14:textId="77777777" w:rsidTr="00DF22C9">
        <w:trPr>
          <w:trHeight w:val="244"/>
        </w:trPr>
        <w:tc>
          <w:tcPr>
            <w:tcW w:w="30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5DEE7" w14:textId="77777777" w:rsidR="00F514ED" w:rsidRPr="00F15169" w:rsidRDefault="00F514ED" w:rsidP="00F151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Dive type contrast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53043" w14:textId="77777777" w:rsidR="00F514ED" w:rsidRPr="00F15169" w:rsidRDefault="00F514ED" w:rsidP="00F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Difference</w:t>
            </w:r>
          </w:p>
        </w:tc>
        <w:tc>
          <w:tcPr>
            <w:tcW w:w="307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96D35" w14:textId="77777777" w:rsidR="00F514ED" w:rsidRPr="00F15169" w:rsidRDefault="00F514ED" w:rsidP="00F1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P-value</w:t>
            </w:r>
          </w:p>
        </w:tc>
      </w:tr>
      <w:tr w:rsidR="00F514ED" w:rsidRPr="00F15169" w14:paraId="5605B615" w14:textId="77777777" w:rsidTr="00663D2D">
        <w:trPr>
          <w:trHeight w:val="244"/>
        </w:trPr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FDC278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DPV-DB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1A743A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0.13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E987A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2ECBAC25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272842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DPW-DB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4043A4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-0.78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6FD85A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600EE52D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97CACD" w14:textId="591D0C4B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DPS-DB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4BFFA1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-1.02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9A7F3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088C3B63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7ACFC8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IB-DB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81FCBB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-1.03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C959F1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4B7BEF93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CEE75C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IP-DB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8E763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-1.03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59BB86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3F252AF3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A2C9D1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255AF3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-0.70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1EF838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3D26932B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ED855F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SW-DB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224E40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-0.77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20C4B2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32C2CC5E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E89C6F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DPW-DPV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C6108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-0.91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762DAB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16BC5AF0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27046B" w14:textId="4A6D6DEA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DPS-DPV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E167A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-1.15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51F8A3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468E45D5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F954DF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IB-DPV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39C4E1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-1.17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42CBB9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2C9EFD5A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B19DD1C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IP-DPV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44681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-1.17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5B24C8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59CC2CED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6A205D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468723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-0.83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F381ED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1A49AAA3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8E4530C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SW-DPV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52A9C2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-0.90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474C60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7ACA792A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23E5B1" w14:textId="631E8D96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DPS-DPW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2F6CCC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-0.24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6DC279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2D0FD3E4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73EF6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IB-DPW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574333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-0.25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B9E19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7359CD83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40A599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IP-DPW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1DBB44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-0.25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A613FD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0D550AC2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2E1D7D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SV-DPW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2E2AD7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0.08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2E3932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0.002</w:t>
            </w:r>
          </w:p>
        </w:tc>
      </w:tr>
      <w:tr w:rsidR="00F514ED" w:rsidRPr="00F15169" w14:paraId="2CC61672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8A74EB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SW-DPW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B416F0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0.01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E0DE89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1.000</w:t>
            </w:r>
          </w:p>
        </w:tc>
      </w:tr>
      <w:tr w:rsidR="00F514ED" w:rsidRPr="00F15169" w14:paraId="60432C52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57E3D0" w14:textId="262A9CB2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IB-DPS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CB7895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-0.01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CDDB3A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1.000</w:t>
            </w:r>
          </w:p>
        </w:tc>
      </w:tr>
      <w:tr w:rsidR="00F514ED" w:rsidRPr="00F15169" w14:paraId="5FBF36D5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C08276D" w14:textId="4BCA0D0A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IP-DPS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FDD27B6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-0.01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4943EA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1.000</w:t>
            </w:r>
          </w:p>
        </w:tc>
      </w:tr>
      <w:tr w:rsidR="00F514ED" w:rsidRPr="00F15169" w14:paraId="703BB49D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A76684" w14:textId="21631133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SV-DPS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214A753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0.32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63FF09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2141BB82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8CDBA7" w14:textId="70979FD3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SW-DPS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D36FCE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0.25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D751F61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44F26C6E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C339F3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IP-IB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93034E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0.00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F2B40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1.000</w:t>
            </w:r>
          </w:p>
        </w:tc>
      </w:tr>
      <w:tr w:rsidR="00F514ED" w:rsidRPr="00F15169" w14:paraId="65981429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3368EA8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SV-IB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0B7C93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0.34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B7006C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09432F07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4A5C83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SW-IB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CBCB7B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0.26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4A08D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6FB5C81D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6FD51D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SV-IP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4FB4DD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0.33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DA81E4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2E84E15E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CAFAE5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SW-IP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07EE7F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0.26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5546AB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  <w:tr w:rsidR="00F514ED" w:rsidRPr="00F15169" w14:paraId="569FA010" w14:textId="77777777" w:rsidTr="00663D2D">
        <w:trPr>
          <w:trHeight w:val="244"/>
        </w:trPr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AC6A56C" w14:textId="77777777" w:rsidR="00F514ED" w:rsidRPr="00F15169" w:rsidRDefault="00F514ED" w:rsidP="00F15169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SW-SV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C4E4A4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lang w:val="en-GB" w:eastAsia="en-GB"/>
              </w:rPr>
              <w:t>-0.07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846190" w14:textId="77777777" w:rsidR="00F514ED" w:rsidRPr="00F15169" w:rsidRDefault="00F514ED" w:rsidP="00F15169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en-GB" w:eastAsia="en-GB"/>
              </w:rPr>
              <w:t>&lt;0.001</w:t>
            </w:r>
          </w:p>
        </w:tc>
      </w:tr>
    </w:tbl>
    <w:p w14:paraId="44CC5BFB" w14:textId="77777777" w:rsidR="00F514ED" w:rsidRPr="00F15169" w:rsidRDefault="00F514ED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6EF181AD" w14:textId="77777777" w:rsidR="00F514ED" w:rsidRPr="00F15169" w:rsidRDefault="00F514ED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4208AD5A" w14:textId="77777777" w:rsidR="00F514ED" w:rsidRPr="00F15169" w:rsidRDefault="00F514ED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61EF37ED" w14:textId="77777777" w:rsidR="00F514ED" w:rsidRPr="00F15169" w:rsidRDefault="00F514ED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1415DF5" w14:textId="77777777" w:rsidR="00537EC4" w:rsidRPr="00F15169" w:rsidRDefault="00537EC4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33BE5832" w14:textId="77777777" w:rsidR="00537EC4" w:rsidRPr="00F15169" w:rsidRDefault="00537EC4" w:rsidP="00F15169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284A47FD" w14:textId="45FE6370" w:rsidR="00537EC4" w:rsidRPr="00F15169" w:rsidRDefault="00DE780A" w:rsidP="00F1516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468AF872" wp14:editId="567BF3D3">
            <wp:extent cx="6120000" cy="3967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6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875DF" w14:textId="268C6685" w:rsidR="00F514ED" w:rsidRPr="00AA0786" w:rsidRDefault="00F514ED" w:rsidP="00F15169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" w:name="_Ref72844152"/>
      <w:bookmarkStart w:id="5" w:name="_Toc59442161"/>
      <w:r w:rsidRPr="00AA0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Figure S3</w:t>
      </w:r>
      <w:r w:rsidR="00386992" w:rsidRPr="00AA0786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a</w:t>
      </w:r>
      <w:bookmarkEnd w:id="4"/>
      <w:r w:rsidRPr="00AA0786">
        <w:rPr>
          <w:b/>
          <w:color w:val="auto"/>
          <w:sz w:val="24"/>
          <w:szCs w:val="24"/>
        </w:rPr>
        <w:t>:</w:t>
      </w:r>
      <w:r w:rsidRPr="00AA0786">
        <w:rPr>
          <w:color w:val="auto"/>
          <w:sz w:val="24"/>
          <w:szCs w:val="24"/>
        </w:rPr>
        <w:t xml:space="preserve"> 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Proportional frequency of each dive type at time </w:t>
      </w:r>
      <w:r w:rsidR="00537EC4" w:rsidRPr="00AA078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F15169" w:rsidRPr="00AA07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5169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(x-axis)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being followed by a given dive type at time </w:t>
      </w:r>
      <w:r w:rsidR="003350FF" w:rsidRPr="00AA0786">
        <w:rPr>
          <w:rFonts w:ascii="Times New Roman" w:hAnsi="Times New Roman" w:cs="Times New Roman"/>
          <w:color w:val="auto"/>
          <w:sz w:val="24"/>
          <w:szCs w:val="24"/>
        </w:rPr>
        <w:t>t +</w:t>
      </w:r>
      <w:r w:rsidR="00F15169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1 (y-axis)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Colours beneath </w:t>
      </w:r>
      <w:r w:rsidR="00F15169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each</w:t>
      </w:r>
      <w:r w:rsidR="00EF5B42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named dive type</w:t>
      </w:r>
      <w:r w:rsidR="00F15169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corresponds to colour of each dive type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the bar chart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in Table 2</w:t>
      </w:r>
      <w:r w:rsidR="00F15169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the manuscript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for example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57%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D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dives we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re followed by a D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dive, and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8%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D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dives we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re followed by an I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ntermediate 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>elagic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dive.</w:t>
      </w:r>
      <w:bookmarkEnd w:id="5"/>
      <w:r w:rsidR="00A15CE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 type abbreviations: Deep Benthic = DB, Deep Pelagic V = DPV, Deep Pelagic W = DPW, Deep Pelagic Skew = DPS, Intermediate Benthic = IB, Intermediate Pelagic = IP, Shallow V = SV, Shallow W = SW. </w:t>
      </w:r>
    </w:p>
    <w:p w14:paraId="738ED85B" w14:textId="77777777" w:rsidR="00D23116" w:rsidRPr="00F15169" w:rsidRDefault="00D23116" w:rsidP="00F15169">
      <w:pPr>
        <w:spacing w:line="240" w:lineRule="auto"/>
      </w:pPr>
    </w:p>
    <w:p w14:paraId="4A0F0DEC" w14:textId="77777777" w:rsidR="00D23116" w:rsidRPr="00F15169" w:rsidRDefault="00D23116" w:rsidP="00F15169">
      <w:pPr>
        <w:spacing w:line="240" w:lineRule="auto"/>
      </w:pPr>
    </w:p>
    <w:p w14:paraId="3E96021B" w14:textId="77777777" w:rsidR="00D23116" w:rsidRPr="00F15169" w:rsidRDefault="00D23116" w:rsidP="00F15169">
      <w:pPr>
        <w:spacing w:line="240" w:lineRule="auto"/>
      </w:pPr>
    </w:p>
    <w:p w14:paraId="1BDBAAD1" w14:textId="77777777" w:rsidR="00D23116" w:rsidRPr="00F15169" w:rsidRDefault="00D23116" w:rsidP="00F15169">
      <w:pPr>
        <w:spacing w:line="240" w:lineRule="auto"/>
      </w:pPr>
    </w:p>
    <w:p w14:paraId="5534C1B5" w14:textId="77777777" w:rsidR="00D23116" w:rsidRPr="00F15169" w:rsidRDefault="00D23116" w:rsidP="00F15169">
      <w:pPr>
        <w:spacing w:line="240" w:lineRule="auto"/>
      </w:pPr>
    </w:p>
    <w:p w14:paraId="63F815EB" w14:textId="4BAC81F4" w:rsidR="00D23116" w:rsidRPr="00F15169" w:rsidRDefault="00D23116" w:rsidP="00F15169">
      <w:pPr>
        <w:spacing w:line="240" w:lineRule="auto"/>
      </w:pPr>
    </w:p>
    <w:p w14:paraId="34025AF6" w14:textId="35DF5A58" w:rsidR="00AB402F" w:rsidRPr="00F15169" w:rsidRDefault="00AB402F" w:rsidP="00F15169">
      <w:pPr>
        <w:spacing w:line="240" w:lineRule="auto"/>
      </w:pPr>
    </w:p>
    <w:p w14:paraId="5499BFA1" w14:textId="77777777" w:rsidR="00AB402F" w:rsidRPr="00F15169" w:rsidRDefault="00AB402F" w:rsidP="00F15169">
      <w:pPr>
        <w:spacing w:line="240" w:lineRule="auto"/>
      </w:pPr>
    </w:p>
    <w:p w14:paraId="234C44F7" w14:textId="1A61DBE4" w:rsidR="006F34D2" w:rsidRDefault="006F34D2" w:rsidP="00F15169">
      <w:pPr>
        <w:pStyle w:val="Caption"/>
        <w:rPr>
          <w:rFonts w:ascii="Times New Roman" w:hAnsi="Times New Roman" w:cs="Times New Roman"/>
          <w:b/>
          <w:i w:val="0"/>
          <w:iCs w:val="0"/>
          <w:color w:val="auto"/>
          <w:sz w:val="22"/>
          <w:szCs w:val="22"/>
          <w:lang w:val="en-US"/>
        </w:rPr>
      </w:pPr>
      <w:bookmarkStart w:id="6" w:name="_Ref72844171"/>
      <w:bookmarkStart w:id="7" w:name="_Toc59442246"/>
      <w:bookmarkStart w:id="8" w:name="_Toc59531742"/>
    </w:p>
    <w:p w14:paraId="373D7027" w14:textId="77777777" w:rsidR="00833322" w:rsidRPr="00833322" w:rsidRDefault="00833322" w:rsidP="00833322">
      <w:pPr>
        <w:rPr>
          <w:lang w:val="en-US"/>
        </w:rPr>
      </w:pPr>
    </w:p>
    <w:p w14:paraId="20022BC6" w14:textId="6681F977" w:rsidR="00537EC4" w:rsidRPr="00AA0786" w:rsidRDefault="004B4DC9" w:rsidP="00F15169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A0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Table S3</w:t>
      </w:r>
      <w:r w:rsidR="00386992" w:rsidRPr="00AA0786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b</w:t>
      </w:r>
      <w:bookmarkEnd w:id="6"/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Pr="00AA0786">
        <w:rPr>
          <w:color w:val="auto"/>
          <w:sz w:val="24"/>
          <w:szCs w:val="24"/>
        </w:rPr>
        <w:t xml:space="preserve"> 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Median post-dive surface intervals for each dive type at time </w:t>
      </w:r>
      <w:r w:rsidR="00537EC4" w:rsidRPr="00AA078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when followed by a given dive type at time </w:t>
      </w:r>
      <w:r w:rsidR="00537EC4" w:rsidRPr="00AA0786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+ 1. Only calculated for dives which followed a dive type ≥5% of the time, see </w:t>
      </w:r>
      <w:r w:rsidR="00FB5291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Figure S3</w:t>
      </w:r>
      <w:r w:rsidR="00FB5291" w:rsidRPr="00AA078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a</w:t>
      </w:r>
      <w:r w:rsidR="00222E0B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Parentheses contain 5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th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95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th</w:t>
      </w:r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percentiles.</w:t>
      </w:r>
      <w:bookmarkEnd w:id="7"/>
      <w:bookmarkEnd w:id="8"/>
      <w:r w:rsidR="00537EC4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15CE1" w:rsidRPr="00A15CE1">
        <w:rPr>
          <w:rFonts w:ascii="Times New Roman" w:hAnsi="Times New Roman" w:cs="Times New Roman"/>
          <w:i w:val="0"/>
          <w:color w:val="auto"/>
          <w:sz w:val="24"/>
          <w:szCs w:val="24"/>
        </w:rPr>
        <w:t>Dive type abbreviations: Deep Benthic = DB, Deep Pelagic V = DPV, Deep Pelagic W = DPW, Deep Pelagic Skew = DPS, Intermediate Benthic = IB, Intermediate Pelagic = IP, Shallow V = SV, Shallow W = SW.</w:t>
      </w:r>
    </w:p>
    <w:tbl>
      <w:tblPr>
        <w:tblW w:w="100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5"/>
        <w:gridCol w:w="7"/>
      </w:tblGrid>
      <w:tr w:rsidR="00537EC4" w:rsidRPr="00F15169" w14:paraId="3414DC9B" w14:textId="77777777" w:rsidTr="00B33623">
        <w:trPr>
          <w:trHeight w:val="410"/>
        </w:trPr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E56144A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 xml:space="preserve">Dive type (at time </w:t>
            </w:r>
            <w:r w:rsidRPr="00F1516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en-GB"/>
              </w:rPr>
              <w:t>t</w:t>
            </w: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)</w:t>
            </w:r>
          </w:p>
        </w:tc>
        <w:tc>
          <w:tcPr>
            <w:tcW w:w="897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5507B1" w14:textId="77777777" w:rsidR="00537EC4" w:rsidRPr="00F15169" w:rsidRDefault="00537EC4" w:rsidP="00F15169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 xml:space="preserve">Following dive type (at time </w:t>
            </w:r>
            <w:r w:rsidRPr="00F1516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lang w:val="en-US" w:eastAsia="en-GB"/>
              </w:rPr>
              <w:t xml:space="preserve">t </w:t>
            </w: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 xml:space="preserve"> + 1)</w:t>
            </w:r>
          </w:p>
        </w:tc>
      </w:tr>
      <w:tr w:rsidR="00537EC4" w:rsidRPr="00F15169" w14:paraId="38E17569" w14:textId="77777777" w:rsidTr="00B33623">
        <w:trPr>
          <w:gridAfter w:val="1"/>
          <w:wAfter w:w="7" w:type="dxa"/>
          <w:trHeight w:val="375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5FEED7" w14:textId="77777777" w:rsidR="00537EC4" w:rsidRPr="00F15169" w:rsidRDefault="00537EC4" w:rsidP="00F1516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5A815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DB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212BF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DPV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0A08D8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DPW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61617D" w14:textId="56DE0816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DPS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E5A0C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IB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56884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IP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B6E14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SV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4ED9106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SW</w:t>
            </w:r>
          </w:p>
        </w:tc>
      </w:tr>
      <w:tr w:rsidR="00537EC4" w:rsidRPr="00F15169" w14:paraId="53A089E1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621C01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DB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AD92A8E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5.00</w:t>
            </w:r>
          </w:p>
          <w:p w14:paraId="18425B6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(1.75, 15.00)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40D428" w14:textId="591FBFF9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6E5134" w14:textId="1FCDC913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D0BFD5E" w14:textId="1C7DFC88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C0379B" w14:textId="48356C57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22220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2.50</w:t>
            </w:r>
          </w:p>
          <w:p w14:paraId="658055E2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(0.25, 17.50)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6BBC2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3.75</w:t>
            </w:r>
          </w:p>
          <w:p w14:paraId="4B1E2A7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(0.25, 12.75)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81BF9B" w14:textId="7F55C792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</w:tr>
      <w:tr w:rsidR="00537EC4" w:rsidRPr="00F15169" w14:paraId="4FDC7A33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0D65E38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883FBEC" w14:textId="686F7AAB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64812B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5.00</w:t>
            </w:r>
          </w:p>
          <w:p w14:paraId="7CBC594F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(2.50, 16.25)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D2002F" w14:textId="05019CC5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300FB6" w14:textId="40A3C4A9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D7A0E4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443AA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3.00</w:t>
            </w:r>
          </w:p>
          <w:p w14:paraId="2489BFE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(0.70, 10.25)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93C81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3.75</w:t>
            </w:r>
          </w:p>
          <w:p w14:paraId="6770565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(0.50, 15.25)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A40EE7" w14:textId="04F4031B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</w:tr>
      <w:tr w:rsidR="00537EC4" w:rsidRPr="00F15169" w14:paraId="45BE9599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48DEE7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53CB78" w14:textId="321B2E4A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4252E6" w14:textId="390A4CED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7301C4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6617AF9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(0.75, 4.00)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B82992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1.50</w:t>
            </w:r>
          </w:p>
          <w:p w14:paraId="751F873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(0.25, 2.75)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9396F5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A131B95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1.25</w:t>
            </w:r>
          </w:p>
          <w:p w14:paraId="6A15F02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(0.25, 5.00)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AAFDE1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1.63</w:t>
            </w:r>
          </w:p>
          <w:p w14:paraId="48DA884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(0.25, 5.98)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9FC113" w14:textId="3EAE75C9" w:rsidR="00537EC4" w:rsidRPr="00F15169" w:rsidRDefault="00222E0B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</w:tr>
      <w:tr w:rsidR="00537EC4" w:rsidRPr="00F15169" w14:paraId="2BB6CD02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7DF90D" w14:textId="1EE9110E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DPS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C83E3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2.50</w:t>
            </w:r>
          </w:p>
          <w:p w14:paraId="1F06A8CE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(0.73, 4.53)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97CA29" w14:textId="2F2D63C4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33538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1.25</w:t>
            </w:r>
          </w:p>
          <w:p w14:paraId="3218F4BB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(0.25, 2.74)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717FBB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1.88</w:t>
            </w:r>
          </w:p>
          <w:p w14:paraId="573DDB96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(0.25, 4.06)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1DDB3D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70AA85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1.25</w:t>
            </w:r>
          </w:p>
          <w:p w14:paraId="544A97CB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(0.25, 3.75)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AE1AA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1.63</w:t>
            </w:r>
          </w:p>
          <w:p w14:paraId="4E41D661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(0.25, 19.55)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1E4E83" w14:textId="246A4C24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</w:tr>
      <w:tr w:rsidR="00537EC4" w:rsidRPr="00F15169" w14:paraId="2401C25F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E3A244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IB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70C6CA" w14:textId="67746AA2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86E8B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9B345D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3492E1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2F372F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1.25</w:t>
            </w:r>
          </w:p>
          <w:p w14:paraId="308E548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(0.25, 4.00)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4DC756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1.50</w:t>
            </w:r>
          </w:p>
          <w:p w14:paraId="45E5179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(0.25, 5.00)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C6E48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693A05B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(0.25, 8.50)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7BE8BB0" w14:textId="4009CF92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</w:tr>
      <w:tr w:rsidR="00537EC4" w:rsidRPr="00F15169" w14:paraId="451FB050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8A6B69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477E2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2.50</w:t>
            </w:r>
          </w:p>
          <w:p w14:paraId="28BE6985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(0.25, 11.25)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6500727" w14:textId="175006FF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110C42" w14:textId="68CB13FB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673B2DB" w14:textId="5C82D278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A1272B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1.50</w:t>
            </w:r>
          </w:p>
          <w:p w14:paraId="04686B86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(0.25, 5.00)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F1B16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1.25</w:t>
            </w:r>
          </w:p>
          <w:p w14:paraId="3730497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(0.25, 4.75)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27FFE4D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1.50</w:t>
            </w:r>
          </w:p>
          <w:p w14:paraId="134BAB2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(0.25, 7.25)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F21FE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5BBEE33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(0.25, 5.00) </w:t>
            </w:r>
          </w:p>
        </w:tc>
      </w:tr>
      <w:tr w:rsidR="00537EC4" w:rsidRPr="00F15169" w14:paraId="676A7F40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BBBC626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SV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AD9EE3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2.75</w:t>
            </w:r>
          </w:p>
          <w:p w14:paraId="28B5205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(0.25, 12.56)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C03899" w14:textId="71C3538F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DF8A342" w14:textId="03FC6868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69C062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2.00</w:t>
            </w:r>
          </w:p>
          <w:p w14:paraId="4AA3C9B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(0.25, 12.59)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87E9EB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2.00</w:t>
            </w:r>
          </w:p>
          <w:p w14:paraId="7C9BAA85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(0.25, 8.25)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E99A9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1.50</w:t>
            </w:r>
          </w:p>
          <w:p w14:paraId="6EDB7607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(0.25, 7.00)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44BE426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2.00</w:t>
            </w:r>
          </w:p>
          <w:p w14:paraId="1E7C7E84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(0.25, 9.75)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0E596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2688C140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(0.25, 6.75) </w:t>
            </w:r>
          </w:p>
        </w:tc>
      </w:tr>
      <w:tr w:rsidR="00537EC4" w:rsidRPr="00F15169" w14:paraId="7FC54AD6" w14:textId="77777777" w:rsidTr="00B33623">
        <w:trPr>
          <w:gridAfter w:val="1"/>
          <w:wAfter w:w="7" w:type="dxa"/>
          <w:trHeight w:val="593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A0B3A1" w14:textId="77777777" w:rsidR="00537EC4" w:rsidRPr="00F15169" w:rsidRDefault="00537EC4" w:rsidP="00F1516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GB" w:eastAsia="en-GB"/>
              </w:rPr>
              <w:t>SW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183194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3.75</w:t>
            </w:r>
          </w:p>
          <w:p w14:paraId="3E32F1F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>(1.25, 12.75)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2B0EB7" w14:textId="373A78E5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8806E3" w14:textId="07FF3F04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D4F7ED" w14:textId="24A57333" w:rsidR="00537EC4" w:rsidRPr="00F15169" w:rsidRDefault="001916DC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4383D0E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6C8B0299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(0.25, 5.75)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EF907C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2086A3E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(0.25, 5.75)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4B0AB1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21E61B78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(0.25, 6.75)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B8850A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GB" w:eastAsia="en-GB"/>
              </w:rPr>
              <w:t>1.75</w:t>
            </w:r>
          </w:p>
          <w:p w14:paraId="28D49E2F" w14:textId="77777777" w:rsidR="00537EC4" w:rsidRPr="00F15169" w:rsidRDefault="00537EC4" w:rsidP="00F15169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20"/>
                <w:lang w:val="en-GB" w:eastAsia="en-GB"/>
              </w:rPr>
            </w:pPr>
            <w:r w:rsidRPr="00F1516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lang w:val="en-US" w:eastAsia="en-GB"/>
              </w:rPr>
              <w:t xml:space="preserve">(0.50, 5.00) </w:t>
            </w:r>
          </w:p>
        </w:tc>
      </w:tr>
    </w:tbl>
    <w:p w14:paraId="50D5493E" w14:textId="39223DD3" w:rsidR="00DF22C9" w:rsidRPr="00AA0786" w:rsidRDefault="00DF22C9" w:rsidP="00F15169">
      <w:pPr>
        <w:spacing w:line="240" w:lineRule="auto"/>
        <w:rPr>
          <w:sz w:val="24"/>
          <w:szCs w:val="24"/>
          <w:lang w:val="en-US"/>
        </w:rPr>
      </w:pPr>
    </w:p>
    <w:p w14:paraId="2B2311D7" w14:textId="462E841C" w:rsidR="004B4DC9" w:rsidRPr="00AA0786" w:rsidRDefault="004B4DC9" w:rsidP="00F15169">
      <w:pPr>
        <w:pStyle w:val="Caption"/>
        <w:rPr>
          <w:i w:val="0"/>
          <w:color w:val="auto"/>
          <w:sz w:val="24"/>
          <w:szCs w:val="24"/>
          <w:lang w:val="en-US"/>
        </w:rPr>
      </w:pPr>
      <w:bookmarkStart w:id="9" w:name="_Ref72844176"/>
      <w:bookmarkStart w:id="10" w:name="_Toc59442247"/>
      <w:bookmarkStart w:id="11" w:name="_Toc59531743"/>
      <w:r w:rsidRPr="00AA0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Table S3</w:t>
      </w:r>
      <w:r w:rsidR="00386992" w:rsidRPr="00AA0786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c</w:t>
      </w:r>
      <w:bookmarkEnd w:id="9"/>
      <w:r w:rsidRPr="00AA078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  <w:r w:rsidRPr="00AA0786">
        <w:rPr>
          <w:i w:val="0"/>
          <w:color w:val="auto"/>
          <w:sz w:val="24"/>
          <w:szCs w:val="24"/>
        </w:rPr>
        <w:t xml:space="preserve">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Results of the Tukey’s test comparing difference in (log-transformed) post-dive surface intervals between D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2538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(DB)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D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elagic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V</w:t>
      </w:r>
      <w:r w:rsidR="002538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(DPV)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type dives when followed by an I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ntermediate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>elagic</w:t>
      </w:r>
      <w:r w:rsidR="002538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(IP)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or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hallow 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V</w:t>
      </w:r>
      <w:r w:rsidR="0025381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(SV)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 type compared to a dive of the same type</w:t>
      </w:r>
      <w:r w:rsidR="00F52FDE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(i.e. a D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="00F52FDE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F52FDE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followed by a D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eep </w:t>
      </w:r>
      <w:r w:rsidR="00F52FDE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DE780A">
        <w:rPr>
          <w:rFonts w:ascii="Times New Roman" w:hAnsi="Times New Roman" w:cs="Times New Roman"/>
          <w:i w:val="0"/>
          <w:color w:val="auto"/>
          <w:sz w:val="24"/>
          <w:szCs w:val="24"/>
        </w:rPr>
        <w:t>enthic</w:t>
      </w:r>
      <w:r w:rsidR="00F52FDE"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dive)</w:t>
      </w:r>
      <w:r w:rsidRPr="00AA0786">
        <w:rPr>
          <w:rFonts w:ascii="Times New Roman" w:hAnsi="Times New Roman" w:cs="Times New Roman"/>
          <w:i w:val="0"/>
          <w:color w:val="auto"/>
          <w:sz w:val="24"/>
          <w:szCs w:val="24"/>
        </w:rPr>
        <w:t>, following an ANOVA.</w:t>
      </w:r>
      <w:bookmarkEnd w:id="10"/>
      <w:bookmarkEnd w:id="11"/>
    </w:p>
    <w:tbl>
      <w:tblPr>
        <w:tblW w:w="93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6"/>
        <w:gridCol w:w="3531"/>
        <w:gridCol w:w="2166"/>
        <w:gridCol w:w="1945"/>
      </w:tblGrid>
      <w:tr w:rsidR="00537EC4" w:rsidRPr="00F15169" w14:paraId="60F2FFBA" w14:textId="77777777" w:rsidTr="00423CBB">
        <w:trPr>
          <w:trHeight w:val="445"/>
        </w:trPr>
        <w:tc>
          <w:tcPr>
            <w:tcW w:w="170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03041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151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Dive type at time </w:t>
            </w:r>
            <w:r w:rsidRPr="00F1516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834F0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151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Dive type at time </w:t>
            </w:r>
            <w:r w:rsidRPr="00F1516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</w:t>
            </w:r>
            <w:r w:rsidRPr="00F151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+ 1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39076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15169">
              <w:rPr>
                <w:rFonts w:ascii="Times New Roman" w:hAnsi="Times New Roman" w:cs="Times New Roman"/>
                <w:b/>
                <w:bCs/>
                <w:lang w:val="en-US"/>
              </w:rPr>
              <w:t>Difference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9DE54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F15169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537EC4" w:rsidRPr="00F15169" w14:paraId="07098D96" w14:textId="77777777" w:rsidTr="00423CBB">
        <w:trPr>
          <w:trHeight w:val="169"/>
        </w:trPr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4959C9" w14:textId="030E960F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DB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A065E58" w14:textId="08B12182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IP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15E2624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0F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EA1A8E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bCs/>
                <w:lang w:val="en-GB"/>
              </w:rPr>
              <w:t>&lt;0.001</w:t>
            </w:r>
          </w:p>
        </w:tc>
      </w:tr>
      <w:tr w:rsidR="00537EC4" w:rsidRPr="00F15169" w14:paraId="3B70D9F4" w14:textId="77777777" w:rsidTr="00423CBB">
        <w:trPr>
          <w:trHeight w:val="169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89585C" w14:textId="71A176F6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0F82FB" w14:textId="03FB04FC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SV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20D4EB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94E70F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bCs/>
                <w:lang w:val="en-GB"/>
              </w:rPr>
              <w:t>&lt;0.001</w:t>
            </w:r>
          </w:p>
        </w:tc>
      </w:tr>
      <w:tr w:rsidR="00537EC4" w:rsidRPr="00F15169" w14:paraId="72B29A75" w14:textId="77777777" w:rsidTr="00423CBB">
        <w:trPr>
          <w:trHeight w:val="169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FE7C34" w14:textId="7D243B9C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DPV</w:t>
            </w:r>
          </w:p>
        </w:tc>
        <w:tc>
          <w:tcPr>
            <w:tcW w:w="353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EFB7EC" w14:textId="6E16C07F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IP</w:t>
            </w: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6FBB30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6D145B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bCs/>
                <w:lang w:val="en-GB"/>
              </w:rPr>
              <w:t>&lt;0.001</w:t>
            </w:r>
          </w:p>
        </w:tc>
      </w:tr>
      <w:tr w:rsidR="00537EC4" w:rsidRPr="00F15169" w14:paraId="4335AF22" w14:textId="77777777" w:rsidTr="00423CBB">
        <w:trPr>
          <w:trHeight w:val="169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DC6B92" w14:textId="2304B7BF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DPV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179DA0" w14:textId="0DB093AC" w:rsidR="00537EC4" w:rsidRPr="00F15169" w:rsidRDefault="0025381F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06D7F1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972A10" w14:textId="77777777" w:rsidR="00537EC4" w:rsidRPr="00F15169" w:rsidRDefault="00537EC4" w:rsidP="00F15169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15169">
              <w:rPr>
                <w:rFonts w:ascii="Times New Roman" w:hAnsi="Times New Roman" w:cs="Times New Roman"/>
                <w:bCs/>
                <w:lang w:val="en-GB"/>
              </w:rPr>
              <w:t>&lt;0.001</w:t>
            </w:r>
          </w:p>
        </w:tc>
      </w:tr>
    </w:tbl>
    <w:p w14:paraId="489C7B08" w14:textId="64CE990C" w:rsidR="00E568CA" w:rsidRDefault="00E568CA">
      <w:pPr>
        <w:spacing w:line="240" w:lineRule="auto"/>
        <w:rPr>
          <w:rFonts w:ascii="Times New Roman" w:hAnsi="Times New Roman" w:cs="Times New Roman"/>
          <w:lang w:val="en-US"/>
        </w:rPr>
        <w:sectPr w:rsidR="00E568CA" w:rsidSect="006F34D2">
          <w:footerReference w:type="default" r:id="rId9"/>
          <w:pgSz w:w="12240" w:h="15840"/>
          <w:pgMar w:top="1140" w:right="1179" w:bottom="1140" w:left="1281" w:header="708" w:footer="708" w:gutter="0"/>
          <w:pgNumType w:start="0"/>
          <w:cols w:space="708"/>
          <w:titlePg/>
          <w:docGrid w:linePitch="360"/>
        </w:sectPr>
      </w:pPr>
    </w:p>
    <w:p w14:paraId="256FFD64" w14:textId="6C1BF88E" w:rsidR="00253FEA" w:rsidRPr="00423CBB" w:rsidRDefault="00F0649D" w:rsidP="00423C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649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="008D14B6">
        <w:rPr>
          <w:rFonts w:ascii="Times New Roman" w:hAnsi="Times New Roman" w:cs="Times New Roman"/>
          <w:b/>
          <w:sz w:val="24"/>
          <w:szCs w:val="24"/>
          <w:lang w:val="en-US"/>
        </w:rPr>
        <w:t>Sea ice maps</w:t>
      </w:r>
    </w:p>
    <w:p w14:paraId="348501C6" w14:textId="77777777" w:rsidR="00253FEA" w:rsidRDefault="00253FEA" w:rsidP="00423CB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1894F708" wp14:editId="31E5898C">
            <wp:extent cx="8189593" cy="51879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thly ice start 201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8202803" cy="519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7026" w14:textId="14670565" w:rsidR="006F34F0" w:rsidRPr="006F34D2" w:rsidRDefault="00F064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F34F0" w:rsidRPr="006F34D2" w:rsidSect="00E568CA">
          <w:pgSz w:w="15840" w:h="12240" w:orient="landscape"/>
          <w:pgMar w:top="1281" w:right="1140" w:bottom="1179" w:left="1140" w:header="708" w:footer="708" w:gutter="0"/>
          <w:cols w:space="708"/>
          <w:docGrid w:linePitch="360"/>
        </w:sectPr>
      </w:pPr>
      <w:r w:rsidRPr="006F34D2">
        <w:rPr>
          <w:rFonts w:ascii="Times New Roman" w:hAnsi="Times New Roman" w:cs="Times New Roman"/>
          <w:b/>
          <w:sz w:val="24"/>
          <w:szCs w:val="24"/>
          <w:lang w:val="en-US"/>
        </w:rPr>
        <w:t>Figure S3b</w:t>
      </w:r>
      <w:r w:rsidR="00253FEA" w:rsidRPr="006F34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F34F0" w:rsidRPr="006F34D2">
        <w:rPr>
          <w:rFonts w:ascii="Times New Roman" w:hAnsi="Times New Roman" w:cs="Times New Roman"/>
          <w:sz w:val="24"/>
          <w:szCs w:val="24"/>
          <w:lang w:val="en-US"/>
        </w:rPr>
        <w:t xml:space="preserve">Monthly sea ice concentration from July 2018 to June 2019 (i.e. the duration over which the belugas with the longest deployments from 2018 transmitted for). Downloaded from NOAA/NSIDC Climate Data Record of Passive Microwave Sea Ice Concentration, Version 4, on a 25 km grid (Meier et al. 2021). </w:t>
      </w:r>
    </w:p>
    <w:p w14:paraId="3E3078E4" w14:textId="653B2E95" w:rsidR="006F34F0" w:rsidRPr="006F34D2" w:rsidRDefault="006F34F0" w:rsidP="00423C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4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0C59C40B" w14:textId="77777777" w:rsidR="006F34F0" w:rsidRPr="006F34D2" w:rsidRDefault="006F34F0" w:rsidP="006F34F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Meier W. N., </w:t>
      </w:r>
      <w:proofErr w:type="spellStart"/>
      <w:r w:rsidRPr="006F34D2">
        <w:rPr>
          <w:rFonts w:ascii="Times New Roman" w:hAnsi="Times New Roman" w:cs="Times New Roman"/>
          <w:sz w:val="24"/>
          <w:szCs w:val="24"/>
          <w:lang w:val="en-GB"/>
        </w:rPr>
        <w:t>Fetterer</w:t>
      </w:r>
      <w:proofErr w:type="spellEnd"/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 F., </w:t>
      </w:r>
      <w:proofErr w:type="spellStart"/>
      <w:r w:rsidRPr="006F34D2">
        <w:rPr>
          <w:rFonts w:ascii="Times New Roman" w:hAnsi="Times New Roman" w:cs="Times New Roman"/>
          <w:sz w:val="24"/>
          <w:szCs w:val="24"/>
          <w:lang w:val="en-GB"/>
        </w:rPr>
        <w:t>Windnagel</w:t>
      </w:r>
      <w:proofErr w:type="spellEnd"/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 A.K. &amp; Stewart J.S. 2021. NOAA/NSIDC Climate Data Record of Passive Microwave Sea Ice Concentration, Version 4. July 3</w:t>
      </w:r>
      <w:r w:rsidRPr="006F34D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 2018 – November 15</w:t>
      </w:r>
      <w:r w:rsidRPr="006F34D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 2019. Boulder, Colorado USA. NSIDC: National Snow and Ice Data </w:t>
      </w:r>
      <w:proofErr w:type="spellStart"/>
      <w:r w:rsidRPr="006F34D2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F34D2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1" w:history="1">
        <w:r w:rsidRPr="006F34D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https://doi.org/10.7265/efmz-2t65</w:t>
        </w:r>
      </w:hyperlink>
      <w:r w:rsidRPr="006F34D2">
        <w:rPr>
          <w:rFonts w:ascii="Times New Roman" w:hAnsi="Times New Roman" w:cs="Times New Roman"/>
          <w:sz w:val="24"/>
          <w:szCs w:val="24"/>
          <w:lang w:val="en-GB"/>
        </w:rPr>
        <w:t>. Accessed July 19</w:t>
      </w:r>
      <w:r w:rsidRPr="006F34D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6F34D2">
        <w:rPr>
          <w:rFonts w:ascii="Times New Roman" w:hAnsi="Times New Roman" w:cs="Times New Roman"/>
          <w:sz w:val="24"/>
          <w:szCs w:val="24"/>
          <w:lang w:val="en-GB"/>
        </w:rPr>
        <w:t xml:space="preserve"> 2021. </w:t>
      </w:r>
    </w:p>
    <w:p w14:paraId="58C06227" w14:textId="45DBDC67" w:rsidR="006F4E38" w:rsidRPr="00AA0786" w:rsidRDefault="006F4E38" w:rsidP="00423CBB">
      <w:pPr>
        <w:spacing w:line="240" w:lineRule="auto"/>
      </w:pPr>
    </w:p>
    <w:sectPr w:rsidR="006F4E38" w:rsidRPr="00AA0786" w:rsidSect="00F0649D">
      <w:pgSz w:w="12240" w:h="15840"/>
      <w:pgMar w:top="1140" w:right="1179" w:bottom="1140" w:left="12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3EBD" w14:textId="77777777" w:rsidR="00985DC0" w:rsidRDefault="00985DC0" w:rsidP="00CC4B50">
      <w:pPr>
        <w:spacing w:after="0" w:line="240" w:lineRule="auto"/>
      </w:pPr>
      <w:r>
        <w:separator/>
      </w:r>
    </w:p>
  </w:endnote>
  <w:endnote w:type="continuationSeparator" w:id="0">
    <w:p w14:paraId="4931F0B2" w14:textId="77777777" w:rsidR="00985DC0" w:rsidRDefault="00985DC0" w:rsidP="00CC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55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31389" w14:textId="0E78BC01" w:rsidR="00CC4B50" w:rsidRDefault="00CC4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0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54CF29" w14:textId="77777777" w:rsidR="00CC4B50" w:rsidRDefault="00CC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957D" w14:textId="77777777" w:rsidR="00985DC0" w:rsidRDefault="00985DC0" w:rsidP="00CC4B50">
      <w:pPr>
        <w:spacing w:after="0" w:line="240" w:lineRule="auto"/>
      </w:pPr>
      <w:r>
        <w:separator/>
      </w:r>
    </w:p>
  </w:footnote>
  <w:footnote w:type="continuationSeparator" w:id="0">
    <w:p w14:paraId="07DB5009" w14:textId="77777777" w:rsidR="00985DC0" w:rsidRDefault="00985DC0" w:rsidP="00CC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0B16"/>
    <w:multiLevelType w:val="hybridMultilevel"/>
    <w:tmpl w:val="11265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C4"/>
    <w:rsid w:val="000A1126"/>
    <w:rsid w:val="000A1E82"/>
    <w:rsid w:val="000B5E22"/>
    <w:rsid w:val="000D3E19"/>
    <w:rsid w:val="00104653"/>
    <w:rsid w:val="001241E3"/>
    <w:rsid w:val="00135651"/>
    <w:rsid w:val="001374D2"/>
    <w:rsid w:val="001916DC"/>
    <w:rsid w:val="001C3E00"/>
    <w:rsid w:val="001C7A0D"/>
    <w:rsid w:val="00217B02"/>
    <w:rsid w:val="00222E0B"/>
    <w:rsid w:val="0025381F"/>
    <w:rsid w:val="00253FEA"/>
    <w:rsid w:val="00275C4E"/>
    <w:rsid w:val="002D0F25"/>
    <w:rsid w:val="002D4EF0"/>
    <w:rsid w:val="00321D40"/>
    <w:rsid w:val="00331896"/>
    <w:rsid w:val="003350FF"/>
    <w:rsid w:val="00386992"/>
    <w:rsid w:val="003A289B"/>
    <w:rsid w:val="00400261"/>
    <w:rsid w:val="00400AC0"/>
    <w:rsid w:val="00423CBB"/>
    <w:rsid w:val="00470519"/>
    <w:rsid w:val="004B4DC9"/>
    <w:rsid w:val="004B5C81"/>
    <w:rsid w:val="0053042A"/>
    <w:rsid w:val="00537EC4"/>
    <w:rsid w:val="00547A69"/>
    <w:rsid w:val="0056402A"/>
    <w:rsid w:val="005650A3"/>
    <w:rsid w:val="005B7EBF"/>
    <w:rsid w:val="00603790"/>
    <w:rsid w:val="00663D2D"/>
    <w:rsid w:val="00676125"/>
    <w:rsid w:val="006B126E"/>
    <w:rsid w:val="006F34D2"/>
    <w:rsid w:val="006F34F0"/>
    <w:rsid w:val="006F4E38"/>
    <w:rsid w:val="00751443"/>
    <w:rsid w:val="00757FA2"/>
    <w:rsid w:val="0076127C"/>
    <w:rsid w:val="00774857"/>
    <w:rsid w:val="007C7BFE"/>
    <w:rsid w:val="007D40CE"/>
    <w:rsid w:val="007E6C1A"/>
    <w:rsid w:val="007F7C5D"/>
    <w:rsid w:val="00833322"/>
    <w:rsid w:val="008D14B6"/>
    <w:rsid w:val="008D615D"/>
    <w:rsid w:val="008F58E3"/>
    <w:rsid w:val="009069ED"/>
    <w:rsid w:val="00943ED6"/>
    <w:rsid w:val="00970258"/>
    <w:rsid w:val="0098103D"/>
    <w:rsid w:val="00985DC0"/>
    <w:rsid w:val="009F146A"/>
    <w:rsid w:val="009F7D56"/>
    <w:rsid w:val="00A05232"/>
    <w:rsid w:val="00A15CE1"/>
    <w:rsid w:val="00A17DD0"/>
    <w:rsid w:val="00AA0786"/>
    <w:rsid w:val="00AB402F"/>
    <w:rsid w:val="00AC400A"/>
    <w:rsid w:val="00B04906"/>
    <w:rsid w:val="00B215C9"/>
    <w:rsid w:val="00B3194C"/>
    <w:rsid w:val="00B33623"/>
    <w:rsid w:val="00B377F9"/>
    <w:rsid w:val="00B72214"/>
    <w:rsid w:val="00B91A13"/>
    <w:rsid w:val="00BA2FAE"/>
    <w:rsid w:val="00C16775"/>
    <w:rsid w:val="00C71AF0"/>
    <w:rsid w:val="00C84A40"/>
    <w:rsid w:val="00CC4B50"/>
    <w:rsid w:val="00D23116"/>
    <w:rsid w:val="00D46DE8"/>
    <w:rsid w:val="00DE780A"/>
    <w:rsid w:val="00DF22C9"/>
    <w:rsid w:val="00DF398A"/>
    <w:rsid w:val="00E05630"/>
    <w:rsid w:val="00E229A5"/>
    <w:rsid w:val="00E45EE3"/>
    <w:rsid w:val="00E568CA"/>
    <w:rsid w:val="00E84761"/>
    <w:rsid w:val="00E85EDD"/>
    <w:rsid w:val="00EA47B5"/>
    <w:rsid w:val="00ED2B95"/>
    <w:rsid w:val="00EE1BB9"/>
    <w:rsid w:val="00EF5B42"/>
    <w:rsid w:val="00F00D01"/>
    <w:rsid w:val="00F0649D"/>
    <w:rsid w:val="00F15169"/>
    <w:rsid w:val="00F514ED"/>
    <w:rsid w:val="00F52FDE"/>
    <w:rsid w:val="00F6662A"/>
    <w:rsid w:val="00F82E1E"/>
    <w:rsid w:val="00FB5291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316C"/>
  <w15:chartTrackingRefBased/>
  <w15:docId w15:val="{86AB0B69-9C0E-4FB7-BFA6-373E92C6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EC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75C4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75C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E0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C4B50"/>
  </w:style>
  <w:style w:type="paragraph" w:styleId="Header">
    <w:name w:val="header"/>
    <w:basedOn w:val="Normal"/>
    <w:link w:val="HeaderChar"/>
    <w:uiPriority w:val="99"/>
    <w:unhideWhenUsed/>
    <w:rsid w:val="00CC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50"/>
  </w:style>
  <w:style w:type="paragraph" w:styleId="Footer">
    <w:name w:val="footer"/>
    <w:basedOn w:val="Normal"/>
    <w:link w:val="FooterChar"/>
    <w:uiPriority w:val="99"/>
    <w:unhideWhenUsed/>
    <w:rsid w:val="00CC4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265/efmz-2t6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0FA7-CF94-4EF7-B8D0-2D0E0AD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Storrie, Luke</dc:creator>
  <cp:keywords/>
  <dc:description/>
  <cp:lastModifiedBy>Storrie, Luke</cp:lastModifiedBy>
  <cp:revision>30</cp:revision>
  <dcterms:created xsi:type="dcterms:W3CDTF">2021-05-26T13:59:00Z</dcterms:created>
  <dcterms:modified xsi:type="dcterms:W3CDTF">2021-12-02T18:20:00Z</dcterms:modified>
</cp:coreProperties>
</file>