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78A77F9" w14:textId="4AE677DF" w:rsidR="00F149F4" w:rsidRDefault="0008288D" w:rsidP="005B293B">
      <w:pPr>
        <w:spacing w:after="103" w:line="259" w:lineRule="auto"/>
        <w:ind w:left="0" w:firstLine="0"/>
        <w:jc w:val="left"/>
      </w:pPr>
      <w:r>
        <w:rPr>
          <w:b/>
          <w:sz w:val="36"/>
        </w:rPr>
        <w:t xml:space="preserve">Why blood group A individuals are at risk whereas blood group O individuals </w:t>
      </w:r>
      <w:r w:rsidR="00685EEF">
        <w:rPr>
          <w:b/>
          <w:sz w:val="36"/>
        </w:rPr>
        <w:t>are</w:t>
      </w:r>
      <w:r>
        <w:rPr>
          <w:b/>
          <w:sz w:val="36"/>
        </w:rPr>
        <w:t xml:space="preserve"> protected from SARS-CoV-2 (COVID-19) infection: A hypothesis regarding how the virus invades the human body via ABO(H) blood group-determining carbohydrates </w:t>
      </w:r>
      <w:r w:rsidR="00625335">
        <w:rPr>
          <w:b/>
          <w:sz w:val="36"/>
        </w:rPr>
        <w:t xml:space="preserve"> </w:t>
      </w:r>
    </w:p>
    <w:p w14:paraId="76295EB3" w14:textId="77777777" w:rsidR="00F149F4" w:rsidRDefault="0008288D">
      <w:pPr>
        <w:spacing w:after="0" w:line="259" w:lineRule="auto"/>
        <w:ind w:left="0" w:firstLine="0"/>
        <w:jc w:val="left"/>
      </w:pPr>
      <w:r>
        <w:rPr>
          <w:sz w:val="32"/>
        </w:rPr>
        <w:t xml:space="preserve"> </w:t>
      </w:r>
    </w:p>
    <w:p w14:paraId="2C22F1AA" w14:textId="77777777" w:rsidR="00F149F4" w:rsidRDefault="0008288D">
      <w:pPr>
        <w:spacing w:after="87" w:line="259" w:lineRule="auto"/>
        <w:ind w:left="-5" w:right="2"/>
        <w:jc w:val="left"/>
      </w:pPr>
      <w:r>
        <w:t xml:space="preserve">Peter Arend </w:t>
      </w:r>
      <w:r>
        <w:rPr>
          <w:vertAlign w:val="superscript"/>
        </w:rPr>
        <w:t xml:space="preserve">a, b, c* </w:t>
      </w:r>
      <w:r>
        <w:rPr>
          <w:color w:val="494A4C"/>
        </w:rPr>
        <w:t xml:space="preserve"> </w:t>
      </w:r>
    </w:p>
    <w:p w14:paraId="539DCB51" w14:textId="77777777" w:rsidR="00F149F4" w:rsidRDefault="0008288D">
      <w:pPr>
        <w:spacing w:after="31" w:line="259" w:lineRule="auto"/>
        <w:ind w:left="0" w:firstLine="0"/>
        <w:jc w:val="left"/>
      </w:pPr>
      <w:r>
        <w:rPr>
          <w:color w:val="00B050"/>
        </w:rPr>
        <w:t>ORCID ID</w:t>
      </w:r>
      <w:r>
        <w:rPr>
          <w:color w:val="494A4C"/>
        </w:rPr>
        <w:t>: https://orcid.org/0000-0002-4000-4167</w:t>
      </w:r>
      <w:r>
        <w:rPr>
          <w:vertAlign w:val="superscript"/>
        </w:rPr>
        <w:t xml:space="preserve"> </w:t>
      </w:r>
    </w:p>
    <w:p w14:paraId="678DC3FB" w14:textId="77777777" w:rsidR="00F149F4" w:rsidRDefault="0008288D">
      <w:pPr>
        <w:spacing w:after="9" w:line="259" w:lineRule="auto"/>
        <w:ind w:left="0" w:firstLine="0"/>
        <w:jc w:val="left"/>
      </w:pPr>
      <w:r>
        <w:t xml:space="preserve"> </w:t>
      </w:r>
    </w:p>
    <w:p w14:paraId="44A4610E" w14:textId="77777777" w:rsidR="00F149F4" w:rsidRDefault="0008288D">
      <w:pPr>
        <w:spacing w:line="282" w:lineRule="auto"/>
        <w:ind w:right="458"/>
      </w:pPr>
      <w:proofErr w:type="spellStart"/>
      <w:r>
        <w:rPr>
          <w:vertAlign w:val="superscript"/>
        </w:rPr>
        <w:t>a</w:t>
      </w:r>
      <w:r>
        <w:t>Philipps</w:t>
      </w:r>
      <w:proofErr w:type="spellEnd"/>
      <w:r>
        <w:t xml:space="preserve"> University Marburg, Department of Medicine, D-355 Marburg, </w:t>
      </w:r>
      <w:proofErr w:type="spellStart"/>
      <w:r>
        <w:t>Lahn</w:t>
      </w:r>
      <w:proofErr w:type="spellEnd"/>
      <w:r>
        <w:t xml:space="preserve">, Germany. </w:t>
      </w:r>
      <w:proofErr w:type="spellStart"/>
      <w:r>
        <w:rPr>
          <w:vertAlign w:val="superscript"/>
        </w:rPr>
        <w:t>b</w:t>
      </w:r>
      <w:r>
        <w:t>Gastroenterology</w:t>
      </w:r>
      <w:proofErr w:type="spellEnd"/>
      <w:r>
        <w:t xml:space="preserve"> Research Laboratory, University of Iowa, Carver College of Medicine, Iowa City, IA 52242, USA. </w:t>
      </w:r>
    </w:p>
    <w:p w14:paraId="712C2D00" w14:textId="77777777" w:rsidR="00F149F4" w:rsidRDefault="0008288D">
      <w:pPr>
        <w:spacing w:after="5" w:line="286" w:lineRule="auto"/>
        <w:ind w:left="-5" w:right="2"/>
        <w:jc w:val="left"/>
      </w:pPr>
      <w:proofErr w:type="spellStart"/>
      <w:r>
        <w:rPr>
          <w:vertAlign w:val="superscript"/>
        </w:rPr>
        <w:t>c</w:t>
      </w:r>
      <w:r>
        <w:t>Research</w:t>
      </w:r>
      <w:proofErr w:type="spellEnd"/>
      <w:r>
        <w:t xml:space="preserve"> Laboratories, </w:t>
      </w:r>
      <w:proofErr w:type="spellStart"/>
      <w:r>
        <w:t>Chemie</w:t>
      </w:r>
      <w:proofErr w:type="spellEnd"/>
      <w:r>
        <w:t xml:space="preserve"> </w:t>
      </w:r>
      <w:proofErr w:type="spellStart"/>
      <w:r>
        <w:t>Grünenthal</w:t>
      </w:r>
      <w:proofErr w:type="spellEnd"/>
      <w:r>
        <w:t xml:space="preserve"> GmbH, D-52062 Aachen, Germany. </w:t>
      </w:r>
    </w:p>
    <w:p w14:paraId="46C74DD0" w14:textId="77777777" w:rsidR="00F149F4" w:rsidRDefault="0008288D">
      <w:pPr>
        <w:spacing w:after="18" w:line="259" w:lineRule="auto"/>
        <w:ind w:left="0" w:firstLine="0"/>
        <w:jc w:val="left"/>
      </w:pPr>
      <w:r>
        <w:t xml:space="preserve"> </w:t>
      </w:r>
    </w:p>
    <w:p w14:paraId="6701054B" w14:textId="77777777" w:rsidR="00F149F4" w:rsidRDefault="0008288D">
      <w:pPr>
        <w:spacing w:after="0" w:line="259" w:lineRule="auto"/>
        <w:ind w:left="0" w:firstLine="0"/>
        <w:jc w:val="left"/>
      </w:pPr>
      <w:r>
        <w:rPr>
          <w:b/>
        </w:rPr>
        <w:t xml:space="preserve"> </w:t>
      </w:r>
    </w:p>
    <w:p w14:paraId="2D34FB31" w14:textId="77777777" w:rsidR="00F149F4" w:rsidRDefault="0008288D">
      <w:pPr>
        <w:spacing w:after="0" w:line="259" w:lineRule="auto"/>
        <w:ind w:left="0" w:firstLine="0"/>
        <w:jc w:val="left"/>
      </w:pPr>
      <w:r>
        <w:rPr>
          <w:b/>
        </w:rPr>
        <w:t xml:space="preserve"> </w:t>
      </w:r>
    </w:p>
    <w:p w14:paraId="649564AF" w14:textId="77777777" w:rsidR="00F149F4" w:rsidRDefault="0008288D" w:rsidP="005B293B">
      <w:pPr>
        <w:spacing w:after="96" w:line="259" w:lineRule="auto"/>
        <w:ind w:left="0" w:firstLine="0"/>
        <w:jc w:val="left"/>
      </w:pPr>
      <w:r>
        <w:rPr>
          <w:sz w:val="18"/>
        </w:rPr>
        <w:t xml:space="preserve"> </w:t>
      </w:r>
    </w:p>
    <w:p w14:paraId="52447E44" w14:textId="77777777" w:rsidR="00F149F4" w:rsidRDefault="0008288D">
      <w:pPr>
        <w:spacing w:after="96" w:line="259" w:lineRule="auto"/>
        <w:ind w:left="0" w:firstLine="0"/>
        <w:jc w:val="left"/>
      </w:pPr>
      <w:r>
        <w:rPr>
          <w:sz w:val="18"/>
        </w:rPr>
        <w:t xml:space="preserve"> </w:t>
      </w:r>
    </w:p>
    <w:p w14:paraId="28ACD7BD" w14:textId="77777777" w:rsidR="00F149F4" w:rsidRDefault="0008288D">
      <w:pPr>
        <w:spacing w:after="96" w:line="259" w:lineRule="auto"/>
        <w:ind w:left="0" w:firstLine="0"/>
        <w:jc w:val="left"/>
      </w:pPr>
      <w:r>
        <w:rPr>
          <w:sz w:val="18"/>
        </w:rPr>
        <w:t xml:space="preserve"> </w:t>
      </w:r>
    </w:p>
    <w:p w14:paraId="09DD29C2" w14:textId="77777777" w:rsidR="00F149F4" w:rsidRDefault="0008288D">
      <w:pPr>
        <w:spacing w:after="99" w:line="259" w:lineRule="auto"/>
        <w:ind w:left="0" w:firstLine="0"/>
        <w:jc w:val="left"/>
      </w:pPr>
      <w:r>
        <w:rPr>
          <w:sz w:val="18"/>
        </w:rPr>
        <w:t xml:space="preserve"> </w:t>
      </w:r>
    </w:p>
    <w:p w14:paraId="04979E85" w14:textId="77777777" w:rsidR="00F149F4" w:rsidRDefault="0008288D">
      <w:pPr>
        <w:spacing w:after="96" w:line="259" w:lineRule="auto"/>
        <w:ind w:left="0" w:firstLine="0"/>
        <w:jc w:val="left"/>
      </w:pPr>
      <w:r>
        <w:rPr>
          <w:sz w:val="18"/>
        </w:rPr>
        <w:t xml:space="preserve"> </w:t>
      </w:r>
    </w:p>
    <w:p w14:paraId="47A8F9C8" w14:textId="77777777" w:rsidR="00F149F4" w:rsidRDefault="0008288D">
      <w:pPr>
        <w:spacing w:after="97" w:line="259" w:lineRule="auto"/>
        <w:ind w:left="0" w:firstLine="0"/>
        <w:jc w:val="left"/>
      </w:pPr>
      <w:r>
        <w:rPr>
          <w:sz w:val="18"/>
        </w:rPr>
        <w:t xml:space="preserve"> </w:t>
      </w:r>
    </w:p>
    <w:p w14:paraId="3883409A" w14:textId="77777777" w:rsidR="00F149F4" w:rsidRDefault="0008288D">
      <w:pPr>
        <w:spacing w:after="96" w:line="259" w:lineRule="auto"/>
        <w:ind w:left="0" w:firstLine="0"/>
        <w:jc w:val="left"/>
      </w:pPr>
      <w:r>
        <w:rPr>
          <w:sz w:val="18"/>
        </w:rPr>
        <w:t xml:space="preserve"> </w:t>
      </w:r>
    </w:p>
    <w:p w14:paraId="1E5230B5" w14:textId="77777777" w:rsidR="00F149F4" w:rsidRDefault="0008288D">
      <w:pPr>
        <w:spacing w:after="96" w:line="259" w:lineRule="auto"/>
        <w:ind w:left="0" w:firstLine="0"/>
        <w:jc w:val="left"/>
      </w:pPr>
      <w:r>
        <w:rPr>
          <w:sz w:val="18"/>
        </w:rPr>
        <w:t xml:space="preserve"> </w:t>
      </w:r>
    </w:p>
    <w:p w14:paraId="4AD8606F" w14:textId="75A1B45A" w:rsidR="00F149F4" w:rsidRDefault="0008288D" w:rsidP="009B7D4D">
      <w:pPr>
        <w:spacing w:after="96" w:line="259" w:lineRule="auto"/>
        <w:ind w:left="0" w:firstLine="0"/>
        <w:jc w:val="left"/>
      </w:pPr>
      <w:r>
        <w:rPr>
          <w:sz w:val="18"/>
        </w:rPr>
        <w:t xml:space="preserve"> </w:t>
      </w:r>
    </w:p>
    <w:p w14:paraId="5790CA1E" w14:textId="68A6D09D" w:rsidR="009B7D4D" w:rsidRDefault="009B7D4D" w:rsidP="009B7D4D">
      <w:pPr>
        <w:spacing w:after="96" w:line="259" w:lineRule="auto"/>
        <w:ind w:left="0" w:firstLine="0"/>
        <w:jc w:val="left"/>
      </w:pPr>
    </w:p>
    <w:p w14:paraId="629E1091" w14:textId="77777777" w:rsidR="009B7D4D" w:rsidRDefault="009B7D4D" w:rsidP="009B7D4D">
      <w:pPr>
        <w:spacing w:after="96" w:line="259" w:lineRule="auto"/>
        <w:ind w:left="0" w:firstLine="0"/>
        <w:jc w:val="left"/>
      </w:pPr>
    </w:p>
    <w:p w14:paraId="69F85E2F" w14:textId="77777777" w:rsidR="00F149F4" w:rsidRDefault="0008288D">
      <w:pPr>
        <w:spacing w:after="183" w:line="259" w:lineRule="auto"/>
        <w:ind w:left="0" w:firstLine="0"/>
        <w:jc w:val="left"/>
      </w:pPr>
      <w:r>
        <w:rPr>
          <w:sz w:val="18"/>
        </w:rPr>
        <w:t xml:space="preserve"> </w:t>
      </w:r>
    </w:p>
    <w:p w14:paraId="7842256F" w14:textId="77777777" w:rsidR="005B293B" w:rsidRDefault="005B293B">
      <w:pPr>
        <w:spacing w:line="242" w:lineRule="auto"/>
        <w:ind w:right="293"/>
        <w:rPr>
          <w:vertAlign w:val="superscript"/>
        </w:rPr>
      </w:pPr>
    </w:p>
    <w:p w14:paraId="1CA316E7" w14:textId="77777777" w:rsidR="00F149F4" w:rsidRDefault="0008288D">
      <w:pPr>
        <w:spacing w:line="242" w:lineRule="auto"/>
        <w:ind w:right="293"/>
      </w:pPr>
      <w:r>
        <w:rPr>
          <w:vertAlign w:val="superscript"/>
        </w:rPr>
        <w:t>*</w:t>
      </w:r>
      <w:r>
        <w:t xml:space="preserve">Correspondence to: Dr. Peter Arend, Am </w:t>
      </w:r>
      <w:proofErr w:type="spellStart"/>
      <w:r>
        <w:t>Oberen</w:t>
      </w:r>
      <w:proofErr w:type="spellEnd"/>
      <w:r>
        <w:t xml:space="preserve"> </w:t>
      </w:r>
      <w:proofErr w:type="spellStart"/>
      <w:r>
        <w:t>Stötchen</w:t>
      </w:r>
      <w:proofErr w:type="spellEnd"/>
      <w:r>
        <w:t xml:space="preserve"> 14, 57462 </w:t>
      </w:r>
      <w:proofErr w:type="spellStart"/>
      <w:r>
        <w:t>Olpe</w:t>
      </w:r>
      <w:proofErr w:type="spellEnd"/>
      <w:r>
        <w:t xml:space="preserve">, Germany. E-mail: parend@t-online.de </w:t>
      </w:r>
      <w:r>
        <w:rPr>
          <w:vertAlign w:val="superscript"/>
        </w:rPr>
        <w:t>a, b, c</w:t>
      </w:r>
      <w:r>
        <w:t xml:space="preserve"> where the cited experiments of the author were performed.</w:t>
      </w:r>
      <w:r>
        <w:rPr>
          <w:b/>
        </w:rPr>
        <w:t xml:space="preserve">  </w:t>
      </w:r>
    </w:p>
    <w:p w14:paraId="77421335" w14:textId="40B05C59" w:rsidR="00B362D8" w:rsidRPr="00520072" w:rsidRDefault="00B362D8" w:rsidP="005B293B">
      <w:pPr>
        <w:spacing w:after="151" w:line="259" w:lineRule="auto"/>
        <w:ind w:left="0" w:right="-170" w:firstLine="0"/>
        <w:jc w:val="left"/>
        <w:rPr>
          <w:sz w:val="40"/>
          <w:szCs w:val="40"/>
        </w:rPr>
      </w:pPr>
      <w:r>
        <w:rPr>
          <w:b/>
        </w:rPr>
        <w:lastRenderedPageBreak/>
        <w:t xml:space="preserve">                                      </w:t>
      </w:r>
      <w:r w:rsidRPr="00520072">
        <w:rPr>
          <w:sz w:val="40"/>
          <w:szCs w:val="40"/>
        </w:rPr>
        <w:t>Graphical abstract</w:t>
      </w:r>
    </w:p>
    <w:p w14:paraId="21962A62" w14:textId="16972D45" w:rsidR="00393495" w:rsidRPr="00B362D8" w:rsidRDefault="00393495" w:rsidP="005B293B">
      <w:pPr>
        <w:spacing w:after="151" w:line="259" w:lineRule="auto"/>
        <w:ind w:left="0" w:right="-170" w:firstLine="0"/>
        <w:jc w:val="left"/>
        <w:rPr>
          <w:b/>
          <w:sz w:val="40"/>
          <w:szCs w:val="40"/>
        </w:rPr>
      </w:pPr>
      <w:r>
        <w:rPr>
          <w:b/>
          <w:sz w:val="40"/>
          <w:szCs w:val="40"/>
        </w:rPr>
        <w:t>________________________________________</w:t>
      </w:r>
    </w:p>
    <w:p w14:paraId="24092208" w14:textId="77777777" w:rsidR="00B362D8" w:rsidRDefault="00B362D8" w:rsidP="005B293B">
      <w:pPr>
        <w:spacing w:after="151" w:line="259" w:lineRule="auto"/>
        <w:ind w:left="0" w:right="-170" w:firstLine="0"/>
        <w:jc w:val="left"/>
        <w:rPr>
          <w:b/>
        </w:rPr>
      </w:pPr>
    </w:p>
    <w:p w14:paraId="68270F09" w14:textId="77777777" w:rsidR="00B362D8" w:rsidRDefault="00B362D8" w:rsidP="005B293B">
      <w:pPr>
        <w:spacing w:after="151" w:line="259" w:lineRule="auto"/>
        <w:ind w:left="0" w:right="-170" w:firstLine="0"/>
        <w:jc w:val="left"/>
        <w:rPr>
          <w:b/>
        </w:rPr>
      </w:pPr>
    </w:p>
    <w:p w14:paraId="5D603A1A" w14:textId="619BA174" w:rsidR="00B362D8" w:rsidRDefault="00B362D8" w:rsidP="005B293B">
      <w:pPr>
        <w:spacing w:after="151" w:line="259" w:lineRule="auto"/>
        <w:ind w:left="0" w:right="-170" w:firstLine="0"/>
        <w:jc w:val="left"/>
        <w:rPr>
          <w:b/>
        </w:rPr>
      </w:pPr>
      <w:r w:rsidRPr="006C4256">
        <w:rPr>
          <w:noProof/>
        </w:rPr>
        <w:drawing>
          <wp:anchor distT="0" distB="0" distL="114300" distR="114300" simplePos="0" relativeHeight="251661312" behindDoc="0" locked="0" layoutInCell="1" allowOverlap="1" wp14:anchorId="324DB575" wp14:editId="74685293">
            <wp:simplePos x="0" y="0"/>
            <wp:positionH relativeFrom="column">
              <wp:posOffset>-635635</wp:posOffset>
            </wp:positionH>
            <wp:positionV relativeFrom="paragraph">
              <wp:posOffset>160020</wp:posOffset>
            </wp:positionV>
            <wp:extent cx="7171200" cy="7034400"/>
            <wp:effectExtent l="0" t="0" r="0" b="0"/>
            <wp:wrapNone/>
            <wp:docPr id="2" name="Grafik 2" descr="C:\Users\Arend\Documents\FigTesthzoioioiuzo.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end\Documents\FigTesthzoioioiuzo.tiff"/>
                    <pic:cNvPicPr>
                      <a:picLocks noChangeAspect="1" noChangeArrowheads="1"/>
                    </pic:cNvPicPr>
                  </pic:nvPicPr>
                  <pic:blipFill rotWithShape="1">
                    <a:blip r:embed="rId7">
                      <a:extLst>
                        <a:ext uri="{28A0092B-C50C-407E-A947-70E740481C1C}">
                          <a14:useLocalDpi xmlns:a14="http://schemas.microsoft.com/office/drawing/2010/main" val="0"/>
                        </a:ext>
                      </a:extLst>
                    </a:blip>
                    <a:srcRect t="13337" b="10835"/>
                    <a:stretch/>
                  </pic:blipFill>
                  <pic:spPr bwMode="auto">
                    <a:xfrm>
                      <a:off x="0" y="0"/>
                      <a:ext cx="7171200" cy="7034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DD618B" w14:textId="2ADD10DE" w:rsidR="00B362D8" w:rsidRDefault="00B362D8" w:rsidP="005B293B">
      <w:pPr>
        <w:spacing w:after="151" w:line="259" w:lineRule="auto"/>
        <w:ind w:left="0" w:right="-170" w:firstLine="0"/>
        <w:jc w:val="left"/>
        <w:rPr>
          <w:b/>
        </w:rPr>
      </w:pPr>
    </w:p>
    <w:p w14:paraId="473CF19A" w14:textId="0A79FF4E" w:rsidR="00B362D8" w:rsidRDefault="00B362D8" w:rsidP="005B293B">
      <w:pPr>
        <w:spacing w:after="151" w:line="259" w:lineRule="auto"/>
        <w:ind w:left="0" w:right="-170" w:firstLine="0"/>
        <w:jc w:val="left"/>
        <w:rPr>
          <w:b/>
        </w:rPr>
      </w:pPr>
    </w:p>
    <w:p w14:paraId="097F736F" w14:textId="078DAFBD" w:rsidR="00B362D8" w:rsidRDefault="00B362D8" w:rsidP="005B293B">
      <w:pPr>
        <w:spacing w:after="151" w:line="259" w:lineRule="auto"/>
        <w:ind w:left="0" w:right="-170" w:firstLine="0"/>
        <w:jc w:val="left"/>
        <w:rPr>
          <w:b/>
        </w:rPr>
      </w:pPr>
    </w:p>
    <w:p w14:paraId="2B35A174" w14:textId="77777777" w:rsidR="00B362D8" w:rsidRDefault="00B362D8" w:rsidP="005B293B">
      <w:pPr>
        <w:spacing w:after="151" w:line="259" w:lineRule="auto"/>
        <w:ind w:left="0" w:right="-170" w:firstLine="0"/>
        <w:jc w:val="left"/>
        <w:rPr>
          <w:b/>
        </w:rPr>
      </w:pPr>
    </w:p>
    <w:p w14:paraId="14C8D3CA" w14:textId="77777777" w:rsidR="00B362D8" w:rsidRDefault="00B362D8" w:rsidP="005B293B">
      <w:pPr>
        <w:spacing w:after="151" w:line="259" w:lineRule="auto"/>
        <w:ind w:left="0" w:right="-170" w:firstLine="0"/>
        <w:jc w:val="left"/>
        <w:rPr>
          <w:b/>
        </w:rPr>
      </w:pPr>
    </w:p>
    <w:p w14:paraId="61419C39" w14:textId="77777777" w:rsidR="00B362D8" w:rsidRDefault="00B362D8" w:rsidP="005B293B">
      <w:pPr>
        <w:spacing w:after="151" w:line="259" w:lineRule="auto"/>
        <w:ind w:left="0" w:right="-170" w:firstLine="0"/>
        <w:jc w:val="left"/>
        <w:rPr>
          <w:b/>
        </w:rPr>
      </w:pPr>
    </w:p>
    <w:p w14:paraId="541A66BB" w14:textId="77777777" w:rsidR="00B362D8" w:rsidRDefault="00B362D8" w:rsidP="005B293B">
      <w:pPr>
        <w:spacing w:after="151" w:line="259" w:lineRule="auto"/>
        <w:ind w:left="0" w:right="-170" w:firstLine="0"/>
        <w:jc w:val="left"/>
        <w:rPr>
          <w:b/>
        </w:rPr>
      </w:pPr>
    </w:p>
    <w:p w14:paraId="2BE042B0" w14:textId="77777777" w:rsidR="00B362D8" w:rsidRDefault="00B362D8" w:rsidP="005B293B">
      <w:pPr>
        <w:spacing w:after="151" w:line="259" w:lineRule="auto"/>
        <w:ind w:left="0" w:right="-170" w:firstLine="0"/>
        <w:jc w:val="left"/>
        <w:rPr>
          <w:b/>
        </w:rPr>
      </w:pPr>
    </w:p>
    <w:p w14:paraId="097DCFB2" w14:textId="77777777" w:rsidR="00B362D8" w:rsidRDefault="00B362D8" w:rsidP="005B293B">
      <w:pPr>
        <w:spacing w:after="151" w:line="259" w:lineRule="auto"/>
        <w:ind w:left="0" w:right="-170" w:firstLine="0"/>
        <w:jc w:val="left"/>
        <w:rPr>
          <w:b/>
        </w:rPr>
      </w:pPr>
    </w:p>
    <w:p w14:paraId="1A14BCE7" w14:textId="77777777" w:rsidR="00B362D8" w:rsidRDefault="00B362D8" w:rsidP="005B293B">
      <w:pPr>
        <w:spacing w:after="151" w:line="259" w:lineRule="auto"/>
        <w:ind w:left="0" w:right="-170" w:firstLine="0"/>
        <w:jc w:val="left"/>
        <w:rPr>
          <w:b/>
        </w:rPr>
      </w:pPr>
    </w:p>
    <w:p w14:paraId="1270CECF" w14:textId="77777777" w:rsidR="00B362D8" w:rsidRDefault="00B362D8" w:rsidP="005B293B">
      <w:pPr>
        <w:spacing w:after="151" w:line="259" w:lineRule="auto"/>
        <w:ind w:left="0" w:right="-170" w:firstLine="0"/>
        <w:jc w:val="left"/>
        <w:rPr>
          <w:b/>
        </w:rPr>
      </w:pPr>
    </w:p>
    <w:p w14:paraId="6DD1FF91" w14:textId="77777777" w:rsidR="00B362D8" w:rsidRDefault="00B362D8" w:rsidP="005B293B">
      <w:pPr>
        <w:spacing w:after="151" w:line="259" w:lineRule="auto"/>
        <w:ind w:left="0" w:right="-170" w:firstLine="0"/>
        <w:jc w:val="left"/>
        <w:rPr>
          <w:b/>
        </w:rPr>
      </w:pPr>
    </w:p>
    <w:p w14:paraId="202AEDE8" w14:textId="77777777" w:rsidR="00B362D8" w:rsidRDefault="00B362D8" w:rsidP="005B293B">
      <w:pPr>
        <w:spacing w:after="151" w:line="259" w:lineRule="auto"/>
        <w:ind w:left="0" w:right="-170" w:firstLine="0"/>
        <w:jc w:val="left"/>
        <w:rPr>
          <w:b/>
        </w:rPr>
      </w:pPr>
    </w:p>
    <w:p w14:paraId="4C6BD7E6" w14:textId="77777777" w:rsidR="00B362D8" w:rsidRDefault="00B362D8" w:rsidP="005B293B">
      <w:pPr>
        <w:spacing w:after="151" w:line="259" w:lineRule="auto"/>
        <w:ind w:left="0" w:right="-170" w:firstLine="0"/>
        <w:jc w:val="left"/>
        <w:rPr>
          <w:b/>
        </w:rPr>
      </w:pPr>
    </w:p>
    <w:p w14:paraId="09518983" w14:textId="77777777" w:rsidR="00B362D8" w:rsidRDefault="00B362D8" w:rsidP="005B293B">
      <w:pPr>
        <w:spacing w:after="151" w:line="259" w:lineRule="auto"/>
        <w:ind w:left="0" w:right="-170" w:firstLine="0"/>
        <w:jc w:val="left"/>
        <w:rPr>
          <w:b/>
        </w:rPr>
      </w:pPr>
    </w:p>
    <w:p w14:paraId="7E47DC51" w14:textId="77777777" w:rsidR="00B362D8" w:rsidRDefault="00B362D8" w:rsidP="005B293B">
      <w:pPr>
        <w:spacing w:after="151" w:line="259" w:lineRule="auto"/>
        <w:ind w:left="0" w:right="-170" w:firstLine="0"/>
        <w:jc w:val="left"/>
        <w:rPr>
          <w:b/>
        </w:rPr>
      </w:pPr>
    </w:p>
    <w:p w14:paraId="04FA548E" w14:textId="77777777" w:rsidR="00B362D8" w:rsidRDefault="00B362D8" w:rsidP="005B293B">
      <w:pPr>
        <w:spacing w:after="151" w:line="259" w:lineRule="auto"/>
        <w:ind w:left="0" w:right="-170" w:firstLine="0"/>
        <w:jc w:val="left"/>
        <w:rPr>
          <w:b/>
        </w:rPr>
      </w:pPr>
    </w:p>
    <w:p w14:paraId="64E9099D" w14:textId="77777777" w:rsidR="00B362D8" w:rsidRDefault="00B362D8" w:rsidP="005B293B">
      <w:pPr>
        <w:spacing w:after="151" w:line="259" w:lineRule="auto"/>
        <w:ind w:left="0" w:right="-170" w:firstLine="0"/>
        <w:jc w:val="left"/>
        <w:rPr>
          <w:b/>
        </w:rPr>
      </w:pPr>
    </w:p>
    <w:p w14:paraId="5E758F30" w14:textId="77777777" w:rsidR="00B362D8" w:rsidRDefault="00B362D8" w:rsidP="005B293B">
      <w:pPr>
        <w:spacing w:after="151" w:line="259" w:lineRule="auto"/>
        <w:ind w:left="0" w:right="-170" w:firstLine="0"/>
        <w:jc w:val="left"/>
        <w:rPr>
          <w:b/>
        </w:rPr>
      </w:pPr>
    </w:p>
    <w:p w14:paraId="1306C2C4" w14:textId="77777777" w:rsidR="00B362D8" w:rsidRDefault="00B362D8" w:rsidP="005B293B">
      <w:pPr>
        <w:spacing w:after="151" w:line="259" w:lineRule="auto"/>
        <w:ind w:left="0" w:right="-170" w:firstLine="0"/>
        <w:jc w:val="left"/>
        <w:rPr>
          <w:b/>
        </w:rPr>
      </w:pPr>
    </w:p>
    <w:p w14:paraId="665881B7" w14:textId="77777777" w:rsidR="00B362D8" w:rsidRDefault="00B362D8" w:rsidP="005B293B">
      <w:pPr>
        <w:spacing w:after="151" w:line="259" w:lineRule="auto"/>
        <w:ind w:left="0" w:right="-170" w:firstLine="0"/>
        <w:jc w:val="left"/>
        <w:rPr>
          <w:b/>
        </w:rPr>
      </w:pPr>
    </w:p>
    <w:p w14:paraId="14DBD66B" w14:textId="77777777" w:rsidR="00B362D8" w:rsidRDefault="00B362D8" w:rsidP="005B293B">
      <w:pPr>
        <w:spacing w:after="151" w:line="259" w:lineRule="auto"/>
        <w:ind w:left="0" w:right="-170" w:firstLine="0"/>
        <w:jc w:val="left"/>
        <w:rPr>
          <w:b/>
        </w:rPr>
      </w:pPr>
    </w:p>
    <w:p w14:paraId="0F25845A" w14:textId="77777777" w:rsidR="00B362D8" w:rsidRDefault="00B362D8" w:rsidP="005B293B">
      <w:pPr>
        <w:spacing w:after="151" w:line="259" w:lineRule="auto"/>
        <w:ind w:left="0" w:right="-170" w:firstLine="0"/>
        <w:jc w:val="left"/>
        <w:rPr>
          <w:b/>
        </w:rPr>
      </w:pPr>
    </w:p>
    <w:p w14:paraId="37B24DE5" w14:textId="5C7EB890" w:rsidR="00F149F4" w:rsidRPr="005B293B" w:rsidRDefault="0008288D" w:rsidP="00C05640">
      <w:pPr>
        <w:spacing w:after="151" w:line="259" w:lineRule="auto"/>
        <w:ind w:left="0" w:right="-340" w:firstLine="0"/>
        <w:jc w:val="left"/>
        <w:rPr>
          <w:b/>
        </w:rPr>
      </w:pPr>
      <w:r w:rsidRPr="005B293B">
        <w:rPr>
          <w:b/>
        </w:rPr>
        <w:lastRenderedPageBreak/>
        <w:t xml:space="preserve">Abstract </w:t>
      </w:r>
    </w:p>
    <w:p w14:paraId="4E6329F3" w14:textId="65C60A70" w:rsidR="00F149F4" w:rsidRDefault="0008288D" w:rsidP="00C05640">
      <w:pPr>
        <w:ind w:right="-340"/>
      </w:pPr>
      <w:r>
        <w:t>While the angiotensin converting enzyme 2 (ACE2) protein is defined as the primary severe acute respiratory syndrome coronavirus 2 (SARS-CoV-2) receptor, the viral serine molecule might be mobilized by the host's transmembrane protease serine subtype 2 (TMPRSS2) enzyme from the viral spike (S) protein and hijack the host’s N-acetyl-D</w:t>
      </w:r>
      <w:r w:rsidR="00117B62">
        <w:t>-</w:t>
      </w:r>
      <w:r>
        <w:t>galactosamine (</w:t>
      </w:r>
      <w:proofErr w:type="spellStart"/>
      <w:r>
        <w:t>GalNAc</w:t>
      </w:r>
      <w:proofErr w:type="spellEnd"/>
      <w:r>
        <w:t>) metabolism. The resulting hybrid, serologically A-like/Tn (</w:t>
      </w:r>
      <w:r w:rsidRPr="004F6B3D">
        <w:rPr>
          <w:color w:val="000000" w:themeColor="text1"/>
        </w:rPr>
        <w:t>T</w:t>
      </w:r>
      <w:r w:rsidR="0064040C" w:rsidRPr="004F6B3D">
        <w:rPr>
          <w:color w:val="000000" w:themeColor="text1"/>
        </w:rPr>
        <w:t xml:space="preserve"> </w:t>
      </w:r>
      <w:r w:rsidRPr="004F6B3D">
        <w:rPr>
          <w:color w:val="000000" w:themeColor="text1"/>
        </w:rPr>
        <w:t>nouvelle</w:t>
      </w:r>
      <w:r>
        <w:t xml:space="preserve">) structure potentially acts as a host–pathogen functional molecular bridge. In humans, this intermediate structure will hypothetically be replaced by ABO(H) blood group-specific, mucin-type structures, in the case of infection hybrid epitopes, implicating the phenotypically </w:t>
      </w:r>
      <w:proofErr w:type="spellStart"/>
      <w:r>
        <w:t>glycosidic</w:t>
      </w:r>
      <w:proofErr w:type="spellEnd"/>
      <w:r>
        <w:t xml:space="preserve"> accommodation of plasma proteins. The virus may, by mimicking the synthetic pathways of the ABO(H) blood groups, bind to the cell surfaces of the blood group O(H) by formation of a hybrid H-type antigen as the potential precursor of hybrid non-O blood groups, which does not affect the highly anti-glycan aggressive anti-A and anti-B isoagglutinin activities, exerted by the germline-encoded nonimmune immunoglobulin M (IgM). In the non-O blood groups, which have developed from the H-type antigen, these IgM activities are downregulated by phenotypic glycosylation, while adaptive immunoglobulins might arise in response to the hybrid A and B blood group structures, </w:t>
      </w:r>
      <w:r w:rsidR="009A04F5">
        <w:t xml:space="preserve">bonds between autologous carbohydrates and foreign peptides, </w:t>
      </w:r>
      <w:r>
        <w:t xml:space="preserve">suggesting the exertion of autoreactivity. The non-O blood groups thus become a preferred target for the virus, </w:t>
      </w:r>
      <w:r w:rsidR="00B03699">
        <w:t xml:space="preserve">invading all nucleated cells, which secrete A/B phenotype-determining enzymes, </w:t>
      </w:r>
      <w:r>
        <w:t>whereas blood group O(H) individuals, lacking the</w:t>
      </w:r>
      <w:r w:rsidR="00B03699">
        <w:t>se enzymes</w:t>
      </w:r>
      <w:r>
        <w:t xml:space="preserve"> and binding the virus alone by hybrid H-type antigen formation, have the least molecular contact with the virus and maintain the critical anti-A</w:t>
      </w:r>
      <w:r w:rsidR="006A6EEF">
        <w:t>/Tn</w:t>
      </w:r>
      <w:r>
        <w:t xml:space="preserve"> and anti-B isoagglutinin activities, exerted by the ancestral IgM, which is considered the humoral spearhead of innate immunity.   </w:t>
      </w:r>
    </w:p>
    <w:p w14:paraId="4D4D2E5C" w14:textId="77777777" w:rsidR="00F149F4" w:rsidRDefault="0008288D" w:rsidP="00AA0AC6">
      <w:pPr>
        <w:ind w:left="113" w:right="-680"/>
      </w:pPr>
      <w:r>
        <w:rPr>
          <w:b/>
        </w:rPr>
        <w:lastRenderedPageBreak/>
        <w:t>Keywords</w:t>
      </w:r>
      <w:r>
        <w:t xml:space="preserve">: COVID-19; SARS-CoV-2–human carbohydrate interaction; trans-species glycosylation; A-like/Tn structure; trans-species glycan bridge. </w:t>
      </w:r>
    </w:p>
    <w:p w14:paraId="24F86C85" w14:textId="77777777" w:rsidR="00F149F4" w:rsidRDefault="0008288D" w:rsidP="00AA0AC6">
      <w:pPr>
        <w:spacing w:after="131" w:line="259" w:lineRule="auto"/>
        <w:ind w:left="113" w:right="-680" w:firstLine="0"/>
        <w:jc w:val="left"/>
      </w:pPr>
      <w:r>
        <w:t xml:space="preserve"> </w:t>
      </w:r>
    </w:p>
    <w:p w14:paraId="6967EFC6" w14:textId="77777777" w:rsidR="00F149F4" w:rsidRDefault="0008288D" w:rsidP="00AA0AC6">
      <w:pPr>
        <w:spacing w:after="133" w:line="259" w:lineRule="auto"/>
        <w:ind w:left="113" w:right="-680" w:firstLine="0"/>
        <w:jc w:val="left"/>
      </w:pPr>
      <w:r>
        <w:t xml:space="preserve"> </w:t>
      </w:r>
    </w:p>
    <w:p w14:paraId="53666761" w14:textId="77777777" w:rsidR="00F149F4" w:rsidRDefault="0008288D" w:rsidP="00AA0AC6">
      <w:pPr>
        <w:spacing w:after="131" w:line="259" w:lineRule="auto"/>
        <w:ind w:left="113" w:right="-680" w:firstLine="0"/>
        <w:jc w:val="left"/>
      </w:pPr>
      <w:r>
        <w:t xml:space="preserve"> </w:t>
      </w:r>
    </w:p>
    <w:p w14:paraId="1A98D606" w14:textId="77777777" w:rsidR="00F149F4" w:rsidRDefault="0008288D" w:rsidP="00AA0AC6">
      <w:pPr>
        <w:spacing w:after="131" w:line="259" w:lineRule="auto"/>
        <w:ind w:left="113" w:right="-680" w:firstLine="0"/>
        <w:jc w:val="left"/>
      </w:pPr>
      <w:r>
        <w:t xml:space="preserve"> </w:t>
      </w:r>
    </w:p>
    <w:p w14:paraId="7457593A" w14:textId="77777777" w:rsidR="00F149F4" w:rsidRDefault="0008288D" w:rsidP="00AA0AC6">
      <w:pPr>
        <w:spacing w:after="132" w:line="259" w:lineRule="auto"/>
        <w:ind w:left="113" w:right="-680" w:firstLine="0"/>
        <w:jc w:val="left"/>
      </w:pPr>
      <w:r>
        <w:t xml:space="preserve"> </w:t>
      </w:r>
    </w:p>
    <w:p w14:paraId="5606F6FC" w14:textId="77777777" w:rsidR="00F149F4" w:rsidRDefault="0008288D" w:rsidP="00AA0AC6">
      <w:pPr>
        <w:spacing w:after="131" w:line="259" w:lineRule="auto"/>
        <w:ind w:left="113" w:right="-680" w:firstLine="0"/>
        <w:jc w:val="left"/>
      </w:pPr>
      <w:r>
        <w:t xml:space="preserve"> </w:t>
      </w:r>
    </w:p>
    <w:p w14:paraId="643E178F" w14:textId="77777777" w:rsidR="00F149F4" w:rsidRDefault="0008288D" w:rsidP="00AA0AC6">
      <w:pPr>
        <w:spacing w:after="133" w:line="259" w:lineRule="auto"/>
        <w:ind w:left="113" w:right="-680" w:firstLine="0"/>
        <w:jc w:val="left"/>
      </w:pPr>
      <w:r>
        <w:t xml:space="preserve"> </w:t>
      </w:r>
    </w:p>
    <w:p w14:paraId="3D1AA603" w14:textId="77777777" w:rsidR="00F149F4" w:rsidRDefault="0008288D" w:rsidP="00AA0AC6">
      <w:pPr>
        <w:spacing w:after="131" w:line="259" w:lineRule="auto"/>
        <w:ind w:left="113" w:right="-680" w:firstLine="0"/>
        <w:jc w:val="left"/>
      </w:pPr>
      <w:r>
        <w:t xml:space="preserve"> </w:t>
      </w:r>
    </w:p>
    <w:p w14:paraId="425F8B7E" w14:textId="77777777" w:rsidR="00F149F4" w:rsidRDefault="0008288D" w:rsidP="00AA0AC6">
      <w:pPr>
        <w:spacing w:after="131" w:line="259" w:lineRule="auto"/>
        <w:ind w:left="113" w:right="-680" w:firstLine="0"/>
        <w:jc w:val="left"/>
      </w:pPr>
      <w:r>
        <w:t xml:space="preserve"> </w:t>
      </w:r>
    </w:p>
    <w:p w14:paraId="667748C6" w14:textId="77777777" w:rsidR="00F149F4" w:rsidRDefault="0008288D" w:rsidP="00AA0AC6">
      <w:pPr>
        <w:spacing w:after="131" w:line="259" w:lineRule="auto"/>
        <w:ind w:left="113" w:right="-680" w:firstLine="0"/>
        <w:jc w:val="left"/>
      </w:pPr>
      <w:r>
        <w:t xml:space="preserve"> </w:t>
      </w:r>
    </w:p>
    <w:p w14:paraId="092FB245" w14:textId="77777777" w:rsidR="00F149F4" w:rsidRDefault="0008288D" w:rsidP="00AA0AC6">
      <w:pPr>
        <w:spacing w:after="133" w:line="259" w:lineRule="auto"/>
        <w:ind w:left="113" w:right="-680" w:firstLine="0"/>
        <w:jc w:val="left"/>
      </w:pPr>
      <w:r>
        <w:t xml:space="preserve"> </w:t>
      </w:r>
    </w:p>
    <w:p w14:paraId="05D6A87C" w14:textId="77777777" w:rsidR="00F149F4" w:rsidRDefault="0008288D" w:rsidP="00AA0AC6">
      <w:pPr>
        <w:spacing w:after="131" w:line="259" w:lineRule="auto"/>
        <w:ind w:left="113" w:right="-680" w:firstLine="0"/>
        <w:jc w:val="left"/>
      </w:pPr>
      <w:r>
        <w:t xml:space="preserve"> </w:t>
      </w:r>
    </w:p>
    <w:p w14:paraId="170A3EFE" w14:textId="77777777" w:rsidR="00F149F4" w:rsidRDefault="0008288D" w:rsidP="00AA0AC6">
      <w:pPr>
        <w:spacing w:after="131" w:line="259" w:lineRule="auto"/>
        <w:ind w:left="113" w:right="-680" w:firstLine="0"/>
        <w:jc w:val="left"/>
      </w:pPr>
      <w:r>
        <w:t xml:space="preserve"> </w:t>
      </w:r>
    </w:p>
    <w:p w14:paraId="7F1F549C" w14:textId="77777777" w:rsidR="00F149F4" w:rsidRDefault="0008288D" w:rsidP="00AA0AC6">
      <w:pPr>
        <w:spacing w:after="131" w:line="259" w:lineRule="auto"/>
        <w:ind w:left="113" w:right="-680" w:firstLine="0"/>
        <w:jc w:val="left"/>
      </w:pPr>
      <w:r>
        <w:t xml:space="preserve"> </w:t>
      </w:r>
    </w:p>
    <w:p w14:paraId="6FFDE9AB" w14:textId="77777777" w:rsidR="00F149F4" w:rsidRDefault="0008288D" w:rsidP="00AA0AC6">
      <w:pPr>
        <w:spacing w:after="133" w:line="259" w:lineRule="auto"/>
        <w:ind w:left="113" w:right="-680" w:firstLine="0"/>
        <w:jc w:val="left"/>
      </w:pPr>
      <w:r>
        <w:t xml:space="preserve"> </w:t>
      </w:r>
    </w:p>
    <w:p w14:paraId="7AFA2ED7" w14:textId="77777777" w:rsidR="00F149F4" w:rsidRDefault="0008288D" w:rsidP="00AA0AC6">
      <w:pPr>
        <w:spacing w:after="131" w:line="259" w:lineRule="auto"/>
        <w:ind w:left="113" w:right="-680" w:firstLine="0"/>
        <w:jc w:val="left"/>
      </w:pPr>
      <w:r>
        <w:t xml:space="preserve"> </w:t>
      </w:r>
    </w:p>
    <w:p w14:paraId="6AE3F9B2" w14:textId="77777777" w:rsidR="00F149F4" w:rsidRDefault="0008288D" w:rsidP="00AA0AC6">
      <w:pPr>
        <w:spacing w:after="131" w:line="259" w:lineRule="auto"/>
        <w:ind w:left="113" w:right="-680" w:firstLine="0"/>
        <w:jc w:val="left"/>
      </w:pPr>
      <w:r>
        <w:t xml:space="preserve"> </w:t>
      </w:r>
    </w:p>
    <w:p w14:paraId="46EF0ACA" w14:textId="77777777" w:rsidR="00F149F4" w:rsidRDefault="0008288D" w:rsidP="00AA0AC6">
      <w:pPr>
        <w:spacing w:after="131" w:line="259" w:lineRule="auto"/>
        <w:ind w:left="113" w:right="-680" w:firstLine="0"/>
        <w:jc w:val="left"/>
      </w:pPr>
      <w:r>
        <w:t xml:space="preserve"> </w:t>
      </w:r>
    </w:p>
    <w:p w14:paraId="5B7DBB3A" w14:textId="77777777" w:rsidR="00F149F4" w:rsidRDefault="0008288D" w:rsidP="00AA0AC6">
      <w:pPr>
        <w:spacing w:after="133" w:line="259" w:lineRule="auto"/>
        <w:ind w:left="113" w:right="-680" w:firstLine="0"/>
        <w:jc w:val="left"/>
      </w:pPr>
      <w:r>
        <w:t xml:space="preserve"> </w:t>
      </w:r>
    </w:p>
    <w:p w14:paraId="018483BB" w14:textId="77777777" w:rsidR="00F149F4" w:rsidRDefault="0008288D" w:rsidP="00AA0AC6">
      <w:pPr>
        <w:spacing w:after="132" w:line="259" w:lineRule="auto"/>
        <w:ind w:left="113" w:right="-680" w:firstLine="0"/>
        <w:jc w:val="left"/>
      </w:pPr>
      <w:r>
        <w:t xml:space="preserve"> </w:t>
      </w:r>
    </w:p>
    <w:p w14:paraId="53BE4060" w14:textId="2E844E42" w:rsidR="00F149F4" w:rsidRPr="006A6EEF" w:rsidRDefault="0008288D" w:rsidP="00AA0AC6">
      <w:pPr>
        <w:ind w:left="113" w:right="-680"/>
        <w:rPr>
          <w:i/>
        </w:rPr>
      </w:pPr>
      <w:r w:rsidRPr="006A6EEF">
        <w:rPr>
          <w:i/>
        </w:rPr>
        <w:t>Because the cross-reactive natural anti-A isoagglutinin and the natural anti-Tn (T</w:t>
      </w:r>
      <w:r w:rsidR="004F6B3D" w:rsidRPr="006A6EEF">
        <w:rPr>
          <w:i/>
        </w:rPr>
        <w:t xml:space="preserve"> </w:t>
      </w:r>
      <w:r w:rsidRPr="006A6EEF">
        <w:rPr>
          <w:i/>
        </w:rPr>
        <w:t xml:space="preserve">nouvelle)* reactivities of nonimmune IgM seem serologically to be inseparable, in this manuscript, I use the term anti-A/Tn-reactive IgM for the nonimmune anti-A reactive IgM and the term A-like/Tn for the corresponding ancestral structure.  </w:t>
      </w:r>
    </w:p>
    <w:p w14:paraId="44B8797E" w14:textId="77777777" w:rsidR="00F149F4" w:rsidRPr="006C678C" w:rsidRDefault="0008288D" w:rsidP="00AA0AC6">
      <w:pPr>
        <w:spacing w:after="5" w:line="259" w:lineRule="auto"/>
        <w:ind w:left="113" w:right="-680"/>
        <w:jc w:val="left"/>
        <w:rPr>
          <w:lang w:val="de-DE"/>
        </w:rPr>
      </w:pPr>
      <w:r w:rsidRPr="006A6EEF">
        <w:rPr>
          <w:i/>
          <w:lang w:val="de-DE"/>
        </w:rPr>
        <w:t>*(Moreau R, Dausset J, Bernard J, 1957)</w:t>
      </w:r>
    </w:p>
    <w:p w14:paraId="7419BB2D" w14:textId="77777777" w:rsidR="00F149F4" w:rsidRPr="006C678C" w:rsidRDefault="00F149F4" w:rsidP="00AA0AC6">
      <w:pPr>
        <w:ind w:left="113" w:right="-680"/>
        <w:rPr>
          <w:lang w:val="de-DE"/>
        </w:rPr>
        <w:sectPr w:rsidR="00F149F4" w:rsidRPr="006C678C">
          <w:headerReference w:type="even" r:id="rId8"/>
          <w:headerReference w:type="default" r:id="rId9"/>
          <w:headerReference w:type="first" r:id="rId10"/>
          <w:pgSz w:w="11906" w:h="16838"/>
          <w:pgMar w:top="1144" w:right="2602" w:bottom="1248" w:left="1419" w:header="720" w:footer="720" w:gutter="0"/>
          <w:cols w:space="720"/>
          <w:titlePg/>
        </w:sectPr>
      </w:pPr>
    </w:p>
    <w:p w14:paraId="1A2E967A" w14:textId="77777777" w:rsidR="00F149F4" w:rsidRDefault="0008288D" w:rsidP="00A05BF7">
      <w:pPr>
        <w:pStyle w:val="berschrift1"/>
        <w:spacing w:after="0" w:line="360" w:lineRule="auto"/>
        <w:ind w:left="964" w:right="57"/>
      </w:pPr>
      <w:r>
        <w:lastRenderedPageBreak/>
        <w:t>Introduction</w:t>
      </w:r>
      <w:r>
        <w:rPr>
          <w:b w:val="0"/>
        </w:rPr>
        <w:t xml:space="preserve"> </w:t>
      </w:r>
    </w:p>
    <w:p w14:paraId="1C048007" w14:textId="2889C9A9" w:rsidR="00961399" w:rsidRDefault="0008288D" w:rsidP="00961399">
      <w:pPr>
        <w:spacing w:after="0" w:line="360" w:lineRule="auto"/>
        <w:ind w:left="964" w:right="57"/>
      </w:pPr>
      <w:r w:rsidRPr="006F3641">
        <w:rPr>
          <w:color w:val="auto"/>
          <w:szCs w:val="28"/>
        </w:rPr>
        <w:t xml:space="preserve">Using a translational study, </w:t>
      </w:r>
      <w:proofErr w:type="spellStart"/>
      <w:r w:rsidRPr="006F3641">
        <w:rPr>
          <w:color w:val="auto"/>
          <w:szCs w:val="28"/>
        </w:rPr>
        <w:t>Preece</w:t>
      </w:r>
      <w:proofErr w:type="spellEnd"/>
      <w:r w:rsidRPr="006F3641">
        <w:rPr>
          <w:color w:val="auto"/>
          <w:szCs w:val="28"/>
        </w:rPr>
        <w:t xml:space="preserve"> et al. (2002) revealed how measles viruses undergo specific glycosylation when grown in cells that express blood group A, B, and O(H) antigens. Thus, they probably also demonstrated what occurs in human cells after SARS-CoV-2 infection. In view of the unknown native glycoprotein envelope of SARS-CoV-2, in the current paper I present a hypothesis regarding how infection occurs, which apparently is initiated via a trans-species </w:t>
      </w:r>
      <w:r w:rsidRPr="006F3641">
        <w:rPr>
          <w:i/>
          <w:color w:val="auto"/>
          <w:szCs w:val="28"/>
        </w:rPr>
        <w:t>O</w:t>
      </w:r>
      <w:r w:rsidRPr="006F3641">
        <w:rPr>
          <w:color w:val="auto"/>
          <w:szCs w:val="28"/>
        </w:rPr>
        <w:t xml:space="preserve">-glycosylation. However, </w:t>
      </w:r>
      <w:r w:rsidR="00AA0AC6">
        <w:rPr>
          <w:color w:val="auto"/>
          <w:szCs w:val="28"/>
        </w:rPr>
        <w:t xml:space="preserve">assuming different mechanisms, </w:t>
      </w:r>
      <w:r w:rsidR="009C1BCE">
        <w:rPr>
          <w:color w:val="auto"/>
          <w:szCs w:val="28"/>
        </w:rPr>
        <w:t>adhesion of a pathogen to a host’s cell is not necessarily followed by its entry into this cell</w:t>
      </w:r>
      <w:r w:rsidR="00EB3068">
        <w:rPr>
          <w:color w:val="auto"/>
          <w:szCs w:val="28"/>
        </w:rPr>
        <w:t xml:space="preserve">. </w:t>
      </w:r>
      <w:r w:rsidR="009C1BCE">
        <w:rPr>
          <w:color w:val="auto"/>
          <w:szCs w:val="28"/>
        </w:rPr>
        <w:t xml:space="preserve">Thus, </w:t>
      </w:r>
      <w:r w:rsidRPr="006F3641">
        <w:rPr>
          <w:color w:val="auto"/>
          <w:szCs w:val="28"/>
        </w:rPr>
        <w:t xml:space="preserve">infection does not mean disease, because the invasion of a pathogen does not always lead to symptom expression. Besides innumerable other factors, this phenomenon, which is </w:t>
      </w:r>
      <w:r w:rsidR="00076BE0">
        <w:rPr>
          <w:color w:val="auto"/>
          <w:szCs w:val="28"/>
        </w:rPr>
        <w:t>especially</w:t>
      </w:r>
      <w:r w:rsidR="00076BE0" w:rsidRPr="006F3641">
        <w:rPr>
          <w:color w:val="auto"/>
          <w:szCs w:val="28"/>
        </w:rPr>
        <w:t xml:space="preserve"> </w:t>
      </w:r>
      <w:r w:rsidRPr="006F3641">
        <w:rPr>
          <w:color w:val="auto"/>
          <w:szCs w:val="28"/>
        </w:rPr>
        <w:t xml:space="preserve">observed in cases of the human coronavirus </w:t>
      </w:r>
      <w:r w:rsidR="00625335">
        <w:rPr>
          <w:color w:val="auto"/>
          <w:szCs w:val="28"/>
        </w:rPr>
        <w:t>infections</w:t>
      </w:r>
      <w:r w:rsidRPr="006F3641">
        <w:rPr>
          <w:color w:val="auto"/>
          <w:szCs w:val="28"/>
        </w:rPr>
        <w:t xml:space="preserve">, results from the quality and degree of different types of physical and chemical bonds that occur between host and pathogen and probably reflects the functioning of the host’s phenotype-determining enzymes. The molecular biology of the pathogenesis of an infectious disease determines the susceptibility of a species to the infection. Nevertheless, symptom development or subsequent disease severity might depend on the phenotype. Given that </w:t>
      </w:r>
      <w:r w:rsidRPr="006F3641">
        <w:rPr>
          <w:i/>
          <w:color w:val="auto"/>
          <w:szCs w:val="28"/>
        </w:rPr>
        <w:t>O</w:t>
      </w:r>
      <w:r w:rsidRPr="006F3641">
        <w:rPr>
          <w:color w:val="auto"/>
          <w:szCs w:val="28"/>
        </w:rPr>
        <w:t>-glycosylation plays a key role in the pathogenesis of the human coronavirus disease, as discussed 14 years ago regarding SARS-CoV-1 infection (</w:t>
      </w:r>
      <w:proofErr w:type="spellStart"/>
      <w:r w:rsidRPr="006F3641">
        <w:rPr>
          <w:color w:val="auto"/>
          <w:szCs w:val="28"/>
        </w:rPr>
        <w:t>Oostra</w:t>
      </w:r>
      <w:proofErr w:type="spellEnd"/>
      <w:r w:rsidRPr="006F3641">
        <w:rPr>
          <w:color w:val="auto"/>
          <w:szCs w:val="28"/>
        </w:rPr>
        <w:t xml:space="preserve"> et al., 2006) and is currently predicted for SARS-CoV-2 or COVID-19 (Andersen et al</w:t>
      </w:r>
      <w:r w:rsidRPr="006F3641">
        <w:rPr>
          <w:i/>
          <w:color w:val="auto"/>
          <w:szCs w:val="28"/>
        </w:rPr>
        <w:t>.</w:t>
      </w:r>
      <w:r w:rsidRPr="006F3641">
        <w:rPr>
          <w:color w:val="auto"/>
          <w:szCs w:val="28"/>
        </w:rPr>
        <w:t xml:space="preserve">, 2020), would implicate the formation of hybrid, serologically </w:t>
      </w:r>
      <w:bookmarkStart w:id="0" w:name="_Hlk61094422"/>
      <w:r w:rsidRPr="006F3641">
        <w:rPr>
          <w:color w:val="auto"/>
          <w:szCs w:val="28"/>
        </w:rPr>
        <w:t xml:space="preserve">A-like, </w:t>
      </w:r>
      <w:r w:rsidRPr="006F3641">
        <w:rPr>
          <w:i/>
          <w:color w:val="auto"/>
          <w:szCs w:val="28"/>
        </w:rPr>
        <w:t>O</w:t>
      </w:r>
      <w:r w:rsidRPr="006F3641">
        <w:rPr>
          <w:color w:val="auto"/>
          <w:szCs w:val="28"/>
        </w:rPr>
        <w:t>-</w:t>
      </w:r>
      <w:proofErr w:type="spellStart"/>
      <w:r w:rsidRPr="006F3641">
        <w:rPr>
          <w:color w:val="auto"/>
          <w:szCs w:val="28"/>
        </w:rPr>
        <w:t>GalNAc</w:t>
      </w:r>
      <w:proofErr w:type="spellEnd"/>
      <w:r w:rsidRPr="006F3641">
        <w:rPr>
          <w:color w:val="auto"/>
          <w:szCs w:val="28"/>
        </w:rPr>
        <w:t xml:space="preserve">α1-Ser/Thr-R, Tn </w:t>
      </w:r>
      <w:bookmarkEnd w:id="0"/>
      <w:r w:rsidRPr="006F3641">
        <w:rPr>
          <w:color w:val="auto"/>
          <w:szCs w:val="28"/>
        </w:rPr>
        <w:t xml:space="preserve">antigenic structures (Arend, P., 2020a). </w:t>
      </w:r>
      <w:bookmarkStart w:id="1" w:name="_Hlk55726493"/>
      <w:r w:rsidRPr="006F3641">
        <w:rPr>
          <w:color w:val="auto"/>
          <w:szCs w:val="28"/>
        </w:rPr>
        <w:t xml:space="preserve">This prediction </w:t>
      </w:r>
      <w:r w:rsidR="006F3641" w:rsidRPr="006F3641">
        <w:rPr>
          <w:color w:val="auto"/>
          <w:szCs w:val="28"/>
        </w:rPr>
        <w:t xml:space="preserve">does not question the concept of </w:t>
      </w:r>
      <w:proofErr w:type="spellStart"/>
      <w:r w:rsidR="006F3641" w:rsidRPr="006F3641">
        <w:rPr>
          <w:color w:val="auto"/>
          <w:szCs w:val="28"/>
        </w:rPr>
        <w:t>Guillon</w:t>
      </w:r>
      <w:proofErr w:type="spellEnd"/>
      <w:r w:rsidR="006F3641" w:rsidRPr="006F3641">
        <w:rPr>
          <w:color w:val="auto"/>
          <w:szCs w:val="28"/>
        </w:rPr>
        <w:t xml:space="preserve"> et al. (2008), </w:t>
      </w:r>
      <w:r w:rsidR="00C2783B">
        <w:rPr>
          <w:color w:val="auto"/>
          <w:szCs w:val="28"/>
        </w:rPr>
        <w:t>who</w:t>
      </w:r>
      <w:r w:rsidR="006F3641" w:rsidRPr="006F3641">
        <w:rPr>
          <w:color w:val="auto"/>
          <w:szCs w:val="28"/>
        </w:rPr>
        <w:t xml:space="preserve"> propose that </w:t>
      </w:r>
      <w:r w:rsidR="006F3641">
        <w:rPr>
          <w:color w:val="auto"/>
          <w:szCs w:val="28"/>
        </w:rPr>
        <w:t>such</w:t>
      </w:r>
      <w:r w:rsidR="006F3641" w:rsidRPr="006F3641">
        <w:rPr>
          <w:color w:val="auto"/>
          <w:szCs w:val="28"/>
        </w:rPr>
        <w:t xml:space="preserve"> viruses bind to hosts using </w:t>
      </w:r>
      <w:r w:rsidR="006F3641" w:rsidRPr="006F3641">
        <w:rPr>
          <w:i/>
          <w:color w:val="auto"/>
          <w:szCs w:val="28"/>
        </w:rPr>
        <w:t>N</w:t>
      </w:r>
      <w:r w:rsidR="006F3641" w:rsidRPr="006F3641">
        <w:rPr>
          <w:color w:val="auto"/>
          <w:szCs w:val="28"/>
        </w:rPr>
        <w:t xml:space="preserve">-glycosylation, </w:t>
      </w:r>
      <w:r w:rsidR="006F3641" w:rsidRPr="006F3641">
        <w:rPr>
          <w:rFonts w:eastAsiaTheme="minorEastAsia"/>
          <w:color w:val="auto"/>
          <w:szCs w:val="28"/>
        </w:rPr>
        <w:t>because blood group A</w:t>
      </w:r>
      <w:r w:rsidR="00C2783B">
        <w:rPr>
          <w:rFonts w:eastAsiaTheme="minorEastAsia"/>
          <w:color w:val="auto"/>
          <w:szCs w:val="28"/>
        </w:rPr>
        <w:t>-</w:t>
      </w:r>
      <w:r w:rsidR="00625335">
        <w:rPr>
          <w:rFonts w:eastAsiaTheme="minorEastAsia"/>
          <w:color w:val="auto"/>
          <w:szCs w:val="28"/>
        </w:rPr>
        <w:t xml:space="preserve">reactive </w:t>
      </w:r>
      <w:r w:rsidR="006F3641" w:rsidRPr="006F3641">
        <w:rPr>
          <w:rFonts w:eastAsiaTheme="minorEastAsia"/>
          <w:color w:val="auto"/>
          <w:szCs w:val="28"/>
        </w:rPr>
        <w:t xml:space="preserve">determinants exist as both </w:t>
      </w:r>
      <w:r w:rsidR="006F3641" w:rsidRPr="006F3641">
        <w:rPr>
          <w:rFonts w:eastAsiaTheme="minorEastAsia"/>
          <w:i/>
          <w:iCs/>
          <w:color w:val="auto"/>
          <w:szCs w:val="28"/>
        </w:rPr>
        <w:t>N</w:t>
      </w:r>
      <w:r w:rsidR="006F3641" w:rsidRPr="006F3641">
        <w:rPr>
          <w:rFonts w:eastAsiaTheme="minorEastAsia"/>
          <w:color w:val="auto"/>
          <w:szCs w:val="28"/>
        </w:rPr>
        <w:t xml:space="preserve">- and </w:t>
      </w:r>
      <w:r w:rsidR="006F3641" w:rsidRPr="006F3641">
        <w:rPr>
          <w:rFonts w:eastAsiaTheme="minorEastAsia"/>
          <w:i/>
          <w:iCs/>
          <w:color w:val="auto"/>
          <w:szCs w:val="28"/>
        </w:rPr>
        <w:t>O</w:t>
      </w:r>
      <w:r w:rsidR="006F3641" w:rsidRPr="006F3641">
        <w:rPr>
          <w:rFonts w:eastAsiaTheme="minorEastAsia"/>
          <w:color w:val="auto"/>
          <w:szCs w:val="28"/>
        </w:rPr>
        <w:t xml:space="preserve">- (mucin-type) glycans. Consequently, their observation that the interaction between the viral S protein of SARS-CoV-1 and the host’s cellular receptor was inhibited by natural and monoclonal anti-A antibodies may speak for </w:t>
      </w:r>
      <w:r w:rsidR="006F3641" w:rsidRPr="006F3641">
        <w:rPr>
          <w:rFonts w:eastAsiaTheme="minorEastAsia"/>
          <w:i/>
          <w:iCs/>
          <w:color w:val="auto"/>
          <w:szCs w:val="28"/>
        </w:rPr>
        <w:t>O</w:t>
      </w:r>
      <w:r w:rsidR="006F3641" w:rsidRPr="006F3641">
        <w:rPr>
          <w:rFonts w:eastAsiaTheme="minorEastAsia"/>
          <w:color w:val="auto"/>
          <w:szCs w:val="28"/>
        </w:rPr>
        <w:t xml:space="preserve">-glycan formations as well. </w:t>
      </w:r>
      <w:r w:rsidRPr="006F3641">
        <w:rPr>
          <w:color w:val="auto"/>
          <w:szCs w:val="28"/>
        </w:rPr>
        <w:t>In fact, this observation</w:t>
      </w:r>
      <w:r w:rsidR="00356C11">
        <w:rPr>
          <w:color w:val="auto"/>
          <w:szCs w:val="28"/>
        </w:rPr>
        <w:t xml:space="preserve"> most likely implicates</w:t>
      </w:r>
      <w:r w:rsidRPr="006F3641">
        <w:rPr>
          <w:color w:val="auto"/>
          <w:szCs w:val="28"/>
        </w:rPr>
        <w:t xml:space="preserve"> </w:t>
      </w:r>
      <w:r w:rsidR="002470B2">
        <w:rPr>
          <w:color w:val="auto"/>
          <w:szCs w:val="28"/>
        </w:rPr>
        <w:t xml:space="preserve">the generation of </w:t>
      </w:r>
      <w:r w:rsidR="002470B2" w:rsidRPr="002470B2">
        <w:rPr>
          <w:i/>
          <w:color w:val="auto"/>
          <w:szCs w:val="28"/>
        </w:rPr>
        <w:t>O</w:t>
      </w:r>
      <w:r w:rsidR="002470B2">
        <w:rPr>
          <w:color w:val="auto"/>
          <w:szCs w:val="28"/>
        </w:rPr>
        <w:t>-linked, A-like glycans</w:t>
      </w:r>
      <w:r w:rsidRPr="006F3641">
        <w:rPr>
          <w:color w:val="auto"/>
          <w:szCs w:val="28"/>
        </w:rPr>
        <w:t xml:space="preserve"> when the </w:t>
      </w:r>
      <w:r w:rsidRPr="006F3641">
        <w:rPr>
          <w:color w:val="auto"/>
          <w:szCs w:val="28"/>
        </w:rPr>
        <w:lastRenderedPageBreak/>
        <w:t>most critical step in SARSCoV-2 infection appears to be the mobilization of the viral serine molecule (Matsuyama et al</w:t>
      </w:r>
      <w:r w:rsidRPr="006F3641">
        <w:rPr>
          <w:i/>
          <w:color w:val="auto"/>
          <w:szCs w:val="28"/>
        </w:rPr>
        <w:t>.</w:t>
      </w:r>
      <w:r w:rsidRPr="006F3641">
        <w:rPr>
          <w:color w:val="auto"/>
          <w:szCs w:val="28"/>
        </w:rPr>
        <w:t xml:space="preserve">, 2010; Hoffmann et al., 2020), representing the key molecule of the classical </w:t>
      </w:r>
      <w:r w:rsidRPr="006F3641">
        <w:rPr>
          <w:i/>
          <w:color w:val="auto"/>
          <w:szCs w:val="28"/>
        </w:rPr>
        <w:t>O</w:t>
      </w:r>
      <w:r w:rsidRPr="006F3641">
        <w:rPr>
          <w:color w:val="auto"/>
          <w:szCs w:val="28"/>
        </w:rPr>
        <w:t xml:space="preserve">-glycan and the serologically A-like/Tn structure. Moreover, when Influenza A virus infection induces production of mucinous structures and expression of a </w:t>
      </w:r>
      <w:proofErr w:type="spellStart"/>
      <w:r w:rsidRPr="006F3641">
        <w:rPr>
          <w:color w:val="auto"/>
          <w:szCs w:val="28"/>
        </w:rPr>
        <w:t>GalNAc</w:t>
      </w:r>
      <w:proofErr w:type="spellEnd"/>
      <w:r w:rsidRPr="006F3641">
        <w:rPr>
          <w:color w:val="auto"/>
          <w:szCs w:val="28"/>
        </w:rPr>
        <w:t xml:space="preserve"> transferase, encoded by the GALNT3 gene (Nakamura </w:t>
      </w:r>
      <w:r w:rsidRPr="00ED6044">
        <w:rPr>
          <w:color w:val="auto"/>
          <w:szCs w:val="28"/>
        </w:rPr>
        <w:t>et al</w:t>
      </w:r>
      <w:r w:rsidRPr="006F3641">
        <w:rPr>
          <w:i/>
          <w:color w:val="auto"/>
          <w:szCs w:val="28"/>
        </w:rPr>
        <w:t>.</w:t>
      </w:r>
      <w:r w:rsidRPr="006F3641">
        <w:rPr>
          <w:color w:val="auto"/>
          <w:szCs w:val="28"/>
        </w:rPr>
        <w:t xml:space="preserve">, 2016), a mobilization of serine molecules most likely has preceded, and apart from functional </w:t>
      </w:r>
      <w:r w:rsidRPr="006F3641">
        <w:rPr>
          <w:i/>
          <w:color w:val="auto"/>
          <w:szCs w:val="28"/>
        </w:rPr>
        <w:t>N</w:t>
      </w:r>
      <w:r w:rsidRPr="006F3641">
        <w:rPr>
          <w:color w:val="auto"/>
          <w:szCs w:val="28"/>
        </w:rPr>
        <w:t>-</w:t>
      </w:r>
      <w:proofErr w:type="spellStart"/>
      <w:r w:rsidRPr="006F3641">
        <w:rPr>
          <w:color w:val="auto"/>
          <w:szCs w:val="28"/>
        </w:rPr>
        <w:t>glycosylations</w:t>
      </w:r>
      <w:proofErr w:type="spellEnd"/>
      <w:r w:rsidRPr="006F3641">
        <w:rPr>
          <w:color w:val="auto"/>
          <w:szCs w:val="28"/>
        </w:rPr>
        <w:t xml:space="preserve">, the </w:t>
      </w:r>
      <w:r w:rsidRPr="006F3641">
        <w:rPr>
          <w:i/>
          <w:color w:val="auto"/>
          <w:szCs w:val="28"/>
        </w:rPr>
        <w:t>O</w:t>
      </w:r>
      <w:r w:rsidRPr="006F3641">
        <w:rPr>
          <w:color w:val="auto"/>
          <w:szCs w:val="28"/>
        </w:rPr>
        <w:t xml:space="preserve">-glycoproteome of the host apparently plays a key role in the pathogenesis of SARS-CoV-2 infection. The adhesion </w:t>
      </w:r>
      <w:r w:rsidR="00FB2A4F">
        <w:rPr>
          <w:color w:val="auto"/>
          <w:szCs w:val="28"/>
        </w:rPr>
        <w:t xml:space="preserve">or entry </w:t>
      </w:r>
      <w:r w:rsidRPr="006F3641">
        <w:rPr>
          <w:color w:val="auto"/>
          <w:szCs w:val="28"/>
        </w:rPr>
        <w:t xml:space="preserve">of the virus to host cells appears to primarily occur independently of the ABO(H) blood group via the genetically undefined intermediate, namely the serologically A-like/Tn evolutionary/developmental structure. In metazoan evolution, up to 20 distinct genetically undefined polypeptide </w:t>
      </w:r>
      <w:r w:rsidRPr="006F3641">
        <w:rPr>
          <w:i/>
          <w:color w:val="auto"/>
          <w:szCs w:val="28"/>
        </w:rPr>
        <w:t>O</w:t>
      </w:r>
      <w:r w:rsidRPr="006F3641">
        <w:rPr>
          <w:color w:val="auto"/>
          <w:szCs w:val="28"/>
        </w:rPr>
        <w:t>-</w:t>
      </w:r>
      <w:proofErr w:type="spellStart"/>
      <w:r w:rsidRPr="006F3641">
        <w:rPr>
          <w:color w:val="auto"/>
          <w:szCs w:val="28"/>
        </w:rPr>
        <w:t>GalNAc</w:t>
      </w:r>
      <w:proofErr w:type="spellEnd"/>
      <w:r w:rsidRPr="006F3641">
        <w:rPr>
          <w:color w:val="auto"/>
          <w:szCs w:val="28"/>
        </w:rPr>
        <w:t xml:space="preserve"> transferases  catalyze the first addition of </w:t>
      </w:r>
      <w:proofErr w:type="spellStart"/>
      <w:r w:rsidRPr="006F3641">
        <w:rPr>
          <w:color w:val="auto"/>
          <w:szCs w:val="28"/>
        </w:rPr>
        <w:t>GalNAc</w:t>
      </w:r>
      <w:proofErr w:type="spellEnd"/>
      <w:r w:rsidRPr="006F3641">
        <w:rPr>
          <w:color w:val="auto"/>
          <w:szCs w:val="28"/>
        </w:rPr>
        <w:t xml:space="preserve"> to a protein  (Bennett et al., 2012), synthesizing the above, serologically A-like </w:t>
      </w:r>
      <w:r w:rsidRPr="006F3641">
        <w:rPr>
          <w:i/>
          <w:color w:val="auto"/>
          <w:szCs w:val="28"/>
        </w:rPr>
        <w:t>O</w:t>
      </w:r>
      <w:r w:rsidRPr="006F3641">
        <w:rPr>
          <w:color w:val="auto"/>
          <w:szCs w:val="28"/>
        </w:rPr>
        <w:t>-</w:t>
      </w:r>
      <w:proofErr w:type="spellStart"/>
      <w:r w:rsidRPr="006F3641">
        <w:rPr>
          <w:color w:val="auto"/>
          <w:szCs w:val="28"/>
        </w:rPr>
        <w:t>GalNAc</w:t>
      </w:r>
      <w:proofErr w:type="spellEnd"/>
      <w:r w:rsidRPr="006F3641">
        <w:rPr>
          <w:color w:val="auto"/>
          <w:szCs w:val="28"/>
        </w:rPr>
        <w:t>α1-Ser/Thr-R Tn, which results from the most complex and differentially regulated step in protein glycosylation (</w:t>
      </w:r>
      <w:proofErr w:type="spellStart"/>
      <w:r w:rsidRPr="006F3641">
        <w:rPr>
          <w:color w:val="auto"/>
          <w:szCs w:val="28"/>
        </w:rPr>
        <w:t>Brockhausen</w:t>
      </w:r>
      <w:proofErr w:type="spellEnd"/>
      <w:r w:rsidRPr="006F3641">
        <w:rPr>
          <w:color w:val="auto"/>
          <w:szCs w:val="28"/>
        </w:rPr>
        <w:t xml:space="preserve"> et al., 2009) and representing a normal yet fleeting intermediate structure, characterizing stem cell</w:t>
      </w:r>
      <w:r w:rsidRPr="006F3641">
        <w:rPr>
          <w:color w:val="auto"/>
        </w:rPr>
        <w:t xml:space="preserve"> </w:t>
      </w:r>
      <w:r w:rsidRPr="004D4693">
        <w:rPr>
          <w:color w:val="auto"/>
        </w:rPr>
        <w:t xml:space="preserve">fidelity (Reisner et al., 1978; Nash et al., 2007). </w:t>
      </w:r>
      <w:r w:rsidR="00A07B71">
        <w:rPr>
          <w:color w:val="auto"/>
        </w:rPr>
        <w:t xml:space="preserve">While </w:t>
      </w:r>
      <w:r w:rsidR="00A07B71" w:rsidRPr="00A07B71">
        <w:rPr>
          <w:rFonts w:ascii="Minion-Regular" w:eastAsiaTheme="minorEastAsia" w:hAnsi="Minion-Regular" w:cs="Minion-Regular"/>
          <w:color w:val="auto"/>
          <w:szCs w:val="28"/>
        </w:rPr>
        <w:t>the chemical simplicity</w:t>
      </w:r>
      <w:r w:rsidR="00A07B71">
        <w:rPr>
          <w:color w:val="auto"/>
        </w:rPr>
        <w:t xml:space="preserve"> </w:t>
      </w:r>
      <w:r w:rsidR="00A07B71" w:rsidRPr="00A07B71">
        <w:rPr>
          <w:rFonts w:ascii="Minion-Regular" w:eastAsiaTheme="minorEastAsia" w:hAnsi="Minion-Regular" w:cs="Minion-Regular"/>
          <w:color w:val="auto"/>
          <w:szCs w:val="28"/>
        </w:rPr>
        <w:t xml:space="preserve">of the </w:t>
      </w:r>
      <w:r w:rsidR="00A07B71">
        <w:rPr>
          <w:rFonts w:ascii="Minion-Regular" w:eastAsiaTheme="minorEastAsia" w:hAnsi="Minion-Regular" w:cs="Minion-Regular"/>
          <w:color w:val="auto"/>
          <w:szCs w:val="28"/>
        </w:rPr>
        <w:t>A-like/</w:t>
      </w:r>
      <w:r w:rsidR="00A07B71" w:rsidRPr="00A07B71">
        <w:rPr>
          <w:rFonts w:ascii="Minion-Regular" w:eastAsiaTheme="minorEastAsia" w:hAnsi="Minion-Regular" w:cs="Minion-Regular"/>
          <w:color w:val="auto"/>
          <w:szCs w:val="28"/>
        </w:rPr>
        <w:t>Tn antigen does not necessarily stand for an antigenic</w:t>
      </w:r>
      <w:r w:rsidR="00A07B71">
        <w:rPr>
          <w:color w:val="auto"/>
        </w:rPr>
        <w:t xml:space="preserve"> and</w:t>
      </w:r>
      <w:r w:rsidR="00FB2A4F">
        <w:rPr>
          <w:color w:val="auto"/>
        </w:rPr>
        <w:t>/</w:t>
      </w:r>
      <w:r w:rsidR="00A07B71">
        <w:rPr>
          <w:color w:val="auto"/>
        </w:rPr>
        <w:t xml:space="preserve">or functional </w:t>
      </w:r>
      <w:r w:rsidR="00A07B71" w:rsidRPr="00A07B71">
        <w:rPr>
          <w:rFonts w:ascii="Minion-Regular" w:eastAsiaTheme="minorEastAsia" w:hAnsi="Minion-Regular" w:cs="Minion-Regular"/>
          <w:color w:val="auto"/>
          <w:szCs w:val="28"/>
        </w:rPr>
        <w:t>unity</w:t>
      </w:r>
      <w:r w:rsidR="00A07B71">
        <w:rPr>
          <w:rFonts w:ascii="Minion-Regular" w:eastAsiaTheme="minorEastAsia" w:hAnsi="Minion-Regular" w:cs="Minion-Regular"/>
          <w:color w:val="auto"/>
          <w:szCs w:val="28"/>
        </w:rPr>
        <w:t xml:space="preserve"> (</w:t>
      </w:r>
      <w:proofErr w:type="spellStart"/>
      <w:r w:rsidR="00A07B71">
        <w:rPr>
          <w:rFonts w:ascii="Minion-Regular" w:eastAsiaTheme="minorEastAsia" w:hAnsi="Minion-Regular" w:cs="Minion-Regular"/>
          <w:color w:val="auto"/>
          <w:szCs w:val="28"/>
        </w:rPr>
        <w:t>Blixt</w:t>
      </w:r>
      <w:proofErr w:type="spellEnd"/>
      <w:r w:rsidR="00A07B71">
        <w:rPr>
          <w:rFonts w:ascii="Minion-Regular" w:eastAsiaTheme="minorEastAsia" w:hAnsi="Minion-Regular" w:cs="Minion-Regular"/>
          <w:color w:val="auto"/>
          <w:szCs w:val="28"/>
        </w:rPr>
        <w:t xml:space="preserve"> et al., </w:t>
      </w:r>
      <w:r w:rsidR="000000A8">
        <w:rPr>
          <w:rFonts w:ascii="Minion-Regular" w:eastAsiaTheme="minorEastAsia" w:hAnsi="Minion-Regular" w:cs="Minion-Regular"/>
          <w:color w:val="auto"/>
          <w:szCs w:val="28"/>
        </w:rPr>
        <w:t xml:space="preserve">2012), </w:t>
      </w:r>
      <w:r w:rsidR="00A07B71">
        <w:rPr>
          <w:color w:val="auto"/>
        </w:rPr>
        <w:t>t</w:t>
      </w:r>
      <w:r w:rsidRPr="004D4693">
        <w:rPr>
          <w:color w:val="auto"/>
        </w:rPr>
        <w:t xml:space="preserve">his structure is common to all processes of metazoan development and/or ontogeny, and its hybridized form apparently acts as a host–pathogen functional bridge in different, unrelated infectious diseases: a key function of the serine molecule was also discussed in an earlier article by the author for the non-viral pathogenesis of malaria </w:t>
      </w:r>
      <w:proofErr w:type="spellStart"/>
      <w:r w:rsidRPr="004D4693">
        <w:rPr>
          <w:color w:val="auto"/>
        </w:rPr>
        <w:t>tropica</w:t>
      </w:r>
      <w:proofErr w:type="spellEnd"/>
      <w:r w:rsidRPr="004D4693">
        <w:rPr>
          <w:color w:val="auto"/>
        </w:rPr>
        <w:t xml:space="preserve"> (Arend, P., 2018</w:t>
      </w:r>
      <w:r w:rsidR="00CA154C">
        <w:rPr>
          <w:color w:val="auto"/>
        </w:rPr>
        <w:t>a</w:t>
      </w:r>
      <w:r w:rsidRPr="004D4693">
        <w:rPr>
          <w:color w:val="auto"/>
        </w:rPr>
        <w:t>;</w:t>
      </w:r>
      <w:r w:rsidRPr="004D4693">
        <w:rPr>
          <w:color w:val="auto"/>
          <w:vertAlign w:val="superscript"/>
        </w:rPr>
        <w:t xml:space="preserve"> </w:t>
      </w:r>
      <w:r w:rsidRPr="004D4693">
        <w:rPr>
          <w:color w:val="auto"/>
        </w:rPr>
        <w:t>2020b). Thus, while the ACE2 protein is defined as the primary SARS-CoV-2 receptor, evidence</w:t>
      </w:r>
      <w:r w:rsidR="004D4693" w:rsidRPr="004D4693">
        <w:rPr>
          <w:color w:val="auto"/>
        </w:rPr>
        <w:t xml:space="preserve"> </w:t>
      </w:r>
      <w:r w:rsidRPr="004D4693">
        <w:rPr>
          <w:color w:val="auto"/>
        </w:rPr>
        <w:t xml:space="preserve">suggests that the host and pathogen bind via an intermediate hybrid </w:t>
      </w:r>
      <w:r w:rsidRPr="004D4693">
        <w:rPr>
          <w:i/>
          <w:color w:val="auto"/>
        </w:rPr>
        <w:t>O</w:t>
      </w:r>
      <w:r w:rsidRPr="004D4693">
        <w:rPr>
          <w:color w:val="auto"/>
        </w:rPr>
        <w:t>-glycan, dominated by the pathogen’s hydrophilic amino acid serine.</w:t>
      </w:r>
      <w:r w:rsidRPr="00BC6A42">
        <w:rPr>
          <w:b/>
          <w:color w:val="C00000"/>
        </w:rPr>
        <w:t xml:space="preserve"> </w:t>
      </w:r>
      <w:bookmarkEnd w:id="1"/>
      <w:r w:rsidRPr="001D3843">
        <w:rPr>
          <w:color w:val="auto"/>
        </w:rPr>
        <w:t xml:space="preserve">In humans, the resulting ontogenetic and blood group-independent structure may, depending on the phenotype, be elongated </w:t>
      </w:r>
      <w:r w:rsidRPr="001D3843">
        <w:rPr>
          <w:color w:val="auto"/>
        </w:rPr>
        <w:lastRenderedPageBreak/>
        <w:t>and/or replaced by mucin-type, blood group-specific, ABO(H) phenotype-determining carbohydrates according to established pathways (</w:t>
      </w:r>
      <w:proofErr w:type="spellStart"/>
      <w:r w:rsidRPr="001D3843">
        <w:rPr>
          <w:color w:val="auto"/>
        </w:rPr>
        <w:t>Vitiazeva</w:t>
      </w:r>
      <w:proofErr w:type="spellEnd"/>
      <w:r w:rsidRPr="001D3843">
        <w:rPr>
          <w:color w:val="auto"/>
        </w:rPr>
        <w:t xml:space="preserve"> et al</w:t>
      </w:r>
      <w:r w:rsidRPr="001D3843">
        <w:rPr>
          <w:i/>
          <w:color w:val="auto"/>
        </w:rPr>
        <w:t>.</w:t>
      </w:r>
      <w:r w:rsidRPr="001D3843">
        <w:rPr>
          <w:color w:val="auto"/>
        </w:rPr>
        <w:t xml:space="preserve">, 2015).  </w:t>
      </w:r>
      <w:r w:rsidR="00A3012D">
        <w:t>The genetic relations</w:t>
      </w:r>
      <w:r w:rsidR="00DF2454">
        <w:t>hips</w:t>
      </w:r>
      <w:r w:rsidR="00A3012D">
        <w:t xml:space="preserve"> between the above serologically A-reactive or A-like/Tn antigen and the classical blood group specific A are unknown until today.</w:t>
      </w:r>
      <w:r w:rsidR="00A3012D">
        <w:rPr>
          <w:color w:val="auto"/>
        </w:rPr>
        <w:t xml:space="preserve"> </w:t>
      </w:r>
      <w:r w:rsidR="00194304" w:rsidRPr="00194304">
        <w:rPr>
          <w:color w:val="auto"/>
        </w:rPr>
        <w:t>Because the ABO</w:t>
      </w:r>
      <w:r w:rsidR="00C11993">
        <w:rPr>
          <w:color w:val="auto"/>
        </w:rPr>
        <w:t>(H)</w:t>
      </w:r>
      <w:r w:rsidR="00194304" w:rsidRPr="00194304">
        <w:rPr>
          <w:color w:val="auto"/>
        </w:rPr>
        <w:t xml:space="preserve"> blood group-determining enzymes are produced in soluble form and membrane</w:t>
      </w:r>
      <w:r w:rsidR="00194304">
        <w:rPr>
          <w:color w:val="auto"/>
        </w:rPr>
        <w:t>-bound</w:t>
      </w:r>
      <w:r w:rsidR="00194304" w:rsidRPr="00194304">
        <w:rPr>
          <w:color w:val="auto"/>
        </w:rPr>
        <w:t xml:space="preserve"> not only in the bone marrow</w:t>
      </w:r>
      <w:r w:rsidR="00194304">
        <w:rPr>
          <w:color w:val="auto"/>
        </w:rPr>
        <w:t xml:space="preserve">, </w:t>
      </w:r>
      <w:r w:rsidR="00194304">
        <w:t>t</w:t>
      </w:r>
      <w:r w:rsidR="00A3012D">
        <w:t xml:space="preserve">he </w:t>
      </w:r>
      <w:r w:rsidR="0017445E">
        <w:t>expression</w:t>
      </w:r>
      <w:r w:rsidR="00A3012D">
        <w:t xml:space="preserve"> of blood group A and B-specific </w:t>
      </w:r>
      <w:r w:rsidR="0017445E">
        <w:t>activities</w:t>
      </w:r>
      <w:r w:rsidR="00A3012D">
        <w:t xml:space="preserve">, encoded on chromosome 9 at q 34 and the H- and Se-specific </w:t>
      </w:r>
      <w:r w:rsidR="0017445E">
        <w:t>activities</w:t>
      </w:r>
      <w:r w:rsidR="00A3012D">
        <w:t xml:space="preserve">, encoded on chromosome 19 at q 13.3 instead of O, </w:t>
      </w:r>
      <w:r w:rsidR="00EC2F67">
        <w:t>is</w:t>
      </w:r>
      <w:r w:rsidR="00A3012D">
        <w:t xml:space="preserve"> not restricted to red blood cell (RBC) surfaces but </w:t>
      </w:r>
      <w:r w:rsidR="0017445E">
        <w:t>invo</w:t>
      </w:r>
      <w:r w:rsidR="007E1384">
        <w:t>l</w:t>
      </w:r>
      <w:r w:rsidR="0017445E">
        <w:t>ves</w:t>
      </w:r>
      <w:r w:rsidR="00A3012D">
        <w:t xml:space="preserve"> all epithelial cells, most endothelial cells and functional plasma proteins as well (Arend, 2016; 2017): immunoglobulins and critical proteins of the clotting system, such as factor VIII </w:t>
      </w:r>
      <w:bookmarkStart w:id="2" w:name="_Hlk69115660"/>
      <w:r w:rsidR="00A3012D">
        <w:t>(O’Sullivan et al., 2016) and the von Willebrand factor (</w:t>
      </w:r>
      <w:proofErr w:type="spellStart"/>
      <w:r w:rsidR="00A3012D">
        <w:t>vWF</w:t>
      </w:r>
      <w:proofErr w:type="spellEnd"/>
      <w:r w:rsidR="00A3012D">
        <w:t>) (</w:t>
      </w:r>
      <w:proofErr w:type="spellStart"/>
      <w:r w:rsidR="00A3012D">
        <w:t>O’Donnel</w:t>
      </w:r>
      <w:proofErr w:type="spellEnd"/>
      <w:r w:rsidR="00A3012D">
        <w:t xml:space="preserve"> et al., 2005) </w:t>
      </w:r>
      <w:bookmarkEnd w:id="2"/>
      <w:r w:rsidR="00A3012D">
        <w:t xml:space="preserve">undergo the ABO(H) </w:t>
      </w:r>
      <w:proofErr w:type="spellStart"/>
      <w:r w:rsidR="00A3012D">
        <w:t>glycosidic</w:t>
      </w:r>
      <w:proofErr w:type="spellEnd"/>
      <w:r w:rsidR="00A3012D">
        <w:t xml:space="preserve"> accommodations, while the ABO(H) glycotransferases guarantee the functional unity of </w:t>
      </w:r>
      <w:r w:rsidR="00ED2364">
        <w:t xml:space="preserve">cell </w:t>
      </w:r>
      <w:r w:rsidR="00A3012D">
        <w:t xml:space="preserve">surfaces and soluble plasma factors and thus determine </w:t>
      </w:r>
      <w:r w:rsidR="00C242F8">
        <w:t xml:space="preserve">also </w:t>
      </w:r>
      <w:proofErr w:type="spellStart"/>
      <w:r w:rsidR="00A3012D">
        <w:t>organmanifestation</w:t>
      </w:r>
      <w:proofErr w:type="spellEnd"/>
      <w:r w:rsidR="00A3012D">
        <w:t xml:space="preserve"> and severity of a disease. </w:t>
      </w:r>
      <w:r w:rsidR="00B97571">
        <w:t>COVID</w:t>
      </w:r>
      <w:r w:rsidR="005D3CA4">
        <w:t>-</w:t>
      </w:r>
      <w:r w:rsidR="00B97571">
        <w:t xml:space="preserve">19 infection </w:t>
      </w:r>
      <w:r w:rsidR="002B544B">
        <w:t>develop</w:t>
      </w:r>
      <w:r w:rsidR="000905BE">
        <w:t>s</w:t>
      </w:r>
      <w:r w:rsidR="002B544B">
        <w:t xml:space="preserve"> </w:t>
      </w:r>
      <w:r w:rsidR="000905BE">
        <w:t>in</w:t>
      </w:r>
      <w:r w:rsidR="00B97571">
        <w:t xml:space="preserve"> any nucleated cell, producing ABO-blood group determining enzymes</w:t>
      </w:r>
      <w:r w:rsidR="000905BE">
        <w:t>; consequently</w:t>
      </w:r>
      <w:r w:rsidR="00B97571">
        <w:t xml:space="preserve"> </w:t>
      </w:r>
      <w:r w:rsidR="00961399" w:rsidRPr="00961399">
        <w:rPr>
          <w:rFonts w:eastAsiaTheme="minorHAnsi"/>
          <w:color w:val="auto"/>
          <w:szCs w:val="28"/>
        </w:rPr>
        <w:t xml:space="preserve">the virus cannot replicate in RBCs, </w:t>
      </w:r>
      <w:r w:rsidR="00961399">
        <w:rPr>
          <w:rFonts w:eastAsiaTheme="minorHAnsi"/>
          <w:color w:val="auto"/>
          <w:szCs w:val="28"/>
        </w:rPr>
        <w:t xml:space="preserve">but </w:t>
      </w:r>
      <w:r w:rsidR="000905BE">
        <w:rPr>
          <w:rFonts w:eastAsiaTheme="minorHAnsi"/>
          <w:color w:val="auto"/>
          <w:szCs w:val="28"/>
        </w:rPr>
        <w:t>nevertheless</w:t>
      </w:r>
      <w:r w:rsidR="00961399">
        <w:rPr>
          <w:rFonts w:eastAsiaTheme="minorHAnsi"/>
          <w:color w:val="auto"/>
          <w:szCs w:val="28"/>
        </w:rPr>
        <w:t xml:space="preserve"> </w:t>
      </w:r>
      <w:r w:rsidR="00961399" w:rsidRPr="00961399">
        <w:rPr>
          <w:rFonts w:eastAsiaTheme="minorHAnsi"/>
          <w:color w:val="auto"/>
          <w:szCs w:val="28"/>
        </w:rPr>
        <w:t xml:space="preserve">may impair </w:t>
      </w:r>
      <w:r w:rsidR="006662DE">
        <w:rPr>
          <w:rFonts w:eastAsiaTheme="minorHAnsi"/>
          <w:color w:val="auto"/>
          <w:szCs w:val="28"/>
        </w:rPr>
        <w:t>their complex</w:t>
      </w:r>
      <w:r w:rsidR="00961399" w:rsidRPr="00961399">
        <w:rPr>
          <w:rFonts w:eastAsiaTheme="minorHAnsi"/>
          <w:color w:val="auto"/>
          <w:szCs w:val="28"/>
        </w:rPr>
        <w:t xml:space="preserve"> physiological </w:t>
      </w:r>
      <w:r w:rsidR="006662DE">
        <w:rPr>
          <w:rFonts w:eastAsiaTheme="minorHAnsi"/>
          <w:color w:val="auto"/>
          <w:szCs w:val="28"/>
        </w:rPr>
        <w:t>functions</w:t>
      </w:r>
      <w:r w:rsidR="00961399" w:rsidRPr="00961399">
        <w:rPr>
          <w:rFonts w:eastAsiaTheme="minorHAnsi"/>
          <w:color w:val="auto"/>
          <w:szCs w:val="28"/>
        </w:rPr>
        <w:t xml:space="preserve"> by interaction with glycophorins, which are the intrinsic components of the RBC membrane, providing abundant </w:t>
      </w:r>
      <w:r w:rsidR="00961399" w:rsidRPr="00961399">
        <w:rPr>
          <w:rFonts w:eastAsiaTheme="minorHAnsi"/>
          <w:i/>
          <w:color w:val="auto"/>
          <w:szCs w:val="28"/>
        </w:rPr>
        <w:t>O</w:t>
      </w:r>
      <w:r w:rsidR="00961399" w:rsidRPr="00961399">
        <w:rPr>
          <w:rFonts w:eastAsiaTheme="minorHAnsi"/>
          <w:color w:val="auto"/>
          <w:szCs w:val="28"/>
        </w:rPr>
        <w:t xml:space="preserve">-linked (Aoki, 2017; </w:t>
      </w:r>
      <w:proofErr w:type="spellStart"/>
      <w:r w:rsidR="00961399" w:rsidRPr="00961399">
        <w:rPr>
          <w:rFonts w:eastAsiaTheme="minorHAnsi"/>
          <w:color w:val="auto"/>
          <w:szCs w:val="28"/>
        </w:rPr>
        <w:t>Podbielska</w:t>
      </w:r>
      <w:proofErr w:type="spellEnd"/>
      <w:r w:rsidR="00961399" w:rsidRPr="00961399">
        <w:rPr>
          <w:rFonts w:eastAsiaTheme="minorHAnsi"/>
          <w:color w:val="auto"/>
          <w:szCs w:val="28"/>
        </w:rPr>
        <w:t xml:space="preserve"> et al., 2000) blood group A-, B- and Tn-reactive (</w:t>
      </w:r>
      <w:proofErr w:type="spellStart"/>
      <w:r w:rsidR="00961399" w:rsidRPr="00961399">
        <w:rPr>
          <w:rFonts w:eastAsiaTheme="minorHAnsi"/>
          <w:color w:val="auto"/>
          <w:szCs w:val="28"/>
        </w:rPr>
        <w:t>Bigbee</w:t>
      </w:r>
      <w:proofErr w:type="spellEnd"/>
      <w:r w:rsidR="00961399" w:rsidRPr="00961399">
        <w:rPr>
          <w:rFonts w:eastAsiaTheme="minorHAnsi"/>
          <w:color w:val="auto"/>
          <w:szCs w:val="28"/>
        </w:rPr>
        <w:t xml:space="preserve"> et al., 1990) oligosaccharides and appear to be identified as pathogen receptors in malaria </w:t>
      </w:r>
      <w:proofErr w:type="spellStart"/>
      <w:r w:rsidR="00961399" w:rsidRPr="00961399">
        <w:rPr>
          <w:rFonts w:eastAsiaTheme="minorHAnsi"/>
          <w:color w:val="auto"/>
          <w:szCs w:val="28"/>
        </w:rPr>
        <w:t>tropica</w:t>
      </w:r>
      <w:proofErr w:type="spellEnd"/>
      <w:r w:rsidR="00961399" w:rsidRPr="00961399">
        <w:rPr>
          <w:rFonts w:eastAsiaTheme="minorHAnsi"/>
          <w:color w:val="auto"/>
          <w:szCs w:val="28"/>
        </w:rPr>
        <w:t xml:space="preserve"> (</w:t>
      </w:r>
      <w:proofErr w:type="spellStart"/>
      <w:r w:rsidR="00961399" w:rsidRPr="00961399">
        <w:rPr>
          <w:rFonts w:eastAsiaTheme="minorHAnsi"/>
          <w:color w:val="auto"/>
          <w:szCs w:val="28"/>
        </w:rPr>
        <w:t>Rydzak</w:t>
      </w:r>
      <w:proofErr w:type="spellEnd"/>
      <w:r w:rsidR="00961399" w:rsidRPr="00961399">
        <w:rPr>
          <w:rFonts w:eastAsiaTheme="minorHAnsi"/>
          <w:color w:val="auto"/>
          <w:szCs w:val="28"/>
        </w:rPr>
        <w:t xml:space="preserve"> et al.</w:t>
      </w:r>
      <w:r w:rsidR="00320911">
        <w:rPr>
          <w:rFonts w:eastAsiaTheme="minorHAnsi"/>
          <w:color w:val="auto"/>
          <w:szCs w:val="28"/>
        </w:rPr>
        <w:t>,</w:t>
      </w:r>
      <w:r w:rsidR="00961399" w:rsidRPr="00961399">
        <w:rPr>
          <w:rFonts w:eastAsiaTheme="minorHAnsi"/>
          <w:color w:val="auto"/>
          <w:szCs w:val="28"/>
        </w:rPr>
        <w:t xml:space="preserve"> 2013).</w:t>
      </w:r>
      <w:r w:rsidR="00961399">
        <w:t xml:space="preserve"> </w:t>
      </w:r>
    </w:p>
    <w:p w14:paraId="58AD608E" w14:textId="4699C769" w:rsidR="00B97571" w:rsidRPr="00B97571" w:rsidRDefault="00961399" w:rsidP="00961399">
      <w:pPr>
        <w:spacing w:after="0" w:line="360" w:lineRule="auto"/>
        <w:ind w:left="964" w:right="57"/>
      </w:pPr>
      <w:r>
        <w:t xml:space="preserve">      </w:t>
      </w:r>
      <w:r w:rsidR="000905BE">
        <w:t>SARS-CoV-2 disease receives its name from the symptoms of its main manifestation (“severe acute respiratory syndrome”), occurring on the airway epithelial cells, where the</w:t>
      </w:r>
      <w:r w:rsidR="00B97571">
        <w:t xml:space="preserve"> pathogen accumulates with the largest antigen density, and the </w:t>
      </w:r>
      <w:r w:rsidR="005D3CA4">
        <w:t xml:space="preserve">special </w:t>
      </w:r>
      <w:r w:rsidR="00B97571">
        <w:t>symptoms most likely</w:t>
      </w:r>
      <w:r w:rsidR="00B97571" w:rsidRPr="00CC1B64">
        <w:t xml:space="preserve"> result from the special topography of the lung and bronchial tree. The critical functional parameter </w:t>
      </w:r>
      <w:r w:rsidR="005D3CA4">
        <w:t>appears to be</w:t>
      </w:r>
      <w:r w:rsidR="00B97571">
        <w:t xml:space="preserve"> </w:t>
      </w:r>
      <w:r w:rsidR="005D3CA4">
        <w:t xml:space="preserve">the </w:t>
      </w:r>
      <w:r w:rsidR="00AA1A0F">
        <w:t xml:space="preserve">number and/or the </w:t>
      </w:r>
      <w:r w:rsidR="005D3CA4">
        <w:t xml:space="preserve">density </w:t>
      </w:r>
      <w:r w:rsidR="00B97571">
        <w:t>of receptor-expressing cells, lining narrow lumens</w:t>
      </w:r>
      <w:r w:rsidR="00B97571" w:rsidRPr="00CC1B64">
        <w:t xml:space="preserve">, on which the oxygen supply of the organism </w:t>
      </w:r>
      <w:r w:rsidR="00B97571">
        <w:t xml:space="preserve">and its life directly </w:t>
      </w:r>
      <w:r w:rsidR="00B97571" w:rsidRPr="00CC1B64">
        <w:t xml:space="preserve">depend </w:t>
      </w:r>
      <w:r w:rsidR="00B97571" w:rsidRPr="00CC1B64">
        <w:lastRenderedPageBreak/>
        <w:t xml:space="preserve">and which, even </w:t>
      </w:r>
      <w:r w:rsidR="00B97571">
        <w:t>by</w:t>
      </w:r>
      <w:r w:rsidR="00B97571" w:rsidRPr="00CC1B64">
        <w:t xml:space="preserve"> more or less severe constrictions, can endanger </w:t>
      </w:r>
      <w:r w:rsidR="00B97571">
        <w:t>this supply</w:t>
      </w:r>
      <w:r w:rsidR="00B97571" w:rsidRPr="00CC1B64">
        <w:t>, as well as promote the development of secondary infections</w:t>
      </w:r>
      <w:r w:rsidR="00B97571">
        <w:t>.</w:t>
      </w:r>
      <w:r w:rsidR="00B97571" w:rsidRPr="00CC1B64">
        <w:t xml:space="preserve"> </w:t>
      </w:r>
      <w:r w:rsidR="00B97571">
        <w:t>Such a</w:t>
      </w:r>
      <w:r w:rsidR="00B97571" w:rsidRPr="00CC1B64">
        <w:t xml:space="preserve"> topography does not apply</w:t>
      </w:r>
      <w:r w:rsidR="00B97571">
        <w:t>,</w:t>
      </w:r>
      <w:r w:rsidR="00B97571" w:rsidRPr="00CC1B64">
        <w:t xml:space="preserve"> </w:t>
      </w:r>
      <w:r w:rsidR="00B97571">
        <w:t>for instance,</w:t>
      </w:r>
      <w:r w:rsidR="00B97571" w:rsidRPr="00CC1B64">
        <w:t xml:space="preserve"> to the gastrointestinal </w:t>
      </w:r>
      <w:r w:rsidR="00B97571">
        <w:t>tract and the kidney</w:t>
      </w:r>
      <w:r w:rsidR="008D2A98">
        <w:t>s</w:t>
      </w:r>
      <w:r w:rsidR="00B97571" w:rsidRPr="00CC1B64">
        <w:t>.</w:t>
      </w:r>
      <w:r w:rsidR="00B97571">
        <w:t xml:space="preserve"> </w:t>
      </w:r>
      <w:r w:rsidR="00AA1A0F">
        <w:t>Consequently</w:t>
      </w:r>
      <w:r w:rsidR="00B97571">
        <w:t>, it does not need special receptor qualities in order to explain the main manifestation of COVID-19 disease</w:t>
      </w:r>
      <w:r w:rsidR="008D2A98">
        <w:t>, developing</w:t>
      </w:r>
      <w:r w:rsidR="00B97571">
        <w:t xml:space="preserve"> </w:t>
      </w:r>
      <w:r w:rsidR="008D2A98">
        <w:t>in</w:t>
      </w:r>
      <w:r w:rsidR="00B97571">
        <w:t xml:space="preserve"> the airways.</w:t>
      </w:r>
    </w:p>
    <w:p w14:paraId="045756F0" w14:textId="77777777" w:rsidR="003E1EAB" w:rsidRDefault="00A3012D" w:rsidP="00B03699">
      <w:pPr>
        <w:spacing w:after="0"/>
        <w:ind w:left="964" w:right="57"/>
        <w:rPr>
          <w:b/>
        </w:rPr>
      </w:pPr>
      <w:r>
        <w:rPr>
          <w:b/>
        </w:rPr>
        <w:t xml:space="preserve"> </w:t>
      </w:r>
    </w:p>
    <w:p w14:paraId="41239ED0" w14:textId="77777777" w:rsidR="003E1EAB" w:rsidRDefault="003E1EAB" w:rsidP="00B03699">
      <w:pPr>
        <w:spacing w:after="0"/>
        <w:ind w:left="964" w:right="57"/>
        <w:rPr>
          <w:b/>
        </w:rPr>
      </w:pPr>
    </w:p>
    <w:p w14:paraId="4909A364" w14:textId="2A9A263D" w:rsidR="007F49EE" w:rsidRPr="00A3012D" w:rsidRDefault="0008288D" w:rsidP="00B03699">
      <w:pPr>
        <w:spacing w:after="0"/>
        <w:ind w:left="964" w:right="57"/>
      </w:pPr>
      <w:r>
        <w:rPr>
          <w:b/>
        </w:rPr>
        <w:t>Proposed blood group-independent and ABO(H) blood group</w:t>
      </w:r>
      <w:r w:rsidR="005A1A4D">
        <w:rPr>
          <w:b/>
        </w:rPr>
        <w:t>-</w:t>
      </w:r>
      <w:r>
        <w:rPr>
          <w:b/>
        </w:rPr>
        <w:t xml:space="preserve">specific, mucin-type adhesion </w:t>
      </w:r>
      <w:r w:rsidR="003E1EAB">
        <w:rPr>
          <w:b/>
        </w:rPr>
        <w:t xml:space="preserve">and entry </w:t>
      </w:r>
      <w:r>
        <w:rPr>
          <w:b/>
        </w:rPr>
        <w:t>of SARS-CoV-2 to human cells</w:t>
      </w:r>
      <w:r>
        <w:rPr>
          <w:vertAlign w:val="superscript"/>
        </w:rPr>
        <w:t xml:space="preserve"> </w:t>
      </w:r>
    </w:p>
    <w:p w14:paraId="319B9F03" w14:textId="75316730" w:rsidR="00BB7025" w:rsidRPr="00601CBE" w:rsidRDefault="0008288D" w:rsidP="00601CBE">
      <w:pPr>
        <w:spacing w:after="0"/>
        <w:ind w:left="964" w:right="57" w:firstLine="58"/>
        <w:rPr>
          <w:vertAlign w:val="superscript"/>
        </w:rPr>
      </w:pPr>
      <w:r>
        <w:t xml:space="preserve">The coevolution of species drives diversity in animals and plants and contributes to natural selection; however, during an infectious disease outbreak, a pathogen may complete an incomplete evolutionary/developmental function by utilizing the host cell’s machinery (Arend, P, 2020b). The analysis of older, yet related, data suggests that </w:t>
      </w:r>
      <w:r>
        <w:rPr>
          <w:i/>
        </w:rPr>
        <w:t>Plasmodium falciparum,</w:t>
      </w:r>
      <w:r>
        <w:t xml:space="preserve"> the pathogen causing </w:t>
      </w:r>
      <w:r w:rsidR="00C83773">
        <w:t xml:space="preserve">the life-threatening </w:t>
      </w:r>
      <w:r>
        <w:t xml:space="preserve">malaria </w:t>
      </w:r>
      <w:proofErr w:type="spellStart"/>
      <w:r>
        <w:t>tropica</w:t>
      </w:r>
      <w:proofErr w:type="spellEnd"/>
      <w:r>
        <w:t>, cannot survive outside its human host because it is unable to initiate protein glycosylation or blood group-independent (serologically A</w:t>
      </w:r>
      <w:r w:rsidR="00685E3D">
        <w:t>-</w:t>
      </w:r>
      <w:r>
        <w:t xml:space="preserve">like) </w:t>
      </w:r>
      <w:r>
        <w:rPr>
          <w:i/>
        </w:rPr>
        <w:t>O</w:t>
      </w:r>
      <w:r>
        <w:t>-</w:t>
      </w:r>
      <w:proofErr w:type="spellStart"/>
      <w:r>
        <w:t>GalNAc</w:t>
      </w:r>
      <w:proofErr w:type="spellEnd"/>
      <w:r>
        <w:t>α1-Ser/Thr-R, Tn antigen formation, owing to its inability to synthesize the amino sugar N-acetyl-</w:t>
      </w:r>
      <w:r>
        <w:rPr>
          <w:sz w:val="22"/>
        </w:rPr>
        <w:t>D</w:t>
      </w:r>
      <w:r>
        <w:t>-galactosamine (</w:t>
      </w:r>
      <w:proofErr w:type="spellStart"/>
      <w:r>
        <w:t>GalNAc</w:t>
      </w:r>
      <w:proofErr w:type="spellEnd"/>
      <w:r>
        <w:t>) (</w:t>
      </w:r>
      <w:proofErr w:type="spellStart"/>
      <w:r>
        <w:t>Dieckmann-Schuppert</w:t>
      </w:r>
      <w:proofErr w:type="spellEnd"/>
      <w:r>
        <w:t xml:space="preserve">, </w:t>
      </w:r>
      <w:proofErr w:type="spellStart"/>
      <w:r>
        <w:t>Bause</w:t>
      </w:r>
      <w:proofErr w:type="spellEnd"/>
      <w:r>
        <w:t xml:space="preserve"> and Schwarz, 1993)</w:t>
      </w:r>
      <w:r w:rsidR="00601CBE">
        <w:t xml:space="preserve">. </w:t>
      </w:r>
      <w:r>
        <w:rPr>
          <w:vertAlign w:val="superscript"/>
        </w:rPr>
        <w:t xml:space="preserve"> </w:t>
      </w:r>
      <w:r w:rsidR="00601CBE">
        <w:t>Furthermore, glucosamine (</w:t>
      </w:r>
      <w:proofErr w:type="spellStart"/>
      <w:r w:rsidR="00601CBE">
        <w:t>Glc</w:t>
      </w:r>
      <w:proofErr w:type="spellEnd"/>
      <w:r w:rsidR="00601CBE">
        <w:t>)-</w:t>
      </w:r>
      <w:proofErr w:type="spellStart"/>
      <w:r w:rsidR="00601CBE">
        <w:t>GalNAc</w:t>
      </w:r>
      <w:proofErr w:type="spellEnd"/>
      <w:r w:rsidR="00601CBE">
        <w:t xml:space="preserve"> epimerization does not occur in the parasite (de Macedo et al., 2010)</w:t>
      </w:r>
      <w:r w:rsidR="00601CBE">
        <w:rPr>
          <w:vertAlign w:val="superscript"/>
        </w:rPr>
        <w:t xml:space="preserve"> </w:t>
      </w:r>
      <w:r>
        <w:t>nor</w:t>
      </w:r>
      <w:r>
        <w:rPr>
          <w:vertAlign w:val="superscript"/>
        </w:rPr>
        <w:t xml:space="preserve"> </w:t>
      </w:r>
      <w:r>
        <w:t xml:space="preserve">does it possess the genes required for mucin-type </w:t>
      </w:r>
      <w:r>
        <w:rPr>
          <w:i/>
        </w:rPr>
        <w:t>O</w:t>
      </w:r>
      <w:r>
        <w:t>-glycan synthesis</w:t>
      </w:r>
      <w:r>
        <w:rPr>
          <w:vertAlign w:val="superscript"/>
        </w:rPr>
        <w:t xml:space="preserve"> </w:t>
      </w:r>
      <w:r>
        <w:t>(Templeton et al., 2004).</w:t>
      </w:r>
      <w:r>
        <w:rPr>
          <w:vertAlign w:val="superscript"/>
        </w:rPr>
        <w:t xml:space="preserve"> </w:t>
      </w:r>
      <w:r>
        <w:t xml:space="preserve">Thus, the excess of serine production in </w:t>
      </w:r>
      <w:r>
        <w:rPr>
          <w:i/>
        </w:rPr>
        <w:t xml:space="preserve">Plasmodium falciparum </w:t>
      </w:r>
      <w:r>
        <w:t>(</w:t>
      </w:r>
      <w:proofErr w:type="spellStart"/>
      <w:r>
        <w:t>Bzik</w:t>
      </w:r>
      <w:proofErr w:type="spellEnd"/>
      <w:r>
        <w:t xml:space="preserve"> et al., 1988; Aoki et al., 2002; </w:t>
      </w:r>
      <w:proofErr w:type="spellStart"/>
      <w:r>
        <w:t>Arisue</w:t>
      </w:r>
      <w:proofErr w:type="spellEnd"/>
      <w:r>
        <w:t xml:space="preserve"> et al., 2011)</w:t>
      </w:r>
      <w:r>
        <w:rPr>
          <w:i/>
        </w:rPr>
        <w:t xml:space="preserve"> </w:t>
      </w:r>
      <w:r>
        <w:t>might be explainable</w:t>
      </w:r>
      <w:r>
        <w:rPr>
          <w:i/>
        </w:rPr>
        <w:t xml:space="preserve"> </w:t>
      </w:r>
      <w:r>
        <w:t>and</w:t>
      </w:r>
      <w:r>
        <w:rPr>
          <w:i/>
        </w:rPr>
        <w:t xml:space="preserve"> </w:t>
      </w:r>
      <w:r>
        <w:t xml:space="preserve">in malaria </w:t>
      </w:r>
      <w:proofErr w:type="spellStart"/>
      <w:r>
        <w:t>tropica</w:t>
      </w:r>
      <w:proofErr w:type="spellEnd"/>
      <w:r>
        <w:t xml:space="preserve"> the pathogen’s serine molecule seems to be a driver of the infection.</w:t>
      </w:r>
      <w:r w:rsidR="00CA154C">
        <w:t xml:space="preserve"> </w:t>
      </w:r>
      <w:r>
        <w:t xml:space="preserve">Although the pathogenesis of a non-viral infection cannot be compared to that of a viral infection, the following data strongly suggests that SARS-CoV-2 invades the human cell by forming an intermediate hybrid </w:t>
      </w:r>
      <w:r>
        <w:rPr>
          <w:i/>
        </w:rPr>
        <w:t>O</w:t>
      </w:r>
      <w:r>
        <w:t xml:space="preserve">-glycan. The virus cannot survive outside its host, and hypothetically utilizes the host cell’s machinery by hijacking the A-like/Tn formation after liberation of serine molecules. A recent review published by Watanabe et al. (2019) </w:t>
      </w:r>
      <w:r>
        <w:lastRenderedPageBreak/>
        <w:t>provided similar suggestions. The virus obviously enters the human body via the ACE2 protein, a polyfunctional protein that represents the binding domain of SARS-</w:t>
      </w:r>
      <w:proofErr w:type="spellStart"/>
      <w:r>
        <w:t>CoV</w:t>
      </w:r>
      <w:proofErr w:type="spellEnd"/>
      <w:r w:rsidR="00B407BC">
        <w:t xml:space="preserve"> </w:t>
      </w:r>
      <w:r>
        <w:t>viruses. In a complex signaling pathway, ACE2 binds to the S protein on the viral envelope (Inoue et al., 2007) and after the subsequent cleavage of the ACE–viral S protein complex by cathepsin L (Simmons et al., 2005),</w:t>
      </w:r>
      <w:r>
        <w:rPr>
          <w:b/>
        </w:rPr>
        <w:t xml:space="preserve"> </w:t>
      </w:r>
      <w:r>
        <w:t>the virus enters the cell by receptor-mediated endocytosis (Wang et al</w:t>
      </w:r>
      <w:r>
        <w:rPr>
          <w:i/>
        </w:rPr>
        <w:t>.</w:t>
      </w:r>
      <w:r>
        <w:t xml:space="preserve">, 2008). </w:t>
      </w:r>
    </w:p>
    <w:p w14:paraId="6E59B2CA" w14:textId="696E3E82" w:rsidR="00F149F4" w:rsidRDefault="00BB7025" w:rsidP="00A05BF7">
      <w:pPr>
        <w:spacing w:after="0"/>
        <w:ind w:left="964" w:right="57" w:firstLine="58"/>
        <w:rPr>
          <w:color w:val="auto"/>
        </w:rPr>
      </w:pPr>
      <w:r>
        <w:t xml:space="preserve">     </w:t>
      </w:r>
      <w:r w:rsidR="0008288D">
        <w:t>Regarding which amino acids dominate the host–pathogen fusion process, the most critical molecular step appears to be the mobilization of the viral serine molecule which is performed by the host protease</w:t>
      </w:r>
      <w:r w:rsidR="0008288D">
        <w:rPr>
          <w:i/>
        </w:rPr>
        <w:t xml:space="preserve"> </w:t>
      </w:r>
      <w:r w:rsidR="0008288D">
        <w:t>TMPRSS2</w:t>
      </w:r>
      <w:r w:rsidR="0008288D">
        <w:rPr>
          <w:i/>
        </w:rPr>
        <w:t xml:space="preserve"> </w:t>
      </w:r>
      <w:r w:rsidR="0008288D">
        <w:t xml:space="preserve">(Matsuyama et al., 2010; Hoffmann et al., 2020). The history of this hydrophilic amino acid and its essential involvement in the pathogenesis of SARS-CoV-2 strongly suggest that the binding between pathogen and host occurs via </w:t>
      </w:r>
      <w:r w:rsidR="0008288D">
        <w:rPr>
          <w:i/>
        </w:rPr>
        <w:t>O</w:t>
      </w:r>
      <w:r w:rsidR="0008288D">
        <w:t>-glycosylation. Although serine-rich repeat proteins (SRRPs) that are involved in the adhesion of different bacteria (</w:t>
      </w:r>
      <w:proofErr w:type="spellStart"/>
      <w:r w:rsidR="0008288D">
        <w:t>Latousakis</w:t>
      </w:r>
      <w:proofErr w:type="spellEnd"/>
      <w:r w:rsidR="0008288D">
        <w:t xml:space="preserve"> et al., 2020) to host cell carbohydrates via </w:t>
      </w:r>
      <w:r w:rsidR="0008288D" w:rsidRPr="00050BA6">
        <w:rPr>
          <w:i/>
          <w:color w:val="auto"/>
        </w:rPr>
        <w:t>O</w:t>
      </w:r>
      <w:r w:rsidR="0064040C" w:rsidRPr="00050BA6">
        <w:rPr>
          <w:b/>
          <w:i/>
          <w:color w:val="auto"/>
        </w:rPr>
        <w:t>-</w:t>
      </w:r>
      <w:r w:rsidR="0008288D" w:rsidRPr="00050BA6">
        <w:rPr>
          <w:color w:val="auto"/>
        </w:rPr>
        <w:t xml:space="preserve">glycosylation </w:t>
      </w:r>
      <w:r w:rsidR="0008288D">
        <w:t>have not yet been described for the pathogenesis of viral infections, such a mechanism might occur in the pathogenesis of SARS-</w:t>
      </w:r>
      <w:proofErr w:type="spellStart"/>
      <w:r w:rsidR="0008288D">
        <w:t>CoV</w:t>
      </w:r>
      <w:proofErr w:type="spellEnd"/>
      <w:r w:rsidR="0008288D">
        <w:t xml:space="preserve"> infections. The role of the serine molecule in this pathogenesis may be revealed in pharmacotherapeutic studies </w:t>
      </w:r>
      <w:r w:rsidR="007C308E">
        <w:t>as conducted by Meyer et al.</w:t>
      </w:r>
      <w:r w:rsidR="00937118">
        <w:t xml:space="preserve"> </w:t>
      </w:r>
      <w:r w:rsidR="007C308E">
        <w:t xml:space="preserve">(2013): </w:t>
      </w:r>
      <w:r w:rsidR="0008288D">
        <w:rPr>
          <w:color w:val="1A1A1A"/>
        </w:rPr>
        <w:t xml:space="preserve">The catalytic domain of TMPRSS2 was expressed in </w:t>
      </w:r>
      <w:r w:rsidR="0008288D">
        <w:rPr>
          <w:i/>
          <w:color w:val="1A1A1A"/>
        </w:rPr>
        <w:t>Escherichia coli</w:t>
      </w:r>
      <w:r w:rsidR="0008288D">
        <w:rPr>
          <w:color w:val="1A1A1A"/>
        </w:rPr>
        <w:t xml:space="preserve"> and used for an inhibitor screen with previously synthesized inhibitors of various trypsin-like serine proteases</w:t>
      </w:r>
      <w:r w:rsidR="007C308E">
        <w:rPr>
          <w:color w:val="1A1A1A"/>
        </w:rPr>
        <w:t>;</w:t>
      </w:r>
      <w:r w:rsidR="0008288D">
        <w:rPr>
          <w:color w:val="1A1A1A"/>
        </w:rPr>
        <w:t xml:space="preserve"> two inhibitor types were identified, which inhibit TMPRSS2 in the nanomolar range. </w:t>
      </w:r>
      <w:r w:rsidR="0008288D" w:rsidRPr="00937118">
        <w:rPr>
          <w:i/>
          <w:color w:val="1A1A1A"/>
        </w:rPr>
        <w:t xml:space="preserve">The first series comprises substrate analogue inhibitors containing a 4-amidinobenzylamide moiety at the P1 position and some of these analogues possess inhibition constants of approximately 20 </w:t>
      </w:r>
      <w:proofErr w:type="spellStart"/>
      <w:r w:rsidR="0008288D" w:rsidRPr="00937118">
        <w:rPr>
          <w:i/>
          <w:color w:val="1A1A1A"/>
        </w:rPr>
        <w:t>nM</w:t>
      </w:r>
      <w:proofErr w:type="spellEnd"/>
      <w:r w:rsidR="0008288D" w:rsidRPr="00937118">
        <w:rPr>
          <w:i/>
          <w:color w:val="1A1A1A"/>
        </w:rPr>
        <w:t xml:space="preserve">; an improved potency was found for a second type derived from </w:t>
      </w:r>
      <w:proofErr w:type="spellStart"/>
      <w:r w:rsidR="0008288D" w:rsidRPr="00937118">
        <w:rPr>
          <w:i/>
          <w:color w:val="1A1A1A"/>
        </w:rPr>
        <w:t>sulfonylated</w:t>
      </w:r>
      <w:proofErr w:type="spellEnd"/>
      <w:r w:rsidR="0008288D" w:rsidRPr="00937118">
        <w:rPr>
          <w:i/>
          <w:color w:val="1A1A1A"/>
        </w:rPr>
        <w:t xml:space="preserve"> 3-amindinophenylalanylamide derivatives.</w:t>
      </w:r>
      <w:r w:rsidR="0008288D">
        <w:t xml:space="preserve"> In addition, transcriptional inhibition of host viral entry proteins may be utilized with other pharmaceuticals in future therapeutic strategies against SARS-CoV-2 infection (Wang et al., 2020). Furthermore, inhibiting the interaction between the viral S protein and the host cell receptor by natural and monoclonal anti-A antibodies (</w:t>
      </w:r>
      <w:proofErr w:type="spellStart"/>
      <w:r w:rsidR="0008288D">
        <w:t>Guillon</w:t>
      </w:r>
      <w:proofErr w:type="spellEnd"/>
      <w:r w:rsidR="0008288D">
        <w:t xml:space="preserve"> et al., 2008) indicates the </w:t>
      </w:r>
      <w:r w:rsidR="0008288D">
        <w:lastRenderedPageBreak/>
        <w:t xml:space="preserve">inhibition of an A-like or </w:t>
      </w:r>
      <w:r w:rsidR="0008288D">
        <w:rPr>
          <w:i/>
        </w:rPr>
        <w:t>O</w:t>
      </w:r>
      <w:r w:rsidR="0008288D">
        <w:t>-glycan formation.</w:t>
      </w:r>
      <w:r w:rsidR="0008288D">
        <w:rPr>
          <w:vertAlign w:val="superscript"/>
        </w:rPr>
        <w:t xml:space="preserve"> </w:t>
      </w:r>
      <w:r w:rsidR="00C05640">
        <w:t xml:space="preserve">And </w:t>
      </w:r>
      <w:r w:rsidR="0008288D">
        <w:t xml:space="preserve">when the most critical molecular step in the pathogenesis of SARS-CoV-2 appears to be the mobilization of the viral serine molecule, the preferential occurrence of severe symptoms in individuals with non-O blood groups suggests that serine residues are the </w:t>
      </w:r>
      <w:proofErr w:type="spellStart"/>
      <w:r w:rsidR="0008288D">
        <w:t>glycosidic</w:t>
      </w:r>
      <w:proofErr w:type="spellEnd"/>
      <w:r w:rsidR="0008288D">
        <w:rPr>
          <w:i/>
        </w:rPr>
        <w:t xml:space="preserve"> </w:t>
      </w:r>
      <w:r w:rsidR="0008288D">
        <w:t xml:space="preserve">targets of the phenotype-determining saccharides of blood group A and B. Serine residues are preserved on the viral S protein and become available through the action of the host protease TMPRSS2. </w:t>
      </w:r>
      <w:r w:rsidR="0008288D" w:rsidRPr="005B293B">
        <w:rPr>
          <w:color w:val="auto"/>
        </w:rPr>
        <w:t xml:space="preserve">Thus, apart from functional peptide formations, the essential binding between host and pathogen might not </w:t>
      </w:r>
      <w:r w:rsidR="00C95144" w:rsidRPr="005B293B">
        <w:rPr>
          <w:color w:val="auto"/>
        </w:rPr>
        <w:t>be represented</w:t>
      </w:r>
      <w:r w:rsidR="0008288D" w:rsidRPr="005B293B">
        <w:rPr>
          <w:color w:val="auto"/>
        </w:rPr>
        <w:t xml:space="preserve"> </w:t>
      </w:r>
      <w:r w:rsidR="006529BD" w:rsidRPr="005B293B">
        <w:rPr>
          <w:color w:val="auto"/>
        </w:rPr>
        <w:t>by</w:t>
      </w:r>
      <w:r w:rsidR="0008288D" w:rsidRPr="005B293B">
        <w:rPr>
          <w:color w:val="auto"/>
        </w:rPr>
        <w:t xml:space="preserve"> a hybrid peptide but an intermediate hybrid </w:t>
      </w:r>
      <w:r w:rsidR="0008288D" w:rsidRPr="005B293B">
        <w:rPr>
          <w:i/>
          <w:color w:val="auto"/>
        </w:rPr>
        <w:t>O</w:t>
      </w:r>
      <w:r w:rsidR="0008288D" w:rsidRPr="005B293B">
        <w:rPr>
          <w:color w:val="auto"/>
        </w:rPr>
        <w:t>-glycan; the</w:t>
      </w:r>
      <w:r w:rsidR="0008288D" w:rsidRPr="005B293B">
        <w:rPr>
          <w:i/>
          <w:color w:val="auto"/>
        </w:rPr>
        <w:t xml:space="preserve"> </w:t>
      </w:r>
      <w:r w:rsidR="0008288D" w:rsidRPr="005B293B">
        <w:rPr>
          <w:color w:val="auto"/>
        </w:rPr>
        <w:t>ACE2 receptor protein, assumingly codetermined by the ABO(H) phenotype (</w:t>
      </w:r>
      <w:proofErr w:type="spellStart"/>
      <w:r w:rsidR="0008288D" w:rsidRPr="005B293B">
        <w:rPr>
          <w:color w:val="auto"/>
        </w:rPr>
        <w:t>Cidl</w:t>
      </w:r>
      <w:proofErr w:type="spellEnd"/>
      <w:r w:rsidR="0008288D" w:rsidRPr="005B293B">
        <w:rPr>
          <w:color w:val="auto"/>
        </w:rPr>
        <w:t xml:space="preserve"> et al</w:t>
      </w:r>
      <w:r w:rsidR="0008288D" w:rsidRPr="005B293B">
        <w:rPr>
          <w:i/>
          <w:color w:val="auto"/>
        </w:rPr>
        <w:t>.</w:t>
      </w:r>
      <w:r w:rsidR="0008288D" w:rsidRPr="005B293B">
        <w:rPr>
          <w:color w:val="auto"/>
        </w:rPr>
        <w:t>, 1996;</w:t>
      </w:r>
      <w:r w:rsidR="0008288D" w:rsidRPr="005B293B">
        <w:rPr>
          <w:color w:val="auto"/>
          <w:vertAlign w:val="superscript"/>
        </w:rPr>
        <w:t xml:space="preserve"> </w:t>
      </w:r>
      <w:proofErr w:type="spellStart"/>
      <w:r w:rsidR="0008288D" w:rsidRPr="005B293B">
        <w:rPr>
          <w:color w:val="auto"/>
        </w:rPr>
        <w:t>Gassó</w:t>
      </w:r>
      <w:proofErr w:type="spellEnd"/>
      <w:r w:rsidR="0008288D" w:rsidRPr="005B293B">
        <w:rPr>
          <w:color w:val="auto"/>
        </w:rPr>
        <w:t xml:space="preserve"> et al</w:t>
      </w:r>
      <w:r w:rsidR="0008288D" w:rsidRPr="005B293B">
        <w:rPr>
          <w:i/>
          <w:color w:val="auto"/>
        </w:rPr>
        <w:t>.</w:t>
      </w:r>
      <w:r w:rsidR="0008288D" w:rsidRPr="005B293B">
        <w:rPr>
          <w:color w:val="auto"/>
        </w:rPr>
        <w:t xml:space="preserve">, 2014; </w:t>
      </w:r>
      <w:proofErr w:type="spellStart"/>
      <w:r w:rsidR="0008288D" w:rsidRPr="005B293B">
        <w:rPr>
          <w:color w:val="auto"/>
        </w:rPr>
        <w:t>Terao</w:t>
      </w:r>
      <w:proofErr w:type="spellEnd"/>
      <w:r w:rsidR="0008288D" w:rsidRPr="005B293B">
        <w:rPr>
          <w:color w:val="auto"/>
        </w:rPr>
        <w:t xml:space="preserve"> et al</w:t>
      </w:r>
      <w:r w:rsidR="0008288D" w:rsidRPr="005B293B">
        <w:rPr>
          <w:i/>
          <w:color w:val="auto"/>
        </w:rPr>
        <w:t>.</w:t>
      </w:r>
      <w:r w:rsidR="0008288D" w:rsidRPr="005B293B">
        <w:rPr>
          <w:color w:val="auto"/>
        </w:rPr>
        <w:t>, 2013), would mediate the activities of the ABO(H) glycan-transferring enzymes to achieve blood group A- and/or B-specific mucin-type (</w:t>
      </w:r>
      <w:r w:rsidR="0008288D" w:rsidRPr="005B293B">
        <w:rPr>
          <w:i/>
          <w:color w:val="auto"/>
        </w:rPr>
        <w:t>O-</w:t>
      </w:r>
      <w:proofErr w:type="spellStart"/>
      <w:r w:rsidR="0008288D" w:rsidRPr="005B293B">
        <w:rPr>
          <w:color w:val="auto"/>
        </w:rPr>
        <w:t>glycosidic</w:t>
      </w:r>
      <w:proofErr w:type="spellEnd"/>
      <w:r w:rsidR="0008288D" w:rsidRPr="005B293B">
        <w:rPr>
          <w:color w:val="auto"/>
        </w:rPr>
        <w:t xml:space="preserve">), hybrid binding.  </w:t>
      </w:r>
    </w:p>
    <w:p w14:paraId="006D71C8" w14:textId="4DF6F06A" w:rsidR="00A82C42" w:rsidRPr="007D6F3C" w:rsidRDefault="007A2B6C" w:rsidP="00A05BF7">
      <w:pPr>
        <w:spacing w:after="0"/>
        <w:ind w:left="964" w:right="57" w:firstLine="58"/>
        <w:rPr>
          <w:szCs w:val="28"/>
        </w:rPr>
      </w:pPr>
      <w:r>
        <w:rPr>
          <w:szCs w:val="28"/>
        </w:rPr>
        <w:t xml:space="preserve">     </w:t>
      </w:r>
      <w:r w:rsidR="009D26DC">
        <w:rPr>
          <w:szCs w:val="28"/>
        </w:rPr>
        <w:t xml:space="preserve"> </w:t>
      </w:r>
      <w:r w:rsidR="00231BE6">
        <w:rPr>
          <w:szCs w:val="28"/>
        </w:rPr>
        <w:t>In conclusion, the i</w:t>
      </w:r>
      <w:r w:rsidR="00A82C42" w:rsidRPr="00593ADF">
        <w:rPr>
          <w:szCs w:val="28"/>
        </w:rPr>
        <w:t xml:space="preserve">nfection of the human with SARS-CoV-2 virus occurs via trans-species enzyme-substrate competition, involving both </w:t>
      </w:r>
      <w:r w:rsidR="00A82C42" w:rsidRPr="00593ADF">
        <w:rPr>
          <w:i/>
          <w:szCs w:val="28"/>
        </w:rPr>
        <w:t>N</w:t>
      </w:r>
      <w:r w:rsidR="00A82C42" w:rsidRPr="00593ADF">
        <w:rPr>
          <w:szCs w:val="28"/>
        </w:rPr>
        <w:t xml:space="preserve">- and </w:t>
      </w:r>
      <w:r w:rsidR="00A82C42" w:rsidRPr="00593ADF">
        <w:rPr>
          <w:i/>
          <w:szCs w:val="28"/>
        </w:rPr>
        <w:t>O</w:t>
      </w:r>
      <w:r w:rsidR="00A82C42" w:rsidRPr="00593ADF">
        <w:rPr>
          <w:szCs w:val="28"/>
        </w:rPr>
        <w:t>-</w:t>
      </w:r>
      <w:proofErr w:type="spellStart"/>
      <w:r w:rsidR="00A82C42" w:rsidRPr="00593ADF">
        <w:rPr>
          <w:szCs w:val="28"/>
        </w:rPr>
        <w:t>glycosylations</w:t>
      </w:r>
      <w:proofErr w:type="spellEnd"/>
      <w:r w:rsidR="00A82C42">
        <w:rPr>
          <w:szCs w:val="28"/>
        </w:rPr>
        <w:t>, connecting</w:t>
      </w:r>
      <w:r w:rsidR="00A82C42" w:rsidRPr="00593ADF">
        <w:rPr>
          <w:szCs w:val="28"/>
        </w:rPr>
        <w:t xml:space="preserve"> peptides of the pathogen </w:t>
      </w:r>
      <w:r w:rsidR="00A82C42">
        <w:rPr>
          <w:szCs w:val="28"/>
        </w:rPr>
        <w:t xml:space="preserve">with </w:t>
      </w:r>
      <w:r w:rsidR="00A82C42" w:rsidRPr="00593ADF">
        <w:rPr>
          <w:szCs w:val="28"/>
        </w:rPr>
        <w:t>carbohydrates of the host, and the first step of the pathogenesis most likely is performed by generation of blood group-independent</w:t>
      </w:r>
      <w:r w:rsidR="00A82C42">
        <w:rPr>
          <w:szCs w:val="28"/>
        </w:rPr>
        <w:t>, intermediate</w:t>
      </w:r>
      <w:r w:rsidR="00A82C42" w:rsidRPr="00593ADF">
        <w:rPr>
          <w:szCs w:val="28"/>
        </w:rPr>
        <w:t xml:space="preserve"> A-like/Tn </w:t>
      </w:r>
      <w:r w:rsidR="00A82C42" w:rsidRPr="00314045">
        <w:rPr>
          <w:i/>
          <w:szCs w:val="28"/>
        </w:rPr>
        <w:t>O</w:t>
      </w:r>
      <w:r w:rsidR="00A82C42" w:rsidRPr="00593ADF">
        <w:rPr>
          <w:szCs w:val="28"/>
        </w:rPr>
        <w:t>-glycan</w:t>
      </w:r>
      <w:r w:rsidR="00A82C42">
        <w:rPr>
          <w:szCs w:val="28"/>
        </w:rPr>
        <w:t xml:space="preserve"> bridges</w:t>
      </w:r>
      <w:r w:rsidR="00A82C42" w:rsidRPr="00593ADF">
        <w:rPr>
          <w:szCs w:val="28"/>
        </w:rPr>
        <w:t xml:space="preserve">. Although protein </w:t>
      </w:r>
      <w:proofErr w:type="spellStart"/>
      <w:r w:rsidR="00A82C42" w:rsidRPr="00593ADF">
        <w:rPr>
          <w:szCs w:val="28"/>
        </w:rPr>
        <w:t>glycosylations</w:t>
      </w:r>
      <w:proofErr w:type="spellEnd"/>
      <w:r w:rsidR="00A82C42" w:rsidRPr="00593ADF">
        <w:rPr>
          <w:szCs w:val="28"/>
        </w:rPr>
        <w:t xml:space="preserve"> are mainly performed intracellularly in the trans cisterna of the Golgi-Apparatus, the species barrier most likely is broken by extracellular </w:t>
      </w:r>
      <w:proofErr w:type="spellStart"/>
      <w:r w:rsidR="00A82C42" w:rsidRPr="00593ADF">
        <w:rPr>
          <w:szCs w:val="28"/>
        </w:rPr>
        <w:t>glycosylation</w:t>
      </w:r>
      <w:r w:rsidR="00A82C42">
        <w:rPr>
          <w:szCs w:val="28"/>
        </w:rPr>
        <w:t>s</w:t>
      </w:r>
      <w:proofErr w:type="spellEnd"/>
      <w:r w:rsidR="00A82C42" w:rsidRPr="00593ADF">
        <w:rPr>
          <w:szCs w:val="28"/>
        </w:rPr>
        <w:t xml:space="preserve"> when the pathogen’s serine, liberated from the S-protein, meets upon the host’s </w:t>
      </w:r>
      <w:proofErr w:type="spellStart"/>
      <w:r w:rsidR="00A82C42" w:rsidRPr="00593ADF">
        <w:rPr>
          <w:szCs w:val="28"/>
        </w:rPr>
        <w:t>GalNAc</w:t>
      </w:r>
      <w:proofErr w:type="spellEnd"/>
      <w:r w:rsidR="00A82C42" w:rsidRPr="00593ADF">
        <w:rPr>
          <w:szCs w:val="28"/>
        </w:rPr>
        <w:t xml:space="preserve"> molecule at the catalytic domain on the ACE -receptor and its </w:t>
      </w:r>
      <w:proofErr w:type="spellStart"/>
      <w:r w:rsidR="00C242F8">
        <w:rPr>
          <w:szCs w:val="28"/>
        </w:rPr>
        <w:t>gly</w:t>
      </w:r>
      <w:r w:rsidR="00A82C42" w:rsidRPr="00593ADF">
        <w:rPr>
          <w:szCs w:val="28"/>
        </w:rPr>
        <w:t>transferases</w:t>
      </w:r>
      <w:proofErr w:type="spellEnd"/>
      <w:r w:rsidR="00A82C42" w:rsidRPr="00593ADF">
        <w:rPr>
          <w:szCs w:val="28"/>
        </w:rPr>
        <w:t>. While ABO(H) blood group-specific plasma glycotransferases may originate from various sources, an essential source has been revealed in activated platelets</w:t>
      </w:r>
      <w:r w:rsidR="00A82C42">
        <w:rPr>
          <w:szCs w:val="28"/>
        </w:rPr>
        <w:t xml:space="preserve"> (</w:t>
      </w:r>
      <w:proofErr w:type="spellStart"/>
      <w:r w:rsidR="00A82C42">
        <w:rPr>
          <w:szCs w:val="28"/>
        </w:rPr>
        <w:t>Wandall</w:t>
      </w:r>
      <w:proofErr w:type="spellEnd"/>
      <w:r w:rsidR="00A82C42">
        <w:rPr>
          <w:szCs w:val="28"/>
        </w:rPr>
        <w:t xml:space="preserve"> et al., 2012; Lee-</w:t>
      </w:r>
      <w:proofErr w:type="spellStart"/>
      <w:r w:rsidR="00A82C42">
        <w:rPr>
          <w:szCs w:val="28"/>
        </w:rPr>
        <w:t>Sundlov</w:t>
      </w:r>
      <w:proofErr w:type="spellEnd"/>
      <w:r w:rsidR="00A82C42">
        <w:rPr>
          <w:szCs w:val="28"/>
        </w:rPr>
        <w:t xml:space="preserve"> et al., 2017))</w:t>
      </w:r>
      <w:r w:rsidR="00A82C42" w:rsidRPr="00593ADF">
        <w:rPr>
          <w:szCs w:val="28"/>
        </w:rPr>
        <w:t>, which together with energy-rich (amino)sugars</w:t>
      </w:r>
      <w:r w:rsidR="00002BFD">
        <w:rPr>
          <w:szCs w:val="28"/>
        </w:rPr>
        <w:t xml:space="preserve"> </w:t>
      </w:r>
      <w:r w:rsidR="00A82C42" w:rsidRPr="00593ADF">
        <w:rPr>
          <w:szCs w:val="28"/>
        </w:rPr>
        <w:t>release glycotransferase specificities</w:t>
      </w:r>
      <w:r w:rsidR="007C565A">
        <w:rPr>
          <w:szCs w:val="28"/>
        </w:rPr>
        <w:t>,</w:t>
      </w:r>
      <w:r w:rsidR="00A82C42" w:rsidRPr="00593ADF">
        <w:rPr>
          <w:szCs w:val="28"/>
        </w:rPr>
        <w:t xml:space="preserve"> according to the ABO(H) group of the individual</w:t>
      </w:r>
      <w:r w:rsidR="00062565">
        <w:rPr>
          <w:szCs w:val="28"/>
        </w:rPr>
        <w:t xml:space="preserve"> (Matsui et al., 2001).</w:t>
      </w:r>
      <w:r w:rsidR="00A82C42" w:rsidRPr="00593ADF">
        <w:rPr>
          <w:szCs w:val="28"/>
        </w:rPr>
        <w:t xml:space="preserve"> Moreover</w:t>
      </w:r>
      <w:r w:rsidR="00A82C42">
        <w:rPr>
          <w:szCs w:val="28"/>
        </w:rPr>
        <w:t>,</w:t>
      </w:r>
      <w:r w:rsidR="00A82C42" w:rsidRPr="00593ADF">
        <w:rPr>
          <w:szCs w:val="28"/>
        </w:rPr>
        <w:t xml:space="preserve"> </w:t>
      </w:r>
      <w:r w:rsidR="00A82C42">
        <w:rPr>
          <w:szCs w:val="28"/>
        </w:rPr>
        <w:t>the pathogenesis of SARS-CoV-2</w:t>
      </w:r>
      <w:r w:rsidR="00A82C42" w:rsidRPr="00593ADF">
        <w:rPr>
          <w:szCs w:val="28"/>
        </w:rPr>
        <w:t xml:space="preserve"> </w:t>
      </w:r>
      <w:r w:rsidR="00A82C42">
        <w:rPr>
          <w:szCs w:val="28"/>
        </w:rPr>
        <w:t>appears to be</w:t>
      </w:r>
      <w:r w:rsidR="007C565A">
        <w:rPr>
          <w:szCs w:val="28"/>
        </w:rPr>
        <w:t xml:space="preserve"> </w:t>
      </w:r>
      <w:r w:rsidR="00A82C42">
        <w:rPr>
          <w:szCs w:val="28"/>
        </w:rPr>
        <w:t xml:space="preserve">characterized by platelet </w:t>
      </w:r>
      <w:proofErr w:type="spellStart"/>
      <w:r w:rsidR="00A82C42">
        <w:rPr>
          <w:szCs w:val="28"/>
        </w:rPr>
        <w:t>activitation</w:t>
      </w:r>
      <w:proofErr w:type="spellEnd"/>
      <w:r w:rsidR="00A82C42">
        <w:rPr>
          <w:szCs w:val="28"/>
        </w:rPr>
        <w:t xml:space="preserve">, </w:t>
      </w:r>
      <w:r w:rsidR="00B5292F">
        <w:rPr>
          <w:szCs w:val="28"/>
        </w:rPr>
        <w:t xml:space="preserve">which </w:t>
      </w:r>
      <w:r w:rsidR="00AC1A26">
        <w:rPr>
          <w:szCs w:val="28"/>
        </w:rPr>
        <w:t>together with the ABO(H) blood group</w:t>
      </w:r>
      <w:r w:rsidR="003E7ABF">
        <w:rPr>
          <w:szCs w:val="28"/>
        </w:rPr>
        <w:t>-</w:t>
      </w:r>
      <w:r w:rsidR="00AC1A26">
        <w:rPr>
          <w:szCs w:val="28"/>
        </w:rPr>
        <w:t xml:space="preserve">active </w:t>
      </w:r>
      <w:r w:rsidR="00AC1A26">
        <w:rPr>
          <w:szCs w:val="28"/>
        </w:rPr>
        <w:lastRenderedPageBreak/>
        <w:t>clotting proteins</w:t>
      </w:r>
      <w:r w:rsidR="007D6F3C">
        <w:rPr>
          <w:szCs w:val="28"/>
        </w:rPr>
        <w:t xml:space="preserve"> </w:t>
      </w:r>
      <w:r w:rsidR="007D6F3C">
        <w:rPr>
          <w:color w:val="auto"/>
        </w:rPr>
        <w:t xml:space="preserve">(O’Sullivan et al., 2016; </w:t>
      </w:r>
      <w:proofErr w:type="spellStart"/>
      <w:r w:rsidR="007D6F3C">
        <w:rPr>
          <w:color w:val="auto"/>
        </w:rPr>
        <w:t>O’Donnel</w:t>
      </w:r>
      <w:proofErr w:type="spellEnd"/>
      <w:r w:rsidR="007D6F3C">
        <w:rPr>
          <w:color w:val="auto"/>
        </w:rPr>
        <w:t xml:space="preserve"> et al., 2005, </w:t>
      </w:r>
      <w:proofErr w:type="spellStart"/>
      <w:r w:rsidR="008C788A">
        <w:rPr>
          <w:color w:val="auto"/>
        </w:rPr>
        <w:t>Stefely</w:t>
      </w:r>
      <w:proofErr w:type="spellEnd"/>
      <w:r w:rsidR="007D6F3C">
        <w:rPr>
          <w:color w:val="auto"/>
        </w:rPr>
        <w:t xml:space="preserve"> et al. 202</w:t>
      </w:r>
      <w:r w:rsidR="00D41878">
        <w:rPr>
          <w:color w:val="auto"/>
        </w:rPr>
        <w:t>0</w:t>
      </w:r>
      <w:r w:rsidR="007D6F3C">
        <w:rPr>
          <w:color w:val="auto"/>
        </w:rPr>
        <w:t>)</w:t>
      </w:r>
      <w:r w:rsidR="007D6F3C">
        <w:rPr>
          <w:szCs w:val="28"/>
        </w:rPr>
        <w:t xml:space="preserve"> </w:t>
      </w:r>
      <w:r w:rsidR="00912B4A">
        <w:rPr>
          <w:szCs w:val="28"/>
        </w:rPr>
        <w:t>may determine</w:t>
      </w:r>
      <w:r w:rsidR="00A82C42">
        <w:rPr>
          <w:szCs w:val="28"/>
        </w:rPr>
        <w:t xml:space="preserve"> the severity of the disease</w:t>
      </w:r>
      <w:r w:rsidR="00FF1C3E">
        <w:rPr>
          <w:szCs w:val="28"/>
        </w:rPr>
        <w:t xml:space="preserve"> (Bongiovanni et al., 2021)</w:t>
      </w:r>
      <w:r w:rsidR="00A82C42">
        <w:rPr>
          <w:szCs w:val="28"/>
        </w:rPr>
        <w:t>.</w:t>
      </w:r>
    </w:p>
    <w:p w14:paraId="022CEC71" w14:textId="77777777" w:rsidR="00F149F4" w:rsidRPr="00276553" w:rsidRDefault="0008288D" w:rsidP="00A05BF7">
      <w:pPr>
        <w:spacing w:after="0" w:line="259" w:lineRule="auto"/>
        <w:ind w:left="964" w:right="57" w:firstLine="0"/>
        <w:jc w:val="left"/>
        <w:rPr>
          <w:color w:val="C00000"/>
        </w:rPr>
      </w:pPr>
      <w:r w:rsidRPr="00276553">
        <w:rPr>
          <w:b/>
          <w:color w:val="C00000"/>
        </w:rPr>
        <w:t xml:space="preserve">   </w:t>
      </w:r>
    </w:p>
    <w:p w14:paraId="523F0514" w14:textId="77777777" w:rsidR="003E1EAB" w:rsidRDefault="003E1EAB" w:rsidP="00A05BF7">
      <w:pPr>
        <w:pStyle w:val="berschrift1"/>
        <w:spacing w:after="0" w:line="356" w:lineRule="auto"/>
        <w:ind w:left="964" w:right="57"/>
      </w:pPr>
    </w:p>
    <w:p w14:paraId="107764AD" w14:textId="0E9055FA" w:rsidR="00F149F4" w:rsidRDefault="0008288D" w:rsidP="00A05BF7">
      <w:pPr>
        <w:pStyle w:val="berschrift1"/>
        <w:spacing w:after="0" w:line="356" w:lineRule="auto"/>
        <w:ind w:left="964" w:right="57"/>
      </w:pPr>
      <w:r>
        <w:t xml:space="preserve">How the ABO(H) blood group phenotype might dominate the humoral innate immunity during SARS-CoV-2 infection </w:t>
      </w:r>
    </w:p>
    <w:p w14:paraId="738BE4F2" w14:textId="5EED6F69" w:rsidR="00F12B7B" w:rsidRDefault="0008288D" w:rsidP="00F12B7B">
      <w:pPr>
        <w:spacing w:after="0"/>
        <w:ind w:left="964" w:right="57"/>
      </w:pPr>
      <w:r>
        <w:t>Humoral innate immunity, or the first line of defense, and its complex connection with ABO(H) phenotype formation are considered to play the main role in SARS-CoV-2 infection and in the course of subsequent disease. In contrast to adaptive, environmentally</w:t>
      </w:r>
      <w:r w:rsidR="005663BF">
        <w:t>-</w:t>
      </w:r>
      <w:r>
        <w:t>induced immunoglobulin or B-cell activities, which are controlled by clonal selection, the production of the nonimmune and polyreactive IgM is not restricted to B</w:t>
      </w:r>
      <w:r w:rsidR="00AF7E02">
        <w:t>-</w:t>
      </w:r>
      <w:r>
        <w:t>cells, but spontaneously occurs in murine (Zhou, O’Hara and Chen, 2011;</w:t>
      </w:r>
      <w:r>
        <w:rPr>
          <w:vertAlign w:val="superscript"/>
        </w:rPr>
        <w:t xml:space="preserve"> </w:t>
      </w:r>
      <w:r>
        <w:t xml:space="preserve">Shao </w:t>
      </w:r>
      <w:r>
        <w:rPr>
          <w:i/>
        </w:rPr>
        <w:t>et al.</w:t>
      </w:r>
      <w:r>
        <w:t>, 2016)</w:t>
      </w:r>
      <w:r>
        <w:rPr>
          <w:vertAlign w:val="superscript"/>
        </w:rPr>
        <w:t xml:space="preserve"> </w:t>
      </w:r>
      <w:r>
        <w:t xml:space="preserve">and human (F. Hu </w:t>
      </w:r>
      <w:r>
        <w:rPr>
          <w:i/>
        </w:rPr>
        <w:t>et al.</w:t>
      </w:r>
      <w:r>
        <w:t xml:space="preserve">, 2012a) normal and malignant epithelial cells as well. The early ovariectomy of the C57BL/10 inbred mouse (Arend and </w:t>
      </w:r>
      <w:proofErr w:type="spellStart"/>
      <w:r>
        <w:t>Nijssen</w:t>
      </w:r>
      <w:proofErr w:type="spellEnd"/>
      <w:r>
        <w:t>, 1976;</w:t>
      </w:r>
      <w:r>
        <w:rPr>
          <w:vertAlign w:val="superscript"/>
        </w:rPr>
        <w:t xml:space="preserve"> </w:t>
      </w:r>
      <w:r>
        <w:t>1977a; 1977b) may have revealed that in the mammalian species this IgM molecule is a germline-encoded antibody, which through a complex evolutionary process</w:t>
      </w:r>
      <w:r w:rsidR="008F1DBE" w:rsidRPr="008F1DBE">
        <w:t xml:space="preserve"> </w:t>
      </w:r>
      <w:r w:rsidR="008F1DBE">
        <w:t>is</w:t>
      </w:r>
      <w:r w:rsidR="00FE67AF">
        <w:t xml:space="preserve"> </w:t>
      </w:r>
      <w:r>
        <w:t>structurally connected with the ancestral A-like/Tn antigen (detected in water-soluble ovarian glycolipids)</w:t>
      </w:r>
      <w:r w:rsidR="000314B1">
        <w:t>.</w:t>
      </w:r>
      <w:r w:rsidR="005B5589">
        <w:t xml:space="preserve"> </w:t>
      </w:r>
      <w:r w:rsidR="000314B1">
        <w:t>It is</w:t>
      </w:r>
      <w:r>
        <w:t xml:space="preserve"> considered its complementary </w:t>
      </w:r>
      <w:r w:rsidR="0061321E">
        <w:t>antibody</w:t>
      </w:r>
      <w:r>
        <w:t xml:space="preserve"> (Arend, P, 2016; P., 2017)</w:t>
      </w:r>
      <w:r w:rsidR="000314B1">
        <w:t xml:space="preserve"> and</w:t>
      </w:r>
      <w:r w:rsidR="007E4BF6" w:rsidRPr="007E4BF6">
        <w:t xml:space="preserve"> appears to </w:t>
      </w:r>
      <w:r w:rsidR="007E4BF6">
        <w:t>arise</w:t>
      </w:r>
      <w:r w:rsidR="007E4BF6" w:rsidRPr="007E4BF6">
        <w:t xml:space="preserve"> together with the ovarian antigen in a synthetic </w:t>
      </w:r>
      <w:r w:rsidR="007E4BF6">
        <w:t>entity</w:t>
      </w:r>
      <w:r w:rsidR="007E4BF6" w:rsidRPr="007E4BF6">
        <w:t xml:space="preserve">, </w:t>
      </w:r>
      <w:r w:rsidR="0061321E">
        <w:t xml:space="preserve">somehow </w:t>
      </w:r>
      <w:r w:rsidR="007E4BF6" w:rsidRPr="007E4BF6">
        <w:t xml:space="preserve">reminiscent of L. Pauling's </w:t>
      </w:r>
      <w:r w:rsidR="000314B1">
        <w:t xml:space="preserve">(1940) </w:t>
      </w:r>
      <w:r w:rsidR="007E4BF6">
        <w:t>ancient</w:t>
      </w:r>
      <w:r w:rsidR="007E4BF6" w:rsidRPr="007E4BF6">
        <w:t>, now abandoned template theory</w:t>
      </w:r>
      <w:r w:rsidR="000314B1">
        <w:t xml:space="preserve">. </w:t>
      </w:r>
      <w:r>
        <w:t>Although Larkin and Porter (2005) render the mouse an unsuitable model of the ABO(H)-phenotype discordance in primates, the murine nonimmune IgM has, in the presence of complement, lysed human RBC like an anti-A</w:t>
      </w:r>
      <w:r w:rsidR="00A82459">
        <w:t>/Tn</w:t>
      </w:r>
      <w:r>
        <w:t xml:space="preserve"> isoantibody and has even distinguished between the subgroups A</w:t>
      </w:r>
      <w:r>
        <w:rPr>
          <w:vertAlign w:val="subscript"/>
        </w:rPr>
        <w:t>1</w:t>
      </w:r>
      <w:r>
        <w:t xml:space="preserve"> and A</w:t>
      </w:r>
      <w:r>
        <w:rPr>
          <w:vertAlign w:val="subscript"/>
        </w:rPr>
        <w:t>2</w:t>
      </w:r>
      <w:r>
        <w:t xml:space="preserve"> (Arend and </w:t>
      </w:r>
      <w:proofErr w:type="spellStart"/>
      <w:r>
        <w:t>Nijssen</w:t>
      </w:r>
      <w:proofErr w:type="spellEnd"/>
      <w:r>
        <w:t xml:space="preserve">, 1977a).   </w:t>
      </w:r>
    </w:p>
    <w:p w14:paraId="2D11907F" w14:textId="5EF72D12" w:rsidR="00DE53B6" w:rsidRPr="00843CB7" w:rsidRDefault="00F12B7B" w:rsidP="00843CB7">
      <w:pPr>
        <w:spacing w:after="0"/>
        <w:ind w:left="964" w:right="57"/>
        <w:rPr>
          <w:szCs w:val="28"/>
        </w:rPr>
      </w:pPr>
      <w:r>
        <w:rPr>
          <w:b/>
          <w:sz w:val="24"/>
          <w:szCs w:val="24"/>
        </w:rPr>
        <w:t xml:space="preserve">        </w:t>
      </w:r>
      <w:r w:rsidR="0008288D" w:rsidRPr="00750D81">
        <w:rPr>
          <w:szCs w:val="28"/>
        </w:rPr>
        <w:t>The human nonimmune neonatal IgM molecule is an aggressive anti-glycan-reactive antibody, exerting the innate anti-A</w:t>
      </w:r>
      <w:r w:rsidR="00A82459">
        <w:rPr>
          <w:szCs w:val="28"/>
        </w:rPr>
        <w:t>/Tn</w:t>
      </w:r>
      <w:r w:rsidR="0008288D" w:rsidRPr="00750D81">
        <w:rPr>
          <w:szCs w:val="28"/>
        </w:rPr>
        <w:t xml:space="preserve"> and anti-B isoagglutinin activities</w:t>
      </w:r>
      <w:r w:rsidR="00DD27C0" w:rsidRPr="00750D81">
        <w:rPr>
          <w:szCs w:val="28"/>
        </w:rPr>
        <w:t xml:space="preserve">, </w:t>
      </w:r>
      <w:r w:rsidR="00FF11C0" w:rsidRPr="00750D81">
        <w:rPr>
          <w:szCs w:val="28"/>
        </w:rPr>
        <w:t>which are</w:t>
      </w:r>
      <w:r w:rsidR="00DD27C0" w:rsidRPr="00750D81">
        <w:rPr>
          <w:szCs w:val="28"/>
        </w:rPr>
        <w:t xml:space="preserve"> </w:t>
      </w:r>
      <w:r w:rsidR="00FF11C0" w:rsidRPr="00750D81">
        <w:rPr>
          <w:szCs w:val="28"/>
        </w:rPr>
        <w:t>demonstrated in</w:t>
      </w:r>
      <w:r w:rsidR="00DD27C0" w:rsidRPr="00750D81">
        <w:rPr>
          <w:szCs w:val="28"/>
        </w:rPr>
        <w:t xml:space="preserve"> ABO(H)-incompatible blood transfusions</w:t>
      </w:r>
      <w:r w:rsidR="0008288D" w:rsidRPr="00750D81">
        <w:rPr>
          <w:szCs w:val="28"/>
        </w:rPr>
        <w:t xml:space="preserve"> </w:t>
      </w:r>
      <w:r w:rsidR="00FF11C0" w:rsidRPr="00750D81">
        <w:rPr>
          <w:szCs w:val="28"/>
        </w:rPr>
        <w:t xml:space="preserve">and are likely involved in the </w:t>
      </w:r>
      <w:r w:rsidR="00BA6B02" w:rsidRPr="00750D81">
        <w:rPr>
          <w:szCs w:val="28"/>
        </w:rPr>
        <w:t xml:space="preserve">early </w:t>
      </w:r>
      <w:r w:rsidR="00FF11C0" w:rsidRPr="00750D81">
        <w:rPr>
          <w:szCs w:val="28"/>
        </w:rPr>
        <w:t xml:space="preserve">defense of epithelial cancer (Hofmann et al., </w:t>
      </w:r>
      <w:r w:rsidR="00FF11C0" w:rsidRPr="00750D81">
        <w:rPr>
          <w:szCs w:val="28"/>
        </w:rPr>
        <w:lastRenderedPageBreak/>
        <w:t xml:space="preserve">2014). </w:t>
      </w:r>
      <w:r w:rsidR="006632E4" w:rsidRPr="00750D81">
        <w:rPr>
          <w:szCs w:val="28"/>
        </w:rPr>
        <w:t>During</w:t>
      </w:r>
      <w:r w:rsidR="00850E16" w:rsidRPr="00750D81">
        <w:rPr>
          <w:szCs w:val="28"/>
        </w:rPr>
        <w:t xml:space="preserve"> SARS-CoV-2 infection, the hybrid A- and B-active glycans become exposed to t</w:t>
      </w:r>
      <w:r w:rsidR="00FF11C0" w:rsidRPr="00750D81">
        <w:rPr>
          <w:szCs w:val="28"/>
        </w:rPr>
        <w:t>his polyreactive IgM molecule</w:t>
      </w:r>
      <w:r w:rsidR="00850E16" w:rsidRPr="00750D81">
        <w:rPr>
          <w:szCs w:val="28"/>
        </w:rPr>
        <w:t>, which</w:t>
      </w:r>
      <w:r w:rsidR="0008288D" w:rsidRPr="00750D81">
        <w:rPr>
          <w:szCs w:val="28"/>
        </w:rPr>
        <w:t xml:space="preserve"> suggests the induction of ADCC (antibody-dependent)</w:t>
      </w:r>
      <w:r w:rsidR="0008288D" w:rsidRPr="00750D81">
        <w:rPr>
          <w:rFonts w:eastAsia="Cambria"/>
          <w:szCs w:val="28"/>
        </w:rPr>
        <w:t xml:space="preserve"> and/or complement-mediated cytotoxicity, which acts as a bridge to cellular immunity.</w:t>
      </w:r>
      <w:r w:rsidR="0008288D" w:rsidRPr="00750D81">
        <w:rPr>
          <w:szCs w:val="28"/>
        </w:rPr>
        <w:t xml:space="preserve"> </w:t>
      </w:r>
      <w:r w:rsidR="000F1999" w:rsidRPr="00750D81">
        <w:rPr>
          <w:szCs w:val="28"/>
        </w:rPr>
        <w:t>Furthermore, t</w:t>
      </w:r>
      <w:r w:rsidR="0008288D" w:rsidRPr="00750D81">
        <w:rPr>
          <w:szCs w:val="28"/>
        </w:rPr>
        <w:t>h</w:t>
      </w:r>
      <w:r w:rsidR="00B66743" w:rsidRPr="00750D81">
        <w:rPr>
          <w:szCs w:val="28"/>
        </w:rPr>
        <w:t>is</w:t>
      </w:r>
      <w:r w:rsidR="0008288D" w:rsidRPr="00750D81">
        <w:rPr>
          <w:szCs w:val="28"/>
        </w:rPr>
        <w:t xml:space="preserve"> molecule undergoes the ABO(H) blood group phenotype formation,</w:t>
      </w:r>
      <w:r w:rsidR="00AA08ED" w:rsidRPr="00750D81">
        <w:rPr>
          <w:szCs w:val="28"/>
        </w:rPr>
        <w:t xml:space="preserve"> </w:t>
      </w:r>
      <w:r w:rsidR="0008288D" w:rsidRPr="00750D81">
        <w:rPr>
          <w:szCs w:val="28"/>
        </w:rPr>
        <w:t xml:space="preserve">wherein the evolutionary significance of the serine molecule may become evident in neonatal IgM sequencing; this hydrophile amino acid appears to guaranty alone the </w:t>
      </w:r>
      <w:proofErr w:type="spellStart"/>
      <w:r w:rsidR="0008288D" w:rsidRPr="00750D81">
        <w:rPr>
          <w:szCs w:val="28"/>
        </w:rPr>
        <w:t>polyreactivity</w:t>
      </w:r>
      <w:proofErr w:type="spellEnd"/>
      <w:r w:rsidR="0008288D" w:rsidRPr="00750D81">
        <w:rPr>
          <w:szCs w:val="28"/>
        </w:rPr>
        <w:t xml:space="preserve"> of the neonatal IgM molecule (Willis et al, 2013), binding various epitopes via ionic and hydrogen bonding at V-regions </w:t>
      </w:r>
      <w:r w:rsidR="00396A4B" w:rsidRPr="00750D81">
        <w:rPr>
          <w:rFonts w:eastAsiaTheme="minorEastAsia"/>
          <w:color w:val="auto"/>
          <w:szCs w:val="28"/>
        </w:rPr>
        <w:t>(</w:t>
      </w:r>
      <w:proofErr w:type="spellStart"/>
      <w:r w:rsidR="00396A4B" w:rsidRPr="00750D81">
        <w:rPr>
          <w:rFonts w:eastAsiaTheme="minorEastAsia"/>
          <w:color w:val="auto"/>
          <w:szCs w:val="28"/>
        </w:rPr>
        <w:t>Kubagawa</w:t>
      </w:r>
      <w:proofErr w:type="spellEnd"/>
      <w:r w:rsidR="00396A4B" w:rsidRPr="00750D81">
        <w:rPr>
          <w:rFonts w:eastAsiaTheme="minorEastAsia"/>
          <w:color w:val="auto"/>
          <w:szCs w:val="28"/>
        </w:rPr>
        <w:t xml:space="preserve">, </w:t>
      </w:r>
      <w:r w:rsidR="00396A4B" w:rsidRPr="00750D81">
        <w:rPr>
          <w:rFonts w:eastAsiaTheme="minorEastAsia"/>
          <w:iCs/>
          <w:color w:val="auto"/>
          <w:szCs w:val="28"/>
        </w:rPr>
        <w:t>et al.</w:t>
      </w:r>
      <w:r w:rsidR="00396A4B" w:rsidRPr="00750D81">
        <w:rPr>
          <w:rFonts w:eastAsiaTheme="minorEastAsia"/>
          <w:i/>
          <w:iCs/>
          <w:color w:val="auto"/>
          <w:szCs w:val="28"/>
        </w:rPr>
        <w:t xml:space="preserve"> </w:t>
      </w:r>
      <w:r w:rsidR="00396A4B" w:rsidRPr="00750D81">
        <w:rPr>
          <w:rFonts w:eastAsiaTheme="minorEastAsia"/>
          <w:color w:val="auto"/>
          <w:szCs w:val="28"/>
        </w:rPr>
        <w:t>2009</w:t>
      </w:r>
      <w:r w:rsidR="00396A4B" w:rsidRPr="00750D81">
        <w:rPr>
          <w:szCs w:val="28"/>
        </w:rPr>
        <w:t xml:space="preserve">; </w:t>
      </w:r>
      <w:r w:rsidR="0008288D" w:rsidRPr="00750D81">
        <w:rPr>
          <w:szCs w:val="28"/>
        </w:rPr>
        <w:t xml:space="preserve">Wang et al. 2016). </w:t>
      </w:r>
      <w:r w:rsidRPr="00750D81">
        <w:rPr>
          <w:szCs w:val="28"/>
        </w:rPr>
        <w:t>Meanwhile</w:t>
      </w:r>
      <w:r w:rsidR="009A5A9C">
        <w:rPr>
          <w:szCs w:val="28"/>
        </w:rPr>
        <w:t>,</w:t>
      </w:r>
      <w:r w:rsidRPr="00750D81">
        <w:rPr>
          <w:szCs w:val="28"/>
        </w:rPr>
        <w:t xml:space="preserve"> </w:t>
      </w:r>
      <w:r w:rsidR="00A411D9">
        <w:rPr>
          <w:bCs/>
          <w:color w:val="222222"/>
          <w:kern w:val="36"/>
          <w:szCs w:val="28"/>
        </w:rPr>
        <w:t>s</w:t>
      </w:r>
      <w:r w:rsidRPr="00750D81">
        <w:rPr>
          <w:bCs/>
          <w:color w:val="222222"/>
          <w:kern w:val="36"/>
          <w:szCs w:val="28"/>
        </w:rPr>
        <w:t xml:space="preserve">erine 477 (S477) </w:t>
      </w:r>
      <w:r w:rsidR="009A5A9C">
        <w:rPr>
          <w:bCs/>
          <w:color w:val="222222"/>
          <w:kern w:val="36"/>
          <w:szCs w:val="28"/>
        </w:rPr>
        <w:t>appears to be</w:t>
      </w:r>
      <w:r w:rsidRPr="00750D81">
        <w:rPr>
          <w:bCs/>
          <w:color w:val="222222"/>
          <w:kern w:val="36"/>
          <w:szCs w:val="28"/>
        </w:rPr>
        <w:t xml:space="preserve"> identified to </w:t>
      </w:r>
      <w:r w:rsidR="009A5A9C">
        <w:rPr>
          <w:bCs/>
          <w:color w:val="222222"/>
          <w:kern w:val="36"/>
          <w:szCs w:val="28"/>
        </w:rPr>
        <w:t>dominate</w:t>
      </w:r>
      <w:r w:rsidRPr="00750D81">
        <w:rPr>
          <w:bCs/>
          <w:color w:val="222222"/>
          <w:kern w:val="36"/>
          <w:szCs w:val="28"/>
        </w:rPr>
        <w:t xml:space="preserve"> the interaction of the SARS-CoV-2 spike protein with the human receptor ACE2</w:t>
      </w:r>
      <w:r w:rsidR="00750D81" w:rsidRPr="00750D81">
        <w:rPr>
          <w:bCs/>
          <w:color w:val="222222"/>
          <w:kern w:val="36"/>
          <w:szCs w:val="28"/>
        </w:rPr>
        <w:t xml:space="preserve"> (Singh et al.</w:t>
      </w:r>
      <w:r w:rsidR="00843CB7">
        <w:rPr>
          <w:bCs/>
          <w:color w:val="222222"/>
          <w:kern w:val="36"/>
          <w:szCs w:val="28"/>
        </w:rPr>
        <w:t xml:space="preserve">, </w:t>
      </w:r>
      <w:r w:rsidR="00750D81" w:rsidRPr="00750D81">
        <w:rPr>
          <w:bCs/>
          <w:color w:val="222222"/>
          <w:kern w:val="36"/>
          <w:szCs w:val="28"/>
        </w:rPr>
        <w:t>2021)</w:t>
      </w:r>
      <w:r w:rsidR="00750D81">
        <w:rPr>
          <w:bCs/>
          <w:color w:val="222222"/>
          <w:kern w:val="36"/>
          <w:szCs w:val="28"/>
        </w:rPr>
        <w:t>.</w:t>
      </w:r>
    </w:p>
    <w:p w14:paraId="08C9D410" w14:textId="2ED405D6" w:rsidR="006863A4" w:rsidRDefault="00DE53B6" w:rsidP="00A05BF7">
      <w:pPr>
        <w:spacing w:after="0"/>
        <w:ind w:left="964" w:right="57"/>
        <w:rPr>
          <w:szCs w:val="28"/>
        </w:rPr>
      </w:pPr>
      <w:r>
        <w:rPr>
          <w:szCs w:val="28"/>
        </w:rPr>
        <w:t xml:space="preserve">        </w:t>
      </w:r>
      <w:r w:rsidR="002A2701">
        <w:rPr>
          <w:szCs w:val="28"/>
        </w:rPr>
        <w:t xml:space="preserve">Again, </w:t>
      </w:r>
      <w:r w:rsidR="001240D2">
        <w:rPr>
          <w:szCs w:val="28"/>
        </w:rPr>
        <w:t>i</w:t>
      </w:r>
      <w:r w:rsidR="00E42DEE">
        <w:rPr>
          <w:szCs w:val="28"/>
        </w:rPr>
        <w:t xml:space="preserve">n metazoan species the first glycosylation of proteins occurs by formation </w:t>
      </w:r>
      <w:r w:rsidR="006A023B">
        <w:rPr>
          <w:szCs w:val="28"/>
        </w:rPr>
        <w:t xml:space="preserve">of </w:t>
      </w:r>
      <w:r w:rsidR="00E42DEE">
        <w:rPr>
          <w:szCs w:val="28"/>
        </w:rPr>
        <w:t>volatile</w:t>
      </w:r>
      <w:r w:rsidR="00D31741">
        <w:rPr>
          <w:szCs w:val="28"/>
        </w:rPr>
        <w:t>, ge</w:t>
      </w:r>
      <w:r w:rsidR="005F0058">
        <w:rPr>
          <w:szCs w:val="28"/>
        </w:rPr>
        <w:t>ne</w:t>
      </w:r>
      <w:r w:rsidR="00D31741">
        <w:rPr>
          <w:szCs w:val="28"/>
        </w:rPr>
        <w:t>tically undefined</w:t>
      </w:r>
      <w:r w:rsidR="00E42DEE">
        <w:rPr>
          <w:szCs w:val="28"/>
        </w:rPr>
        <w:t xml:space="preserve"> A-like/Tn structures, hypothetically associated with production of a complementary nonimmune, polyreactive IgM molecule. In humans, the A-like/Tn structure is developmentally replaced by ABO(H) blood group-determining carbohydrates, which occurs on cell surfaces and plasma proteins in a single enzymatic step, while the nonimmune IgM is released into circulation. </w:t>
      </w:r>
      <w:bookmarkStart w:id="3" w:name="_Hlk70275245"/>
      <w:r w:rsidR="00E42DEE">
        <w:rPr>
          <w:szCs w:val="28"/>
        </w:rPr>
        <w:t>The hypothetic</w:t>
      </w:r>
      <w:r w:rsidR="00A46601">
        <w:rPr>
          <w:szCs w:val="28"/>
        </w:rPr>
        <w:t xml:space="preserve">al </w:t>
      </w:r>
      <w:r w:rsidR="00E42DEE">
        <w:rPr>
          <w:szCs w:val="28"/>
        </w:rPr>
        <w:t>pathway of specific blood group A formation starts after completion of the blood group O(H) structure</w:t>
      </w:r>
      <w:r w:rsidR="00CD5056">
        <w:rPr>
          <w:szCs w:val="28"/>
        </w:rPr>
        <w:t xml:space="preserve"> (Fig. 1)</w:t>
      </w:r>
      <w:r w:rsidR="00E42DEE">
        <w:rPr>
          <w:szCs w:val="28"/>
        </w:rPr>
        <w:t xml:space="preserve">, based on α1,2 </w:t>
      </w:r>
      <w:proofErr w:type="spellStart"/>
      <w:r w:rsidR="00E42DEE">
        <w:rPr>
          <w:szCs w:val="28"/>
        </w:rPr>
        <w:t>fucosylations</w:t>
      </w:r>
      <w:proofErr w:type="spellEnd"/>
      <w:r w:rsidR="00E42DEE">
        <w:rPr>
          <w:szCs w:val="28"/>
        </w:rPr>
        <w:t xml:space="preserve"> (FUT1/FUT2) and </w:t>
      </w:r>
      <w:proofErr w:type="spellStart"/>
      <w:r w:rsidR="00E42DEE">
        <w:rPr>
          <w:szCs w:val="28"/>
        </w:rPr>
        <w:t>glycosidic</w:t>
      </w:r>
      <w:proofErr w:type="spellEnd"/>
      <w:r w:rsidR="00E42DEE">
        <w:rPr>
          <w:szCs w:val="28"/>
        </w:rPr>
        <w:t xml:space="preserve"> accommodation of the innate anti-H activity via </w:t>
      </w:r>
      <w:r w:rsidR="00E42DEE">
        <w:rPr>
          <w:i/>
          <w:szCs w:val="28"/>
        </w:rPr>
        <w:t>O</w:t>
      </w:r>
      <w:r w:rsidR="00E42DEE">
        <w:rPr>
          <w:szCs w:val="28"/>
        </w:rPr>
        <w:t>-glycosylation</w:t>
      </w:r>
      <w:r w:rsidR="00E42DEE">
        <w:rPr>
          <w:b/>
          <w:szCs w:val="28"/>
        </w:rPr>
        <w:t xml:space="preserve"> </w:t>
      </w:r>
      <w:r w:rsidR="00E42DEE">
        <w:rPr>
          <w:szCs w:val="28"/>
        </w:rPr>
        <w:t xml:space="preserve">of functional serine residues, exposed by the nonimmune IgM molecule residues at V and/or Fc-regions [Wang et al. 2016; </w:t>
      </w:r>
      <w:proofErr w:type="spellStart"/>
      <w:r w:rsidR="00E42DEE">
        <w:rPr>
          <w:rFonts w:eastAsiaTheme="minorEastAsia"/>
          <w:szCs w:val="28"/>
        </w:rPr>
        <w:t>Kubagawa</w:t>
      </w:r>
      <w:proofErr w:type="spellEnd"/>
      <w:r w:rsidR="00E42DEE">
        <w:rPr>
          <w:rFonts w:eastAsiaTheme="minorEastAsia"/>
          <w:szCs w:val="28"/>
        </w:rPr>
        <w:t xml:space="preserve">, </w:t>
      </w:r>
      <w:r w:rsidR="00E42DEE">
        <w:rPr>
          <w:rFonts w:eastAsiaTheme="minorEastAsia"/>
          <w:iCs/>
          <w:szCs w:val="28"/>
        </w:rPr>
        <w:t>et al.</w:t>
      </w:r>
      <w:r w:rsidR="00E42DEE">
        <w:rPr>
          <w:rFonts w:eastAsiaTheme="minorEastAsia"/>
          <w:i/>
          <w:iCs/>
          <w:szCs w:val="28"/>
        </w:rPr>
        <w:t xml:space="preserve"> </w:t>
      </w:r>
      <w:r w:rsidR="00E42DEE">
        <w:rPr>
          <w:rFonts w:eastAsiaTheme="minorEastAsia"/>
          <w:szCs w:val="28"/>
        </w:rPr>
        <w:t>2009]</w:t>
      </w:r>
      <w:r w:rsidR="00E42DEE">
        <w:rPr>
          <w:szCs w:val="28"/>
        </w:rPr>
        <w:t xml:space="preserve">. The </w:t>
      </w:r>
      <w:r w:rsidR="00625AF3">
        <w:rPr>
          <w:szCs w:val="28"/>
        </w:rPr>
        <w:t xml:space="preserve">final </w:t>
      </w:r>
      <w:r w:rsidR="00E42DEE">
        <w:rPr>
          <w:szCs w:val="28"/>
        </w:rPr>
        <w:t>synthesis of blood group A is associated with accommodation of the nonimmune anti-A/Tn isoagglutinin and decreased anti-B levels</w:t>
      </w:r>
      <w:r w:rsidR="00625AF3">
        <w:rPr>
          <w:szCs w:val="28"/>
        </w:rPr>
        <w:t>.</w:t>
      </w:r>
      <w:r w:rsidR="00E42DEE">
        <w:rPr>
          <w:szCs w:val="28"/>
        </w:rPr>
        <w:t xml:space="preserve"> </w:t>
      </w:r>
      <w:r w:rsidR="00625AF3">
        <w:rPr>
          <w:szCs w:val="28"/>
        </w:rPr>
        <w:t>W</w:t>
      </w:r>
      <w:r w:rsidR="00E42DEE">
        <w:rPr>
          <w:szCs w:val="28"/>
        </w:rPr>
        <w:t xml:space="preserve">hile </w:t>
      </w:r>
      <w:r w:rsidR="00E42DEE">
        <w:rPr>
          <w:i/>
          <w:szCs w:val="28"/>
        </w:rPr>
        <w:t>O</w:t>
      </w:r>
      <w:r w:rsidR="00E42DEE">
        <w:rPr>
          <w:szCs w:val="28"/>
        </w:rPr>
        <w:t>-linked glycoconjugates, converted into phenotype-specific plasma glycoproteins and/or molecular complexes were discussed to be removed by internalization [</w:t>
      </w:r>
      <w:r w:rsidR="00E42DEE">
        <w:rPr>
          <w:rFonts w:eastAsiaTheme="minorEastAsia"/>
          <w:szCs w:val="28"/>
        </w:rPr>
        <w:t>Gill, Clausen and Bard, 2011]</w:t>
      </w:r>
      <w:r w:rsidR="007304ED">
        <w:rPr>
          <w:rFonts w:eastAsiaTheme="minorEastAsia"/>
          <w:szCs w:val="28"/>
        </w:rPr>
        <w:t>,</w:t>
      </w:r>
      <w:r w:rsidR="007304ED" w:rsidRPr="007304ED">
        <w:rPr>
          <w:szCs w:val="28"/>
        </w:rPr>
        <w:t xml:space="preserve"> </w:t>
      </w:r>
      <w:r w:rsidR="007304ED">
        <w:rPr>
          <w:szCs w:val="28"/>
        </w:rPr>
        <w:t>(Fig. 1)</w:t>
      </w:r>
      <w:r w:rsidR="00E42DEE">
        <w:rPr>
          <w:rFonts w:eastAsiaTheme="minorEastAsia"/>
          <w:szCs w:val="28"/>
        </w:rPr>
        <w:t>,</w:t>
      </w:r>
      <w:r w:rsidR="00E42DEE">
        <w:rPr>
          <w:szCs w:val="28"/>
        </w:rPr>
        <w:t xml:space="preserve"> it might be speculated that they contribute to the generation of the mucinous cellular envelopes. </w:t>
      </w:r>
      <w:r w:rsidR="00C13566">
        <w:rPr>
          <w:szCs w:val="28"/>
        </w:rPr>
        <w:t>Furthermore</w:t>
      </w:r>
      <w:r w:rsidR="00E42DEE">
        <w:rPr>
          <w:szCs w:val="28"/>
        </w:rPr>
        <w:t xml:space="preserve">, because ABO(H) blood group-determining </w:t>
      </w:r>
      <w:r w:rsidR="00E42DEE">
        <w:rPr>
          <w:szCs w:val="28"/>
        </w:rPr>
        <w:lastRenderedPageBreak/>
        <w:t xml:space="preserve">carbohydrate construction occurs in epithelial cells, which may (as cited above) also secrete nonimmune IgM molecules, this could reflect a process, wherein </w:t>
      </w:r>
      <w:r w:rsidR="009A69F8">
        <w:rPr>
          <w:szCs w:val="28"/>
        </w:rPr>
        <w:t xml:space="preserve">specific ABO(H) phenotype-glycosylation would interact with the secretion of </w:t>
      </w:r>
      <w:r w:rsidR="00880937">
        <w:rPr>
          <w:szCs w:val="28"/>
        </w:rPr>
        <w:t xml:space="preserve">these </w:t>
      </w:r>
      <w:r w:rsidR="009A69F8">
        <w:rPr>
          <w:szCs w:val="28"/>
        </w:rPr>
        <w:t>IgM molecules by neutra</w:t>
      </w:r>
      <w:r w:rsidR="00880937">
        <w:rPr>
          <w:szCs w:val="28"/>
        </w:rPr>
        <w:t>li</w:t>
      </w:r>
      <w:r w:rsidR="009A69F8">
        <w:rPr>
          <w:szCs w:val="28"/>
        </w:rPr>
        <w:t>zing</w:t>
      </w:r>
      <w:r w:rsidR="00880937">
        <w:rPr>
          <w:szCs w:val="28"/>
        </w:rPr>
        <w:t xml:space="preserve"> glyco</w:t>
      </w:r>
      <w:r w:rsidR="00625AF3">
        <w:rPr>
          <w:szCs w:val="28"/>
        </w:rPr>
        <w:t>sylation</w:t>
      </w:r>
      <w:r w:rsidR="009A69F8">
        <w:rPr>
          <w:szCs w:val="28"/>
        </w:rPr>
        <w:t xml:space="preserve">. </w:t>
      </w:r>
      <w:r w:rsidR="00E42DEE">
        <w:rPr>
          <w:szCs w:val="28"/>
        </w:rPr>
        <w:t>Consequently, in non-O blood group plasma, the secretory IgM lacks anti-A</w:t>
      </w:r>
      <w:r w:rsidR="00A82459">
        <w:rPr>
          <w:szCs w:val="28"/>
        </w:rPr>
        <w:t>/Tn</w:t>
      </w:r>
      <w:r w:rsidR="00E42DEE">
        <w:rPr>
          <w:szCs w:val="28"/>
        </w:rPr>
        <w:t xml:space="preserve"> and/or anti-B isoagglutinin activities, while blood group O plasma, which exerts anti-A</w:t>
      </w:r>
      <w:r w:rsidR="00A82459">
        <w:rPr>
          <w:szCs w:val="28"/>
        </w:rPr>
        <w:t>/Tn</w:t>
      </w:r>
      <w:r w:rsidR="00E42DEE">
        <w:rPr>
          <w:szCs w:val="28"/>
        </w:rPr>
        <w:t xml:space="preserve"> and anti-B isoagglutinin activities, lacks only the anti-H </w:t>
      </w:r>
      <w:r w:rsidR="00E42DEE">
        <w:rPr>
          <w:szCs w:val="28"/>
        </w:rPr>
        <w:fldChar w:fldCharType="begin" w:fldLock="1"/>
      </w:r>
      <w:r w:rsidR="00E42DEE">
        <w:rPr>
          <w:szCs w:val="28"/>
        </w:rPr>
        <w:instrText>ADDIN CSL_CITATION {"citationItems":[{"id":"ITEM-1","itemData":{"abstract":"The murine and the human genome have global properties in common. So the murine anti-A-specific complementary IgM and related human innate isoagglutinin represent developmental, 2-mercaptoethanol-sensitive, complement-binding glycoproteins, which do not arise from any measurable environmentally-induced or auto- immune response. The murine anti-A certainly originates from a cell surface- or cell adhesion molecule, which in the course of germ cell development becomes devoid of O-GalNAc-transferase and is released into the circulation. In human sera the enzyme occurs exclusively in those of blood group A- and AB subjects, while in group O(H) an identically encoded protein lets expect an opposite function and appears in conjunction with a complementary anti-A reactive glycoprotein. Since O-glycosylations rule the carbohydrate metabolism in growth and reproduction processes, we propose that the ancestral histo-(blood)-group A molecule arises in the course of O-GalNAc-glycosylations of glycolipids and protein envelops at progenitor cell surfaces. Germ cell development postulates embryonic stem cell fidelity, which is characterised by persistent production of α-linked O-GalNAc-glycans. They are determined by the A-allele within the human, “complete” histo (blood) group AB(O) structure that in early ontogeny is hypothesised to be synthesised independently from the final phenotype. The structure either passes “completely” through the germline, in transferase-secreting mature tissues becoming the “complete” phenotype AB, or disappears in exhaustive glycotransferase depletion from the differentiating cell surfaces and leaves behind the “incomplete” blood group O-phenotype, which has released a transferase- and O-glycan-depleted, complementary glycoprotein (IgM) into the circulation. The process implies, that in humans the different blood phenotypes evolve from a “complete” AB(O) molecular complex in a distinct enzymatic and/or complement cascade suggesting O-glycanase involvements. While the murine and human oocyte zona pellucida express identical O-glycans, the human phenotype O might be explainable by the kinetics of the murine ovarian O-GalNAc glycan synthesis and the complementary anti-A released in parallel. The maturing murine ovary may provide insight into encoding of the physiologically superior α-linked GalNAc ancestral epitope that becomes essential in reproduction as well as in tissue renewal events. According to recent reports, O-GalNAc-transferase-det…","author":[{"dropping-particle":"","family":"Arend","given":"P.","non-dropping-particle":"","parse-names":false,"suffix":""}],"container-title":"Immunobiology","id":"ITEM-1","issue":"4","issued":{"date-parts":[["2014"]]},"page":"285 - 295","title":"Complementary innate (anti-A-specific) IgM emerging from ontogenic O-GalNAc-transferase depletion (Innate IgM complementarity residing in ancestral antigen completeness)","type":"article-journal","volume":"219"},"uris":["http://www.mendeley.com/documents/?uuid=e8e7b8e1-e357-4f9e-8408-bd4ea5277860"]}],"mendeley":{"formattedCitation":"[3]","plainTextFormattedCitation":"[3]","previouslyFormattedCitation":"[4]"},"properties":{"noteIndex":0},"schema":"https://github.com/citation-style-language/schema/raw/master/csl-citation.json"}</w:instrText>
      </w:r>
      <w:r w:rsidR="00E42DEE">
        <w:rPr>
          <w:szCs w:val="28"/>
        </w:rPr>
        <w:fldChar w:fldCharType="separate"/>
      </w:r>
      <w:r w:rsidR="00E42DEE">
        <w:rPr>
          <w:noProof/>
          <w:szCs w:val="28"/>
        </w:rPr>
        <w:t>[Arend, 2014]</w:t>
      </w:r>
      <w:r w:rsidR="00E42DEE">
        <w:rPr>
          <w:szCs w:val="28"/>
        </w:rPr>
        <w:fldChar w:fldCharType="end"/>
      </w:r>
      <w:bookmarkEnd w:id="3"/>
      <w:r w:rsidR="007304ED">
        <w:rPr>
          <w:szCs w:val="28"/>
        </w:rPr>
        <w:t>.</w:t>
      </w:r>
    </w:p>
    <w:p w14:paraId="4466E151" w14:textId="23298769" w:rsidR="00B827FA" w:rsidRDefault="005F0058" w:rsidP="003E1EAB">
      <w:pPr>
        <w:spacing w:after="0"/>
        <w:ind w:left="964" w:right="57"/>
        <w:rPr>
          <w:rFonts w:ascii="Cambria" w:eastAsia="Cambria" w:hAnsi="Cambria" w:cs="Cambria"/>
        </w:rPr>
      </w:pPr>
      <w:r>
        <w:t xml:space="preserve">        S</w:t>
      </w:r>
      <w:r w:rsidR="00CD5056">
        <w:t>erine</w:t>
      </w:r>
      <w:r w:rsidR="0008288D">
        <w:t xml:space="preserve"> </w:t>
      </w:r>
      <w:r w:rsidR="0008288D" w:rsidRPr="006A023B">
        <w:rPr>
          <w:szCs w:val="28"/>
        </w:rPr>
        <w:t xml:space="preserve">residues </w:t>
      </w:r>
      <w:r w:rsidR="00C71732">
        <w:rPr>
          <w:szCs w:val="28"/>
        </w:rPr>
        <w:t xml:space="preserve">of the primarily polyreactive IgM molecule </w:t>
      </w:r>
      <w:r w:rsidR="00AC37D9">
        <w:rPr>
          <w:szCs w:val="28"/>
        </w:rPr>
        <w:t>physiologically</w:t>
      </w:r>
      <w:r w:rsidR="00AC37D9" w:rsidRPr="006A023B">
        <w:rPr>
          <w:szCs w:val="28"/>
        </w:rPr>
        <w:t xml:space="preserve"> </w:t>
      </w:r>
      <w:r w:rsidR="0008288D" w:rsidRPr="006A023B">
        <w:rPr>
          <w:szCs w:val="28"/>
        </w:rPr>
        <w:t>serve as acceptors in phenotypical accommodation of autoreactive antibody activities</w:t>
      </w:r>
      <w:r>
        <w:rPr>
          <w:szCs w:val="28"/>
        </w:rPr>
        <w:t>, while during SARS-CoV-2 infection elusive</w:t>
      </w:r>
      <w:r w:rsidR="00335BA1">
        <w:rPr>
          <w:szCs w:val="28"/>
        </w:rPr>
        <w:t xml:space="preserve"> </w:t>
      </w:r>
      <w:r>
        <w:rPr>
          <w:szCs w:val="28"/>
        </w:rPr>
        <w:t xml:space="preserve">enzyme-substrate competitions between </w:t>
      </w:r>
      <w:r w:rsidR="00D16CDF">
        <w:rPr>
          <w:szCs w:val="28"/>
        </w:rPr>
        <w:t xml:space="preserve">serine residues of </w:t>
      </w:r>
      <w:r>
        <w:rPr>
          <w:szCs w:val="28"/>
        </w:rPr>
        <w:t xml:space="preserve">host and pathogen </w:t>
      </w:r>
      <w:r w:rsidR="002F0386">
        <w:rPr>
          <w:szCs w:val="28"/>
        </w:rPr>
        <w:t>play a critical role in the pathogenesis.</w:t>
      </w:r>
      <w:r w:rsidR="002F0386" w:rsidRPr="006A023B">
        <w:rPr>
          <w:szCs w:val="28"/>
        </w:rPr>
        <w:t xml:space="preserve"> </w:t>
      </w:r>
      <w:r w:rsidR="0008288D" w:rsidRPr="006A023B">
        <w:rPr>
          <w:szCs w:val="28"/>
        </w:rPr>
        <w:t>The metabolic cent</w:t>
      </w:r>
      <w:r w:rsidR="002F0386">
        <w:rPr>
          <w:szCs w:val="28"/>
        </w:rPr>
        <w:t xml:space="preserve">er </w:t>
      </w:r>
      <w:r w:rsidR="0008288D" w:rsidRPr="006A023B">
        <w:rPr>
          <w:szCs w:val="28"/>
        </w:rPr>
        <w:t>could be a blood</w:t>
      </w:r>
      <w:r w:rsidR="002F0386">
        <w:rPr>
          <w:szCs w:val="28"/>
        </w:rPr>
        <w:t xml:space="preserve"> </w:t>
      </w:r>
      <w:r w:rsidR="0008288D" w:rsidRPr="006A023B">
        <w:rPr>
          <w:szCs w:val="28"/>
        </w:rPr>
        <w:t xml:space="preserve">group-active soluble plasma protein, such as the </w:t>
      </w:r>
      <w:bookmarkStart w:id="4" w:name="_Hlk69635202"/>
      <w:r w:rsidR="0008288D" w:rsidRPr="006A023B">
        <w:rPr>
          <w:szCs w:val="28"/>
        </w:rPr>
        <w:t>α2-macroglobulin</w:t>
      </w:r>
      <w:bookmarkEnd w:id="4"/>
      <w:r w:rsidR="0008288D" w:rsidRPr="006A023B">
        <w:rPr>
          <w:szCs w:val="28"/>
        </w:rPr>
        <w:t xml:space="preserve"> molecule, whose ABO(H) blood group activity </w:t>
      </w:r>
      <w:r w:rsidR="00DF427C" w:rsidRPr="006A023B">
        <w:rPr>
          <w:szCs w:val="28"/>
        </w:rPr>
        <w:t xml:space="preserve">strictly </w:t>
      </w:r>
      <w:r w:rsidR="0008288D" w:rsidRPr="006A023B">
        <w:rPr>
          <w:szCs w:val="28"/>
        </w:rPr>
        <w:t xml:space="preserve">correlates with the phenotype (Matsui </w:t>
      </w:r>
      <w:r w:rsidR="0008288D" w:rsidRPr="006A023B">
        <w:rPr>
          <w:i/>
          <w:szCs w:val="28"/>
        </w:rPr>
        <w:t>et al.</w:t>
      </w:r>
      <w:r w:rsidR="0008288D" w:rsidRPr="006A023B">
        <w:rPr>
          <w:szCs w:val="28"/>
        </w:rPr>
        <w:t>, 2001)</w:t>
      </w:r>
      <w:r w:rsidR="000F1999" w:rsidRPr="006A023B">
        <w:rPr>
          <w:szCs w:val="28"/>
        </w:rPr>
        <w:t>;</w:t>
      </w:r>
      <w:r w:rsidR="0008288D" w:rsidRPr="006A023B">
        <w:rPr>
          <w:szCs w:val="28"/>
        </w:rPr>
        <w:t xml:space="preserve"> </w:t>
      </w:r>
      <w:r w:rsidR="00625AF3">
        <w:rPr>
          <w:szCs w:val="28"/>
        </w:rPr>
        <w:t>it</w:t>
      </w:r>
      <w:r w:rsidR="000F1999" w:rsidRPr="006A023B">
        <w:rPr>
          <w:szCs w:val="28"/>
        </w:rPr>
        <w:t xml:space="preserve"> </w:t>
      </w:r>
      <w:r w:rsidR="0008288D" w:rsidRPr="006A023B">
        <w:rPr>
          <w:szCs w:val="28"/>
        </w:rPr>
        <w:t xml:space="preserve">is considered an evolutionarily conserved arm of the innate immune system (Armstrong and Quigley, 1999) and shows a functional synergism with the structurally related IgM molecule (Stevenson et al., 2015), which will </w:t>
      </w:r>
      <w:proofErr w:type="spellStart"/>
      <w:r w:rsidR="0008288D" w:rsidRPr="006A023B">
        <w:rPr>
          <w:szCs w:val="28"/>
        </w:rPr>
        <w:t>glycosidically</w:t>
      </w:r>
      <w:proofErr w:type="spellEnd"/>
      <w:r w:rsidR="0008288D" w:rsidRPr="006A023B">
        <w:rPr>
          <w:szCs w:val="28"/>
        </w:rPr>
        <w:t xml:space="preserve"> be tailored to the phenotypic specificities (Arend, P., 2016; 2017; 2018b)</w:t>
      </w:r>
      <w:r w:rsidR="003B586A">
        <w:rPr>
          <w:szCs w:val="28"/>
        </w:rPr>
        <w:t xml:space="preserve">, </w:t>
      </w:r>
      <w:r w:rsidR="0008288D" w:rsidRPr="006A023B">
        <w:rPr>
          <w:szCs w:val="28"/>
        </w:rPr>
        <w:t xml:space="preserve">involving the </w:t>
      </w:r>
      <w:r w:rsidR="00880937">
        <w:rPr>
          <w:szCs w:val="28"/>
        </w:rPr>
        <w:t xml:space="preserve">above </w:t>
      </w:r>
      <w:r w:rsidR="0008288D" w:rsidRPr="006A023B">
        <w:rPr>
          <w:szCs w:val="28"/>
        </w:rPr>
        <w:t>downregulation of the otherwise autoreactive anti-A</w:t>
      </w:r>
      <w:r w:rsidR="00A82459">
        <w:rPr>
          <w:szCs w:val="28"/>
        </w:rPr>
        <w:t>/Tn</w:t>
      </w:r>
      <w:r w:rsidR="0008288D" w:rsidRPr="006A023B">
        <w:rPr>
          <w:szCs w:val="28"/>
        </w:rPr>
        <w:t xml:space="preserve"> activity in blood group A and the anti-B activity in blood group B. Both the anti-A</w:t>
      </w:r>
      <w:r w:rsidR="00A82459">
        <w:rPr>
          <w:szCs w:val="28"/>
        </w:rPr>
        <w:t>/Tn</w:t>
      </w:r>
      <w:r w:rsidR="0008288D" w:rsidRPr="006A023B">
        <w:rPr>
          <w:szCs w:val="28"/>
        </w:rPr>
        <w:t xml:space="preserve"> levels in blood group B and the anti-B levels in group A are always lower than in blood group O(H) due to cross</w:t>
      </w:r>
      <w:r w:rsidR="002557A3" w:rsidRPr="006A023B">
        <w:rPr>
          <w:szCs w:val="28"/>
        </w:rPr>
        <w:t>-</w:t>
      </w:r>
      <w:r w:rsidR="0008288D" w:rsidRPr="006A023B">
        <w:rPr>
          <w:szCs w:val="28"/>
        </w:rPr>
        <w:t>reactivities, and it is important to note that environmentally induced anti-A</w:t>
      </w:r>
      <w:r w:rsidR="00A82459">
        <w:rPr>
          <w:szCs w:val="28"/>
        </w:rPr>
        <w:t>/Tn</w:t>
      </w:r>
      <w:r w:rsidR="0008288D" w:rsidRPr="006A023B">
        <w:rPr>
          <w:szCs w:val="28"/>
        </w:rPr>
        <w:t xml:space="preserve"> and anti-B antibodies are only produced in blood group O(H) and especially anti-A</w:t>
      </w:r>
      <w:r w:rsidR="00A82459">
        <w:rPr>
          <w:szCs w:val="28"/>
        </w:rPr>
        <w:t>/Tn</w:t>
      </w:r>
      <w:r w:rsidR="0008288D" w:rsidRPr="006A023B">
        <w:rPr>
          <w:szCs w:val="28"/>
        </w:rPr>
        <w:t xml:space="preserve"> and anti-B secondary (IgG) immune</w:t>
      </w:r>
      <w:r w:rsidR="0008288D">
        <w:t xml:space="preserve"> responses appear to be restricted to this blood group due to clonal selection (A</w:t>
      </w:r>
      <w:r w:rsidR="00880937">
        <w:t>r</w:t>
      </w:r>
      <w:r w:rsidR="0008288D">
        <w:t xml:space="preserve">end, P., 2017; 2018b; </w:t>
      </w:r>
      <w:proofErr w:type="spellStart"/>
      <w:r w:rsidR="0008288D">
        <w:t>Stussi</w:t>
      </w:r>
      <w:proofErr w:type="spellEnd"/>
      <w:r w:rsidR="0008288D">
        <w:t xml:space="preserve"> </w:t>
      </w:r>
      <w:r w:rsidR="0008288D">
        <w:rPr>
          <w:i/>
        </w:rPr>
        <w:t>et al.</w:t>
      </w:r>
      <w:r w:rsidR="0008288D">
        <w:t>, 2005). In the human, the majority of</w:t>
      </w:r>
      <w:r w:rsidR="00360DEF">
        <w:t xml:space="preserve"> i</w:t>
      </w:r>
      <w:r w:rsidR="0008288D">
        <w:t>nfections occur in view of this innate immunological superiority of the blood group O(H).</w:t>
      </w:r>
      <w:r w:rsidR="0008288D">
        <w:rPr>
          <w:rFonts w:ascii="Cambria" w:eastAsia="Cambria" w:hAnsi="Cambria" w:cs="Cambria"/>
        </w:rPr>
        <w:t xml:space="preserve"> </w:t>
      </w:r>
    </w:p>
    <w:p w14:paraId="64DA1736" w14:textId="1DB96137" w:rsidR="00B97571" w:rsidRDefault="00B97571" w:rsidP="003E1EAB">
      <w:pPr>
        <w:spacing w:after="0"/>
        <w:ind w:left="0" w:firstLine="0"/>
        <w:rPr>
          <w:rFonts w:ascii="Cambria" w:eastAsia="Cambria" w:hAnsi="Cambria" w:cs="Cambria"/>
        </w:rPr>
      </w:pPr>
    </w:p>
    <w:p w14:paraId="6BD3325A" w14:textId="203F8974" w:rsidR="00B97571" w:rsidRDefault="00B97571" w:rsidP="007A0762">
      <w:pPr>
        <w:spacing w:after="0"/>
        <w:ind w:left="1203"/>
        <w:rPr>
          <w:rFonts w:ascii="Cambria" w:eastAsia="Cambria" w:hAnsi="Cambria" w:cs="Cambria"/>
        </w:rPr>
      </w:pPr>
    </w:p>
    <w:p w14:paraId="4088EA34" w14:textId="5F8D962B" w:rsidR="00B97571" w:rsidRDefault="00B97571" w:rsidP="007A0762">
      <w:pPr>
        <w:spacing w:after="0"/>
        <w:ind w:left="1203"/>
        <w:rPr>
          <w:rFonts w:ascii="Cambria" w:eastAsia="Cambria" w:hAnsi="Cambria" w:cs="Cambria"/>
        </w:rPr>
      </w:pPr>
    </w:p>
    <w:p w14:paraId="55C6E22F" w14:textId="77777777" w:rsidR="00B97571" w:rsidRDefault="00B97571" w:rsidP="007A0762">
      <w:pPr>
        <w:spacing w:after="0"/>
        <w:ind w:left="1203"/>
        <w:rPr>
          <w:rFonts w:ascii="Cambria" w:eastAsia="Cambria" w:hAnsi="Cambria" w:cs="Cambria"/>
        </w:rPr>
      </w:pPr>
    </w:p>
    <w:p w14:paraId="297A56FF" w14:textId="12F3D6C7" w:rsidR="00AB50B7" w:rsidRDefault="00AB50B7" w:rsidP="007A0762">
      <w:pPr>
        <w:spacing w:after="0"/>
        <w:ind w:left="1203"/>
        <w:rPr>
          <w:rFonts w:ascii="Cambria" w:eastAsia="Cambria" w:hAnsi="Cambria" w:cs="Cambria"/>
        </w:rPr>
      </w:pPr>
    </w:p>
    <w:p w14:paraId="465CC722" w14:textId="17A6CC70" w:rsidR="00E14EA6" w:rsidRDefault="00E14EA6" w:rsidP="007A0762">
      <w:pPr>
        <w:spacing w:after="0"/>
        <w:ind w:left="1203"/>
        <w:rPr>
          <w:rFonts w:ascii="Cambria" w:eastAsia="Cambria" w:hAnsi="Cambria" w:cs="Cambria"/>
        </w:rPr>
      </w:pPr>
    </w:p>
    <w:p w14:paraId="4F290AEA" w14:textId="7CBDB971" w:rsidR="00E14EA6" w:rsidRDefault="00B15396" w:rsidP="007A0762">
      <w:pPr>
        <w:spacing w:after="0"/>
        <w:ind w:left="1203"/>
        <w:rPr>
          <w:rFonts w:ascii="Cambria" w:eastAsia="Cambria" w:hAnsi="Cambria" w:cs="Cambria"/>
        </w:rPr>
      </w:pPr>
      <w:r w:rsidRPr="00CA6687">
        <w:rPr>
          <w:noProof/>
        </w:rPr>
        <w:drawing>
          <wp:anchor distT="0" distB="0" distL="114300" distR="114300" simplePos="0" relativeHeight="251668480" behindDoc="0" locked="0" layoutInCell="1" allowOverlap="1" wp14:anchorId="3EDE78C0" wp14:editId="1E2546BB">
            <wp:simplePos x="0" y="0"/>
            <wp:positionH relativeFrom="page">
              <wp:align>right</wp:align>
            </wp:positionH>
            <wp:positionV relativeFrom="paragraph">
              <wp:posOffset>355381</wp:posOffset>
            </wp:positionV>
            <wp:extent cx="7894800" cy="5580000"/>
            <wp:effectExtent l="0" t="0" r="0" b="1905"/>
            <wp:wrapNone/>
            <wp:docPr id="5" name="Grafik 5" descr="C:\Users\Arend\Documents\Corona 1 April 2021aa.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end\Documents\Corona 1 April 2021aa.tif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894800" cy="55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9B5F1C" w14:textId="7A9C63D9" w:rsidR="00E14EA6" w:rsidRDefault="00E14EA6" w:rsidP="007A0762">
      <w:pPr>
        <w:spacing w:after="0"/>
        <w:ind w:left="1203"/>
        <w:rPr>
          <w:rFonts w:ascii="Cambria" w:eastAsia="Cambria" w:hAnsi="Cambria" w:cs="Cambria"/>
        </w:rPr>
      </w:pPr>
    </w:p>
    <w:p w14:paraId="5CAF8241" w14:textId="5424CC5B" w:rsidR="00E14EA6" w:rsidRDefault="00E14EA6" w:rsidP="007A0762">
      <w:pPr>
        <w:spacing w:after="0"/>
        <w:ind w:left="1203"/>
        <w:rPr>
          <w:rFonts w:ascii="Cambria" w:eastAsia="Cambria" w:hAnsi="Cambria" w:cs="Cambria"/>
        </w:rPr>
      </w:pPr>
    </w:p>
    <w:p w14:paraId="22C0A99C" w14:textId="54378463" w:rsidR="00E14EA6" w:rsidRDefault="00E14EA6" w:rsidP="007A0762">
      <w:pPr>
        <w:spacing w:after="0"/>
        <w:ind w:left="1203"/>
        <w:rPr>
          <w:rFonts w:ascii="Cambria" w:eastAsia="Cambria" w:hAnsi="Cambria" w:cs="Cambria"/>
        </w:rPr>
      </w:pPr>
    </w:p>
    <w:p w14:paraId="70DEA513" w14:textId="286FC550" w:rsidR="00E14EA6" w:rsidRDefault="00E14EA6" w:rsidP="007A0762">
      <w:pPr>
        <w:spacing w:after="0"/>
        <w:ind w:left="1203"/>
        <w:rPr>
          <w:rFonts w:ascii="Cambria" w:eastAsia="Cambria" w:hAnsi="Cambria" w:cs="Cambria"/>
        </w:rPr>
      </w:pPr>
    </w:p>
    <w:p w14:paraId="62F147D5" w14:textId="5D5D91F1" w:rsidR="00E14EA6" w:rsidRDefault="00E14EA6" w:rsidP="007A0762">
      <w:pPr>
        <w:spacing w:after="0"/>
        <w:ind w:left="1203"/>
        <w:rPr>
          <w:rFonts w:ascii="Cambria" w:eastAsia="Cambria" w:hAnsi="Cambria" w:cs="Cambria"/>
        </w:rPr>
      </w:pPr>
    </w:p>
    <w:p w14:paraId="69B4A30A" w14:textId="51DFA454" w:rsidR="00E14EA6" w:rsidRDefault="00E14EA6" w:rsidP="007A0762">
      <w:pPr>
        <w:spacing w:after="0"/>
        <w:ind w:left="1203"/>
        <w:rPr>
          <w:rFonts w:ascii="Cambria" w:eastAsia="Cambria" w:hAnsi="Cambria" w:cs="Cambria"/>
        </w:rPr>
      </w:pPr>
    </w:p>
    <w:p w14:paraId="0BB0015C" w14:textId="7A30EDE6" w:rsidR="00E14EA6" w:rsidRDefault="00E14EA6" w:rsidP="007A0762">
      <w:pPr>
        <w:spacing w:after="0"/>
        <w:ind w:left="1203"/>
        <w:rPr>
          <w:rFonts w:ascii="Cambria" w:eastAsia="Cambria" w:hAnsi="Cambria" w:cs="Cambria"/>
        </w:rPr>
      </w:pPr>
    </w:p>
    <w:p w14:paraId="42239BB2" w14:textId="6B18E157" w:rsidR="00E14EA6" w:rsidRDefault="00E14EA6" w:rsidP="007A0762">
      <w:pPr>
        <w:spacing w:after="0"/>
        <w:ind w:left="1203"/>
        <w:rPr>
          <w:rFonts w:ascii="Cambria" w:eastAsia="Cambria" w:hAnsi="Cambria" w:cs="Cambria"/>
        </w:rPr>
      </w:pPr>
    </w:p>
    <w:p w14:paraId="3489B31A" w14:textId="21A8C6E3" w:rsidR="00E14EA6" w:rsidRDefault="00E14EA6" w:rsidP="007A0762">
      <w:pPr>
        <w:spacing w:after="0"/>
        <w:ind w:left="1203"/>
        <w:rPr>
          <w:rFonts w:ascii="Cambria" w:eastAsia="Cambria" w:hAnsi="Cambria" w:cs="Cambria"/>
        </w:rPr>
      </w:pPr>
    </w:p>
    <w:p w14:paraId="62E2AF28" w14:textId="2D667051" w:rsidR="00E14EA6" w:rsidRDefault="00E14EA6" w:rsidP="007A0762">
      <w:pPr>
        <w:spacing w:after="0"/>
        <w:ind w:left="1203"/>
        <w:rPr>
          <w:rFonts w:ascii="Cambria" w:eastAsia="Cambria" w:hAnsi="Cambria" w:cs="Cambria"/>
        </w:rPr>
      </w:pPr>
    </w:p>
    <w:p w14:paraId="4DEFA4A6" w14:textId="7D8C4A3E" w:rsidR="00E14EA6" w:rsidRDefault="00E14EA6" w:rsidP="007A0762">
      <w:pPr>
        <w:spacing w:after="0"/>
        <w:ind w:left="1203"/>
        <w:rPr>
          <w:rFonts w:ascii="Cambria" w:eastAsia="Cambria" w:hAnsi="Cambria" w:cs="Cambria"/>
        </w:rPr>
      </w:pPr>
    </w:p>
    <w:p w14:paraId="0A0939D8" w14:textId="1EFCB6C3" w:rsidR="00E14EA6" w:rsidRDefault="00E14EA6" w:rsidP="007A0762">
      <w:pPr>
        <w:spacing w:after="0"/>
        <w:ind w:left="1203"/>
        <w:rPr>
          <w:rFonts w:ascii="Cambria" w:eastAsia="Cambria" w:hAnsi="Cambria" w:cs="Cambria"/>
        </w:rPr>
      </w:pPr>
    </w:p>
    <w:p w14:paraId="5FFC1F85" w14:textId="6652127F" w:rsidR="00E14EA6" w:rsidRDefault="00E14EA6" w:rsidP="007A0762">
      <w:pPr>
        <w:spacing w:after="0"/>
        <w:ind w:left="1203"/>
        <w:rPr>
          <w:rFonts w:ascii="Cambria" w:eastAsia="Cambria" w:hAnsi="Cambria" w:cs="Cambria"/>
        </w:rPr>
      </w:pPr>
    </w:p>
    <w:p w14:paraId="759C8287" w14:textId="10486091" w:rsidR="00E14EA6" w:rsidRDefault="00E14EA6" w:rsidP="007A0762">
      <w:pPr>
        <w:spacing w:after="0"/>
        <w:ind w:left="1203"/>
        <w:rPr>
          <w:rFonts w:ascii="Cambria" w:eastAsia="Cambria" w:hAnsi="Cambria" w:cs="Cambria"/>
        </w:rPr>
      </w:pPr>
    </w:p>
    <w:p w14:paraId="43AD6754" w14:textId="6E61D462" w:rsidR="00E14EA6" w:rsidRDefault="00E14EA6" w:rsidP="007A0762">
      <w:pPr>
        <w:spacing w:after="0"/>
        <w:ind w:left="1203"/>
        <w:rPr>
          <w:rFonts w:ascii="Cambria" w:eastAsia="Cambria" w:hAnsi="Cambria" w:cs="Cambria"/>
        </w:rPr>
      </w:pPr>
    </w:p>
    <w:p w14:paraId="3A1DAFC2" w14:textId="1FEC7E92" w:rsidR="00E14EA6" w:rsidRDefault="00E14EA6" w:rsidP="007A0762">
      <w:pPr>
        <w:spacing w:after="0"/>
        <w:ind w:left="1203"/>
        <w:rPr>
          <w:rFonts w:ascii="Cambria" w:eastAsia="Cambria" w:hAnsi="Cambria" w:cs="Cambria"/>
        </w:rPr>
      </w:pPr>
    </w:p>
    <w:p w14:paraId="4EC05964" w14:textId="44322D91" w:rsidR="00E14EA6" w:rsidRDefault="00E14EA6" w:rsidP="007A0762">
      <w:pPr>
        <w:spacing w:after="0"/>
        <w:ind w:left="1203"/>
        <w:rPr>
          <w:rFonts w:ascii="Cambria" w:eastAsia="Cambria" w:hAnsi="Cambria" w:cs="Cambria"/>
        </w:rPr>
      </w:pPr>
    </w:p>
    <w:p w14:paraId="3C9D3424" w14:textId="77777777" w:rsidR="002A2701" w:rsidRDefault="002A2701" w:rsidP="007A0762">
      <w:pPr>
        <w:spacing w:after="0"/>
        <w:ind w:left="1203"/>
        <w:rPr>
          <w:b/>
        </w:rPr>
      </w:pPr>
    </w:p>
    <w:p w14:paraId="179FF103" w14:textId="1D294482" w:rsidR="002A2701" w:rsidRDefault="002A2701" w:rsidP="007A0762">
      <w:pPr>
        <w:spacing w:after="0"/>
        <w:ind w:left="1203"/>
        <w:rPr>
          <w:b/>
        </w:rPr>
      </w:pPr>
    </w:p>
    <w:p w14:paraId="5335F330" w14:textId="57BF489C" w:rsidR="00082320" w:rsidRDefault="00082320" w:rsidP="007A0762">
      <w:pPr>
        <w:spacing w:after="0"/>
        <w:ind w:left="1203"/>
        <w:rPr>
          <w:b/>
        </w:rPr>
      </w:pPr>
    </w:p>
    <w:p w14:paraId="60517025" w14:textId="2F4835BA" w:rsidR="00082320" w:rsidRDefault="00082320" w:rsidP="007A0762">
      <w:pPr>
        <w:spacing w:after="0"/>
        <w:ind w:left="1203"/>
        <w:rPr>
          <w:b/>
        </w:rPr>
      </w:pPr>
    </w:p>
    <w:p w14:paraId="0041E4D6" w14:textId="7AF4850F" w:rsidR="00082320" w:rsidRDefault="00082320" w:rsidP="007A0762">
      <w:pPr>
        <w:spacing w:after="0"/>
        <w:ind w:left="1203"/>
        <w:rPr>
          <w:b/>
        </w:rPr>
      </w:pPr>
    </w:p>
    <w:p w14:paraId="11A18DCF" w14:textId="77777777" w:rsidR="00082320" w:rsidRDefault="00082320" w:rsidP="007A0762">
      <w:pPr>
        <w:spacing w:after="0"/>
        <w:ind w:left="1203"/>
        <w:rPr>
          <w:b/>
        </w:rPr>
      </w:pPr>
    </w:p>
    <w:p w14:paraId="56786C08" w14:textId="77777777" w:rsidR="002A2701" w:rsidRDefault="002A2701" w:rsidP="007A0762">
      <w:pPr>
        <w:spacing w:after="0"/>
        <w:ind w:left="1203"/>
        <w:rPr>
          <w:b/>
        </w:rPr>
      </w:pPr>
    </w:p>
    <w:p w14:paraId="52BE3441" w14:textId="77777777" w:rsidR="00C13566" w:rsidRDefault="002A2701" w:rsidP="007A0762">
      <w:pPr>
        <w:spacing w:after="0"/>
        <w:ind w:left="1203"/>
      </w:pPr>
      <w:r w:rsidRPr="002A2701">
        <w:rPr>
          <w:b/>
        </w:rPr>
        <w:t>Figure 1</w:t>
      </w:r>
      <w:r>
        <w:t>.</w:t>
      </w:r>
      <w:r w:rsidR="0008288D">
        <w:t xml:space="preserve"> </w:t>
      </w:r>
      <w:bookmarkStart w:id="5" w:name="_Hlk70275471"/>
    </w:p>
    <w:p w14:paraId="411F3AC8" w14:textId="77777777" w:rsidR="00B03699" w:rsidRDefault="00B03699" w:rsidP="007A0762">
      <w:pPr>
        <w:spacing w:after="0"/>
        <w:ind w:left="1203"/>
        <w:rPr>
          <w:b/>
        </w:rPr>
      </w:pPr>
    </w:p>
    <w:p w14:paraId="2873E8B8" w14:textId="0F1F5C29" w:rsidR="0021015E" w:rsidRPr="00C13566" w:rsidRDefault="00DF6864" w:rsidP="007A0762">
      <w:pPr>
        <w:spacing w:after="0"/>
        <w:ind w:left="1203"/>
      </w:pPr>
      <w:r w:rsidRPr="002A2701">
        <w:rPr>
          <w:b/>
        </w:rPr>
        <w:t>Figure 1</w:t>
      </w:r>
      <w:r>
        <w:t xml:space="preserve">. </w:t>
      </w:r>
      <w:bookmarkEnd w:id="5"/>
      <w:r w:rsidR="00301588">
        <w:t>During ontogeny</w:t>
      </w:r>
      <w:r w:rsidR="000D4E23" w:rsidRPr="000D4E23">
        <w:rPr>
          <w:szCs w:val="28"/>
        </w:rPr>
        <w:t xml:space="preserve"> </w:t>
      </w:r>
      <w:r w:rsidR="000D4E23">
        <w:rPr>
          <w:szCs w:val="28"/>
        </w:rPr>
        <w:t>of metazoan species</w:t>
      </w:r>
      <w:r w:rsidR="00301588">
        <w:t>, the</w:t>
      </w:r>
      <w:r w:rsidR="00096FBC">
        <w:t xml:space="preserve"> g</w:t>
      </w:r>
      <w:r w:rsidR="003D621B">
        <w:t xml:space="preserve">enetically undefined </w:t>
      </w:r>
      <w:r w:rsidR="003B1EA4">
        <w:rPr>
          <w:szCs w:val="28"/>
        </w:rPr>
        <w:t>A-</w:t>
      </w:r>
      <w:r w:rsidR="00A60C96">
        <w:rPr>
          <w:szCs w:val="28"/>
        </w:rPr>
        <w:t>like</w:t>
      </w:r>
      <w:r w:rsidR="00293A75">
        <w:rPr>
          <w:szCs w:val="28"/>
        </w:rPr>
        <w:t xml:space="preserve"> </w:t>
      </w:r>
      <w:r w:rsidR="003B1EA4">
        <w:rPr>
          <w:szCs w:val="28"/>
        </w:rPr>
        <w:t>/Tn formation</w:t>
      </w:r>
      <w:r w:rsidR="000D4E23">
        <w:rPr>
          <w:szCs w:val="28"/>
        </w:rPr>
        <w:t xml:space="preserve"> arises</w:t>
      </w:r>
      <w:r w:rsidR="00F54C64">
        <w:rPr>
          <w:szCs w:val="28"/>
        </w:rPr>
        <w:t xml:space="preserve"> together with</w:t>
      </w:r>
      <w:r w:rsidR="00C16BE6">
        <w:rPr>
          <w:szCs w:val="28"/>
        </w:rPr>
        <w:t xml:space="preserve"> the </w:t>
      </w:r>
      <w:r w:rsidR="00DC4C1D">
        <w:rPr>
          <w:szCs w:val="28"/>
        </w:rPr>
        <w:t>nonimmune polyreactive IgM in a synthetic entity</w:t>
      </w:r>
      <w:r w:rsidR="000D4E23">
        <w:rPr>
          <w:szCs w:val="28"/>
        </w:rPr>
        <w:t xml:space="preserve">. </w:t>
      </w:r>
      <w:r w:rsidR="00437C11">
        <w:rPr>
          <w:szCs w:val="28"/>
        </w:rPr>
        <w:t>I</w:t>
      </w:r>
      <w:r w:rsidR="003D621B">
        <w:rPr>
          <w:szCs w:val="28"/>
        </w:rPr>
        <w:t xml:space="preserve">n the human </w:t>
      </w:r>
      <w:r w:rsidR="00437C11">
        <w:rPr>
          <w:szCs w:val="28"/>
        </w:rPr>
        <w:t>th</w:t>
      </w:r>
      <w:r w:rsidR="00771F38">
        <w:rPr>
          <w:szCs w:val="28"/>
        </w:rPr>
        <w:t>e</w:t>
      </w:r>
      <w:r w:rsidR="00437C11">
        <w:rPr>
          <w:szCs w:val="28"/>
        </w:rPr>
        <w:t xml:space="preserve"> intermediate </w:t>
      </w:r>
      <w:r w:rsidR="009E0F64">
        <w:rPr>
          <w:szCs w:val="28"/>
        </w:rPr>
        <w:t xml:space="preserve">A-like /Tn formation </w:t>
      </w:r>
      <w:r w:rsidR="003B1EA4">
        <w:rPr>
          <w:szCs w:val="28"/>
        </w:rPr>
        <w:t xml:space="preserve">is replaced by </w:t>
      </w:r>
      <w:r w:rsidR="003D621B">
        <w:rPr>
          <w:szCs w:val="28"/>
        </w:rPr>
        <w:t xml:space="preserve">ABO(H) </w:t>
      </w:r>
      <w:r w:rsidR="003B1EA4">
        <w:rPr>
          <w:szCs w:val="28"/>
        </w:rPr>
        <w:t>blood group</w:t>
      </w:r>
      <w:r w:rsidR="00411036">
        <w:rPr>
          <w:szCs w:val="28"/>
        </w:rPr>
        <w:t xml:space="preserve">-specific </w:t>
      </w:r>
      <w:r w:rsidR="00C34FA4">
        <w:rPr>
          <w:szCs w:val="28"/>
        </w:rPr>
        <w:t>carbohydrates</w:t>
      </w:r>
      <w:r w:rsidR="009E0F64">
        <w:rPr>
          <w:szCs w:val="28"/>
        </w:rPr>
        <w:t>,</w:t>
      </w:r>
      <w:r w:rsidR="003B1EA4">
        <w:rPr>
          <w:szCs w:val="28"/>
        </w:rPr>
        <w:t xml:space="preserve"> </w:t>
      </w:r>
      <w:r w:rsidR="009E0F64">
        <w:rPr>
          <w:szCs w:val="28"/>
        </w:rPr>
        <w:t>associated with</w:t>
      </w:r>
      <w:r w:rsidR="00580F8A">
        <w:rPr>
          <w:szCs w:val="28"/>
        </w:rPr>
        <w:t xml:space="preserve"> secretion of the IgM molecule, undergoing</w:t>
      </w:r>
      <w:r w:rsidR="003B1EA4">
        <w:rPr>
          <w:szCs w:val="28"/>
        </w:rPr>
        <w:t xml:space="preserve"> </w:t>
      </w:r>
      <w:proofErr w:type="spellStart"/>
      <w:r w:rsidR="003B1EA4">
        <w:rPr>
          <w:szCs w:val="28"/>
        </w:rPr>
        <w:t>glycosidic</w:t>
      </w:r>
      <w:proofErr w:type="spellEnd"/>
      <w:r w:rsidR="00B662F7">
        <w:rPr>
          <w:szCs w:val="28"/>
        </w:rPr>
        <w:t>, phenotypic</w:t>
      </w:r>
      <w:r w:rsidR="003B1EA4">
        <w:rPr>
          <w:szCs w:val="28"/>
        </w:rPr>
        <w:t xml:space="preserve"> accommodation of the nonimmune anti-A/Tn</w:t>
      </w:r>
      <w:r w:rsidR="00580F8A">
        <w:rPr>
          <w:szCs w:val="28"/>
        </w:rPr>
        <w:t xml:space="preserve"> and anti-B </w:t>
      </w:r>
      <w:r w:rsidR="003B1EA4">
        <w:rPr>
          <w:szCs w:val="28"/>
        </w:rPr>
        <w:t>isoagglutinin</w:t>
      </w:r>
      <w:r w:rsidR="00580F8A">
        <w:rPr>
          <w:szCs w:val="28"/>
        </w:rPr>
        <w:t xml:space="preserve"> activities, which are exerted by this molecule</w:t>
      </w:r>
      <w:r w:rsidR="003B1EA4">
        <w:rPr>
          <w:szCs w:val="28"/>
        </w:rPr>
        <w:t>.</w:t>
      </w:r>
      <w:r w:rsidR="003D621B">
        <w:rPr>
          <w:szCs w:val="28"/>
        </w:rPr>
        <w:t xml:space="preserve"> </w:t>
      </w:r>
      <w:r w:rsidR="003B1EA4">
        <w:rPr>
          <w:szCs w:val="28"/>
        </w:rPr>
        <w:t xml:space="preserve"> </w:t>
      </w:r>
      <w:r w:rsidR="00E14EA6">
        <w:rPr>
          <w:szCs w:val="28"/>
        </w:rPr>
        <w:t xml:space="preserve">The </w:t>
      </w:r>
      <w:r w:rsidR="003B1EA4">
        <w:rPr>
          <w:szCs w:val="28"/>
        </w:rPr>
        <w:t>illustrated</w:t>
      </w:r>
      <w:r w:rsidR="00A46601">
        <w:rPr>
          <w:szCs w:val="28"/>
        </w:rPr>
        <w:t xml:space="preserve"> </w:t>
      </w:r>
      <w:r w:rsidR="00E14EA6">
        <w:rPr>
          <w:szCs w:val="28"/>
        </w:rPr>
        <w:t>pathway of specific blood group A</w:t>
      </w:r>
      <w:r w:rsidR="00DA2456">
        <w:rPr>
          <w:szCs w:val="28"/>
        </w:rPr>
        <w:t xml:space="preserve"> </w:t>
      </w:r>
      <w:r w:rsidR="00E14EA6">
        <w:rPr>
          <w:szCs w:val="28"/>
        </w:rPr>
        <w:t>starts after completion of the blood group O(H) structure</w:t>
      </w:r>
      <w:r w:rsidR="00DA2456">
        <w:rPr>
          <w:szCs w:val="28"/>
        </w:rPr>
        <w:t>,</w:t>
      </w:r>
      <w:r w:rsidR="00E14EA6">
        <w:rPr>
          <w:szCs w:val="28"/>
        </w:rPr>
        <w:t xml:space="preserve"> based on α1,2 </w:t>
      </w:r>
      <w:proofErr w:type="spellStart"/>
      <w:r w:rsidR="00E14EA6">
        <w:rPr>
          <w:szCs w:val="28"/>
        </w:rPr>
        <w:t>fucosylations</w:t>
      </w:r>
      <w:proofErr w:type="spellEnd"/>
      <w:r w:rsidR="00E14EA6">
        <w:rPr>
          <w:szCs w:val="28"/>
        </w:rPr>
        <w:t xml:space="preserve"> (FUT1/FUT2) and </w:t>
      </w:r>
      <w:proofErr w:type="spellStart"/>
      <w:r w:rsidR="00E14EA6">
        <w:rPr>
          <w:szCs w:val="28"/>
        </w:rPr>
        <w:t>glycosidic</w:t>
      </w:r>
      <w:proofErr w:type="spellEnd"/>
      <w:r w:rsidR="00E14EA6">
        <w:rPr>
          <w:szCs w:val="28"/>
        </w:rPr>
        <w:t xml:space="preserve"> accommodation of the innate anti-H activity via </w:t>
      </w:r>
      <w:r w:rsidR="00E14EA6">
        <w:rPr>
          <w:i/>
          <w:szCs w:val="28"/>
        </w:rPr>
        <w:t>O</w:t>
      </w:r>
      <w:r w:rsidR="00E14EA6">
        <w:rPr>
          <w:szCs w:val="28"/>
        </w:rPr>
        <w:t>-glycosylation</w:t>
      </w:r>
      <w:r w:rsidR="00E14EA6">
        <w:rPr>
          <w:b/>
          <w:szCs w:val="28"/>
        </w:rPr>
        <w:t xml:space="preserve"> </w:t>
      </w:r>
      <w:r w:rsidR="00E14EA6">
        <w:rPr>
          <w:szCs w:val="28"/>
        </w:rPr>
        <w:t>of functional serine residues,</w:t>
      </w:r>
      <w:r w:rsidR="00411036">
        <w:rPr>
          <w:szCs w:val="28"/>
        </w:rPr>
        <w:t xml:space="preserve"> exposed</w:t>
      </w:r>
      <w:r w:rsidR="00E14EA6">
        <w:rPr>
          <w:szCs w:val="28"/>
        </w:rPr>
        <w:t xml:space="preserve"> by the nonimmune IgM molecule at V and/or Fc-regions [Wang et al. 2016; </w:t>
      </w:r>
      <w:proofErr w:type="spellStart"/>
      <w:r w:rsidR="00E14EA6">
        <w:rPr>
          <w:rFonts w:eastAsiaTheme="minorEastAsia"/>
          <w:szCs w:val="28"/>
        </w:rPr>
        <w:t>Kubagawa</w:t>
      </w:r>
      <w:proofErr w:type="spellEnd"/>
      <w:r w:rsidR="00E14EA6">
        <w:rPr>
          <w:rFonts w:eastAsiaTheme="minorEastAsia"/>
          <w:szCs w:val="28"/>
        </w:rPr>
        <w:t xml:space="preserve">, </w:t>
      </w:r>
      <w:r w:rsidR="00E14EA6">
        <w:rPr>
          <w:rFonts w:eastAsiaTheme="minorEastAsia"/>
          <w:iCs/>
          <w:szCs w:val="28"/>
        </w:rPr>
        <w:t>et al.</w:t>
      </w:r>
      <w:r w:rsidR="00E14EA6">
        <w:rPr>
          <w:rFonts w:eastAsiaTheme="minorEastAsia"/>
          <w:i/>
          <w:iCs/>
          <w:szCs w:val="28"/>
        </w:rPr>
        <w:t xml:space="preserve"> </w:t>
      </w:r>
      <w:r w:rsidR="00E14EA6">
        <w:rPr>
          <w:rFonts w:eastAsiaTheme="minorEastAsia"/>
          <w:szCs w:val="28"/>
        </w:rPr>
        <w:t>2009]</w:t>
      </w:r>
      <w:r w:rsidR="00E14EA6">
        <w:rPr>
          <w:szCs w:val="28"/>
        </w:rPr>
        <w:t xml:space="preserve">. </w:t>
      </w:r>
      <w:r w:rsidR="005D702B">
        <w:rPr>
          <w:szCs w:val="28"/>
        </w:rPr>
        <w:t>This figure is an updated version of figure 4. of a previous paper of the author (Arend, 2017).</w:t>
      </w:r>
    </w:p>
    <w:p w14:paraId="65EDF1D5" w14:textId="77777777" w:rsidR="0021015E" w:rsidRDefault="0021015E" w:rsidP="007A0762">
      <w:pPr>
        <w:spacing w:after="0"/>
        <w:ind w:left="1203"/>
      </w:pPr>
    </w:p>
    <w:p w14:paraId="221F4DF8" w14:textId="77777777" w:rsidR="0021015E" w:rsidRDefault="0021015E" w:rsidP="007A0762">
      <w:pPr>
        <w:spacing w:after="0"/>
        <w:ind w:left="1203"/>
      </w:pPr>
    </w:p>
    <w:p w14:paraId="3DD36131" w14:textId="77777777" w:rsidR="0021015E" w:rsidRDefault="0021015E" w:rsidP="007A0762">
      <w:pPr>
        <w:spacing w:after="0"/>
        <w:ind w:left="1203"/>
      </w:pPr>
    </w:p>
    <w:p w14:paraId="69E514C8" w14:textId="77777777" w:rsidR="0021015E" w:rsidRDefault="0021015E" w:rsidP="007A0762">
      <w:pPr>
        <w:spacing w:after="0"/>
        <w:ind w:left="1203"/>
      </w:pPr>
    </w:p>
    <w:p w14:paraId="09072EF2" w14:textId="77777777" w:rsidR="0021015E" w:rsidRDefault="0021015E" w:rsidP="007A0762">
      <w:pPr>
        <w:spacing w:after="0"/>
        <w:ind w:left="1203"/>
      </w:pPr>
    </w:p>
    <w:p w14:paraId="7667E427" w14:textId="77777777" w:rsidR="0021015E" w:rsidRDefault="0021015E" w:rsidP="007A0762">
      <w:pPr>
        <w:spacing w:after="0"/>
        <w:ind w:left="1203"/>
      </w:pPr>
    </w:p>
    <w:p w14:paraId="01C1A318" w14:textId="77777777" w:rsidR="0021015E" w:rsidRDefault="0021015E" w:rsidP="007A0762">
      <w:pPr>
        <w:spacing w:after="0"/>
        <w:ind w:left="1203"/>
      </w:pPr>
    </w:p>
    <w:p w14:paraId="4D7A146B" w14:textId="77777777" w:rsidR="0021015E" w:rsidRDefault="0021015E" w:rsidP="007A0762">
      <w:pPr>
        <w:spacing w:after="0"/>
        <w:ind w:left="1203"/>
      </w:pPr>
    </w:p>
    <w:p w14:paraId="1F0C6E96" w14:textId="77777777" w:rsidR="0021015E" w:rsidRDefault="0021015E" w:rsidP="007A0762">
      <w:pPr>
        <w:spacing w:after="0"/>
        <w:ind w:left="1203"/>
      </w:pPr>
    </w:p>
    <w:p w14:paraId="514EDF5E" w14:textId="77777777" w:rsidR="0021015E" w:rsidRDefault="0021015E" w:rsidP="007A0762">
      <w:pPr>
        <w:spacing w:after="0"/>
        <w:ind w:left="1203"/>
      </w:pPr>
    </w:p>
    <w:p w14:paraId="654DADDB" w14:textId="77777777" w:rsidR="0021015E" w:rsidRDefault="0021015E" w:rsidP="007A0762">
      <w:pPr>
        <w:spacing w:after="0"/>
        <w:ind w:left="1203"/>
      </w:pPr>
    </w:p>
    <w:p w14:paraId="3CC19591" w14:textId="77777777" w:rsidR="0021015E" w:rsidRDefault="0021015E" w:rsidP="007A0762">
      <w:pPr>
        <w:spacing w:after="0"/>
        <w:ind w:left="1203"/>
      </w:pPr>
    </w:p>
    <w:p w14:paraId="5FD2FB37" w14:textId="77777777" w:rsidR="0021015E" w:rsidRDefault="0021015E" w:rsidP="007A0762">
      <w:pPr>
        <w:spacing w:after="0"/>
        <w:ind w:left="1203"/>
      </w:pPr>
    </w:p>
    <w:p w14:paraId="588BF414" w14:textId="77777777" w:rsidR="0021015E" w:rsidRDefault="0021015E" w:rsidP="007A0762">
      <w:pPr>
        <w:spacing w:after="0"/>
        <w:ind w:left="1203"/>
      </w:pPr>
    </w:p>
    <w:p w14:paraId="337613C9" w14:textId="77777777" w:rsidR="0021015E" w:rsidRDefault="0021015E" w:rsidP="007A0762">
      <w:pPr>
        <w:spacing w:after="0"/>
        <w:ind w:left="1203"/>
      </w:pPr>
    </w:p>
    <w:p w14:paraId="1AA3949D" w14:textId="77777777" w:rsidR="0021015E" w:rsidRDefault="0021015E" w:rsidP="007A0762">
      <w:pPr>
        <w:spacing w:after="0"/>
        <w:ind w:left="1203"/>
      </w:pPr>
    </w:p>
    <w:p w14:paraId="2B4C4328" w14:textId="77777777" w:rsidR="00625AF3" w:rsidRDefault="00625AF3" w:rsidP="007A0762">
      <w:pPr>
        <w:spacing w:after="0"/>
        <w:ind w:left="0" w:firstLine="0"/>
      </w:pPr>
    </w:p>
    <w:p w14:paraId="3984B529" w14:textId="199FF7E0" w:rsidR="00F149F4" w:rsidRDefault="00625AF3" w:rsidP="007A0762">
      <w:pPr>
        <w:spacing w:after="0"/>
        <w:ind w:left="1203"/>
      </w:pPr>
      <w:r>
        <w:t xml:space="preserve">       </w:t>
      </w:r>
      <w:r w:rsidR="0008288D">
        <w:t>SARS-CoV-2 hypothetically evades human immunity by hybridization of the ABO(H) blood groups, or mimicking the above described metabolic pathways. Both blood group O(H) and the non</w:t>
      </w:r>
      <w:r w:rsidR="00387608">
        <w:t>-</w:t>
      </w:r>
      <w:r w:rsidR="0008288D">
        <w:t>O blood groups are infected via blood group-independent, transspecies intermediate A-like/Tn (</w:t>
      </w:r>
      <w:r w:rsidR="0008288D">
        <w:rPr>
          <w:i/>
        </w:rPr>
        <w:t>O</w:t>
      </w:r>
      <w:r w:rsidR="0008288D">
        <w:t>-</w:t>
      </w:r>
      <w:proofErr w:type="spellStart"/>
      <w:r w:rsidR="0008288D">
        <w:t>GalNAc</w:t>
      </w:r>
      <w:proofErr w:type="spellEnd"/>
      <w:r w:rsidR="0008288D">
        <w:t xml:space="preserve">-Ser) binding, which in blood group O(H) is replaced by mucin-type </w:t>
      </w:r>
      <w:proofErr w:type="spellStart"/>
      <w:r w:rsidR="0008288D">
        <w:t>fucosylation</w:t>
      </w:r>
      <w:proofErr w:type="spellEnd"/>
      <w:r w:rsidR="0008288D">
        <w:t xml:space="preserve">, performing the synthesis of a hybrid H-type antigen as the potential precursor of hybrid non-O blood groups. Thus, in the blood groups A, B and AB, the intermediate A-like/Tn binding is hypothetically replaced by hybrid A- and/or B-allelic mucin type formation via FUT1FUT2 and </w:t>
      </w:r>
      <w:proofErr w:type="spellStart"/>
      <w:r w:rsidR="0008288D">
        <w:t>GalNAc</w:t>
      </w:r>
      <w:proofErr w:type="spellEnd"/>
      <w:r w:rsidR="0008288D">
        <w:t>- and/or D-Gal glycosylation, while the anti-B or anti-A</w:t>
      </w:r>
      <w:r w:rsidR="00A82459">
        <w:t>/Tn</w:t>
      </w:r>
      <w:r w:rsidR="0008288D">
        <w:t xml:space="preserve">-isoagglutinin levels are physiologically reduced (Fig. </w:t>
      </w:r>
      <w:r w:rsidR="001F2FBE">
        <w:t>2</w:t>
      </w:r>
      <w:r w:rsidR="0008288D">
        <w:t xml:space="preserve">).   </w:t>
      </w:r>
    </w:p>
    <w:p w14:paraId="66CA9240" w14:textId="2ABB6F08" w:rsidR="004B0DDB" w:rsidRDefault="0008288D" w:rsidP="007A0762">
      <w:pPr>
        <w:spacing w:after="0"/>
        <w:ind w:left="1203"/>
      </w:pPr>
      <w:r>
        <w:t xml:space="preserve">       The process of viral ABO(H) blood group hybridization, mimicking the syngeneic epitopes as the target of this hybridization, is illustrated in Fig. </w:t>
      </w:r>
      <w:r w:rsidR="00360DEF">
        <w:t>3</w:t>
      </w:r>
      <w:r>
        <w:t>: blood group O(H), which is bound to the virus solely by the formation of the hybrid H-type antigen, has the least contact with the pathogen and is the most protected group when it loses only the anti-H isoagglutinin, but retains the innate anti-A</w:t>
      </w:r>
      <w:r w:rsidR="00A82459">
        <w:t>/Tn</w:t>
      </w:r>
      <w:r>
        <w:t xml:space="preserve"> and anti-B isoagglutinin reactivities, involving secondary IgG responses. In the blood group A, the anti-A</w:t>
      </w:r>
      <w:r w:rsidR="00C60AAD">
        <w:t>/Tn</w:t>
      </w:r>
      <w:r>
        <w:t xml:space="preserve"> and anti-H formations are physiologically blocked</w:t>
      </w:r>
      <w:r w:rsidR="006D2325">
        <w:t xml:space="preserve"> by glycosylation</w:t>
      </w:r>
      <w:r>
        <w:t>, while the anti-B shows a reduced level and, as cited above, neither anti-A</w:t>
      </w:r>
      <w:r w:rsidR="00C60AAD">
        <w:t>/Tn</w:t>
      </w:r>
      <w:r>
        <w:t>- nor anti-B-reactive IgG is produced in this group due to clonal selection.  In blood group B, the anti-B and anti H-reactivities are blocked respectively</w:t>
      </w:r>
      <w:r w:rsidR="006D2325">
        <w:t xml:space="preserve"> by glycosylation</w:t>
      </w:r>
      <w:r>
        <w:t>, while the anti-A</w:t>
      </w:r>
      <w:r w:rsidR="00C60AAD">
        <w:t>/Tn</w:t>
      </w:r>
      <w:r>
        <w:t xml:space="preserve"> shows a reduced level, as the anti-B in blood group A and neither </w:t>
      </w:r>
      <w:r w:rsidR="00413EF4">
        <w:t xml:space="preserve">inborn </w:t>
      </w:r>
      <w:r>
        <w:t>anti-A</w:t>
      </w:r>
      <w:r w:rsidR="00C60AAD">
        <w:t>/Tn</w:t>
      </w:r>
      <w:r>
        <w:t xml:space="preserve"> nor anti-B-reactive IgG </w:t>
      </w:r>
      <w:r w:rsidR="006D2325">
        <w:t>was detected</w:t>
      </w:r>
      <w:r>
        <w:t xml:space="preserve"> in this blood group</w:t>
      </w:r>
      <w:r w:rsidR="006D2325">
        <w:t xml:space="preserve"> until today</w:t>
      </w:r>
      <w:r>
        <w:t xml:space="preserve">. Blood group AB has the strongest contact to pathogen and is the least </w:t>
      </w:r>
      <w:bookmarkStart w:id="6" w:name="_GoBack"/>
      <w:bookmarkEnd w:id="6"/>
      <w:r>
        <w:t>protected group with respect to innate ABO(H) immunity.</w:t>
      </w:r>
      <w:r>
        <w:rPr>
          <w:rFonts w:ascii="Cambria" w:eastAsia="Cambria" w:hAnsi="Cambria" w:cs="Cambria"/>
        </w:rPr>
        <w:t xml:space="preserve">  </w:t>
      </w:r>
    </w:p>
    <w:p w14:paraId="7151388F" w14:textId="1469B1E8" w:rsidR="00D81A7E" w:rsidRDefault="004B0DDB" w:rsidP="007A0762">
      <w:pPr>
        <w:spacing w:after="0"/>
        <w:ind w:left="1203"/>
      </w:pPr>
      <w:r>
        <w:t xml:space="preserve">       </w:t>
      </w:r>
      <w:r w:rsidR="0008288D">
        <w:t xml:space="preserve">Ultimately, </w:t>
      </w:r>
      <w:r w:rsidR="0008288D">
        <w:rPr>
          <w:rFonts w:ascii="Cambria" w:eastAsia="Cambria" w:hAnsi="Cambria" w:cs="Cambria"/>
        </w:rPr>
        <w:t xml:space="preserve">the human ABO(H) blood group phenotypes arise from the evolutionarily oldest genetic system found in primate populations </w:t>
      </w:r>
      <w:r w:rsidR="0008288D">
        <w:rPr>
          <w:rFonts w:ascii="Cambria" w:eastAsia="Cambria" w:hAnsi="Cambria" w:cs="Cambria"/>
        </w:rPr>
        <w:lastRenderedPageBreak/>
        <w:t xml:space="preserve">and develop in molecular and functional connection with a special humoral innate immunity, dominated by the nonimmune polyreactive IgM. </w:t>
      </w:r>
      <w:r w:rsidR="0008288D">
        <w:t>The ABO(H) phenotypic glycosylation of both the cell surfaces and the plasma proteins occurs identically, which, under normal conditions, physiologically precludes a corresponding natural autoreactivity, basically exerted by the ancestral nonimmune or neonatal IgM (Arend, P., 2016). However, in the case of infections, such as SARS-CoV-2, this principle enables the formation of foreign hybrid structures. The physiological lack of innate anti-A and anti-B antibodies in the non-O blood groups, namely A, B, and AB, poses an immunological dilemma. On one hand, it protects them from self-reactivity against complementary structures, but on the other hand it cannot prevent the formation of hybrid structures</w:t>
      </w:r>
      <w:r w:rsidR="00D81A7E">
        <w:rPr>
          <w:color w:val="auto"/>
        </w:rPr>
        <w:t>,</w:t>
      </w:r>
      <w:r w:rsidR="00D1366E">
        <w:rPr>
          <w:color w:val="auto"/>
        </w:rPr>
        <w:t xml:space="preserve"> </w:t>
      </w:r>
      <w:r w:rsidR="000F697C">
        <w:rPr>
          <w:color w:val="auto"/>
        </w:rPr>
        <w:t xml:space="preserve">which </w:t>
      </w:r>
      <w:r w:rsidR="00D1366E">
        <w:rPr>
          <w:color w:val="auto"/>
        </w:rPr>
        <w:t>means</w:t>
      </w:r>
      <w:r w:rsidR="00D81A7E">
        <w:rPr>
          <w:color w:val="auto"/>
        </w:rPr>
        <w:t xml:space="preserve"> bonds between autologous carbohydrates and/or </w:t>
      </w:r>
      <w:proofErr w:type="spellStart"/>
      <w:r w:rsidR="00D81A7E">
        <w:rPr>
          <w:color w:val="auto"/>
        </w:rPr>
        <w:t>glycopeptides</w:t>
      </w:r>
      <w:proofErr w:type="spellEnd"/>
      <w:r w:rsidR="00D81A7E">
        <w:rPr>
          <w:color w:val="auto"/>
        </w:rPr>
        <w:t xml:space="preserve"> and foreign peptides, </w:t>
      </w:r>
      <w:r w:rsidR="00EB1220" w:rsidRPr="00D1366E">
        <w:rPr>
          <w:color w:val="auto"/>
          <w:spacing w:val="-1"/>
          <w:shd w:val="clear" w:color="auto" w:fill="FFFFFF"/>
        </w:rPr>
        <w:t>most likely autoantigenic</w:t>
      </w:r>
      <w:r w:rsidR="00D81A7E">
        <w:rPr>
          <w:color w:val="auto"/>
          <w:spacing w:val="-1"/>
          <w:shd w:val="clear" w:color="auto" w:fill="FFFFFF"/>
        </w:rPr>
        <w:t xml:space="preserve"> </w:t>
      </w:r>
      <w:r w:rsidR="00EB1220" w:rsidRPr="00D1366E">
        <w:rPr>
          <w:color w:val="auto"/>
          <w:spacing w:val="-1"/>
          <w:shd w:val="clear" w:color="auto" w:fill="FFFFFF"/>
        </w:rPr>
        <w:t>structures that arise in a subsequent pathogenic ste</w:t>
      </w:r>
      <w:r w:rsidR="00E71783" w:rsidRPr="00D1366E">
        <w:rPr>
          <w:color w:val="auto"/>
          <w:spacing w:val="-1"/>
          <w:shd w:val="clear" w:color="auto" w:fill="FFFFFF"/>
        </w:rPr>
        <w:t>p</w:t>
      </w:r>
      <w:r w:rsidR="00D81A7E">
        <w:rPr>
          <w:color w:val="auto"/>
          <w:spacing w:val="-1"/>
          <w:shd w:val="clear" w:color="auto" w:fill="FFFFFF"/>
        </w:rPr>
        <w:t xml:space="preserve"> and may induce the production of autoantibodies, exerting multiple specificities.</w:t>
      </w:r>
      <w:r w:rsidR="0008288D">
        <w:t xml:space="preserve">      </w:t>
      </w:r>
    </w:p>
    <w:p w14:paraId="53F3C660" w14:textId="4B9DE8D6" w:rsidR="00F149F4" w:rsidRDefault="00715CA6" w:rsidP="007A0762">
      <w:pPr>
        <w:spacing w:after="0"/>
        <w:ind w:left="1203"/>
      </w:pPr>
      <w:r>
        <w:t xml:space="preserve">      </w:t>
      </w:r>
      <w:r w:rsidR="0008288D">
        <w:t xml:space="preserve">It is assumed that during SARS-CoV-2 infection, especially in the non-O blood groups, the induction of autoimmune processes might contribute to the development of severe symptoms, which may even be dominated by autoimmune inflammation. In fact, this phenomenon has been observed in severe cases of malaria </w:t>
      </w:r>
      <w:proofErr w:type="spellStart"/>
      <w:r w:rsidR="0008288D">
        <w:t>tropica</w:t>
      </w:r>
      <w:proofErr w:type="spellEnd"/>
      <w:r w:rsidR="0008288D">
        <w:t xml:space="preserve"> (Hart et al., 2016; Rivera-Correa et al., 2017). It has been explained by the author through hybridization (Arend, 2020b), but awaits elucidation through studies of the complex mechanisms of cellular immunity, which is ignored in this manuscript that exclusively is focused on the ABO(H) blood group phenotype-determined humoral innate immunity and the first steps of SARS-CoV-2 pathogenesis. </w:t>
      </w:r>
    </w:p>
    <w:p w14:paraId="09F282B2" w14:textId="378C9B90" w:rsidR="00C63800" w:rsidRDefault="00C63800" w:rsidP="007A0762">
      <w:pPr>
        <w:spacing w:after="0"/>
        <w:ind w:left="1203"/>
      </w:pPr>
    </w:p>
    <w:p w14:paraId="2838C64B" w14:textId="64D555A2" w:rsidR="00C63800" w:rsidRDefault="00C63800" w:rsidP="007A0762">
      <w:pPr>
        <w:spacing w:after="0"/>
        <w:ind w:left="1203"/>
      </w:pPr>
    </w:p>
    <w:p w14:paraId="0FDFC236" w14:textId="162A3F1A" w:rsidR="002A2701" w:rsidRDefault="002A2701" w:rsidP="00843CB7">
      <w:pPr>
        <w:spacing w:after="0"/>
        <w:ind w:left="0" w:firstLine="0"/>
      </w:pPr>
    </w:p>
    <w:p w14:paraId="6DC385BC" w14:textId="77777777" w:rsidR="002A2701" w:rsidRDefault="002A2701" w:rsidP="007A0762">
      <w:pPr>
        <w:spacing w:after="0"/>
        <w:ind w:left="1203"/>
      </w:pPr>
    </w:p>
    <w:p w14:paraId="3DB9E930" w14:textId="2033BDD7" w:rsidR="00C63800" w:rsidRDefault="00C63800" w:rsidP="007A0762">
      <w:pPr>
        <w:spacing w:after="0"/>
        <w:ind w:left="0" w:firstLine="0"/>
      </w:pPr>
    </w:p>
    <w:p w14:paraId="7C06AE0E" w14:textId="27503DD5" w:rsidR="00C63800" w:rsidRDefault="00C63800" w:rsidP="007A0762">
      <w:pPr>
        <w:spacing w:after="0"/>
        <w:ind w:left="1203"/>
      </w:pPr>
    </w:p>
    <w:p w14:paraId="1CF124A5" w14:textId="79CB2185" w:rsidR="00EF1F6D" w:rsidRDefault="00EF1F6D" w:rsidP="007A0762">
      <w:pPr>
        <w:spacing w:after="0"/>
        <w:ind w:left="0" w:firstLine="0"/>
      </w:pPr>
    </w:p>
    <w:p w14:paraId="25A3F6D3" w14:textId="730658FD" w:rsidR="00EF1F6D" w:rsidRDefault="00EF1F6D" w:rsidP="007A0762">
      <w:pPr>
        <w:spacing w:after="0"/>
        <w:ind w:left="1203"/>
      </w:pPr>
      <w:r w:rsidRPr="006C4256">
        <w:rPr>
          <w:noProof/>
        </w:rPr>
        <w:drawing>
          <wp:anchor distT="0" distB="0" distL="114300" distR="114300" simplePos="0" relativeHeight="251663360" behindDoc="0" locked="0" layoutInCell="1" allowOverlap="1" wp14:anchorId="4CD22126" wp14:editId="3AE99C41">
            <wp:simplePos x="0" y="0"/>
            <wp:positionH relativeFrom="page">
              <wp:posOffset>173044</wp:posOffset>
            </wp:positionH>
            <wp:positionV relativeFrom="paragraph">
              <wp:posOffset>12788</wp:posOffset>
            </wp:positionV>
            <wp:extent cx="7171200" cy="7034400"/>
            <wp:effectExtent l="0" t="0" r="0" b="0"/>
            <wp:wrapNone/>
            <wp:docPr id="3" name="Grafik 3" descr="C:\Users\Arend\Documents\FigTesthzoioioiuzo.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end\Documents\FigTesthzoioioiuzo.tiff"/>
                    <pic:cNvPicPr>
                      <a:picLocks noChangeAspect="1" noChangeArrowheads="1"/>
                    </pic:cNvPicPr>
                  </pic:nvPicPr>
                  <pic:blipFill rotWithShape="1">
                    <a:blip r:embed="rId7">
                      <a:extLst>
                        <a:ext uri="{28A0092B-C50C-407E-A947-70E740481C1C}">
                          <a14:useLocalDpi xmlns:a14="http://schemas.microsoft.com/office/drawing/2010/main" val="0"/>
                        </a:ext>
                      </a:extLst>
                    </a:blip>
                    <a:srcRect t="13337" b="10835"/>
                    <a:stretch/>
                  </pic:blipFill>
                  <pic:spPr bwMode="auto">
                    <a:xfrm>
                      <a:off x="0" y="0"/>
                      <a:ext cx="7171200" cy="7034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5A9DFE" w14:textId="7559D883" w:rsidR="00EF1F6D" w:rsidRDefault="00EF1F6D" w:rsidP="007A0762">
      <w:pPr>
        <w:spacing w:after="0"/>
        <w:ind w:left="1203"/>
      </w:pPr>
    </w:p>
    <w:p w14:paraId="06F37866" w14:textId="406DF630" w:rsidR="00EF1F6D" w:rsidRDefault="00EF1F6D" w:rsidP="007A0762">
      <w:pPr>
        <w:spacing w:after="0"/>
        <w:ind w:left="1203"/>
      </w:pPr>
    </w:p>
    <w:p w14:paraId="55CBB5BA" w14:textId="04F017E8" w:rsidR="00EF1F6D" w:rsidRDefault="00EF1F6D" w:rsidP="007A0762">
      <w:pPr>
        <w:spacing w:after="0"/>
        <w:ind w:left="1203"/>
      </w:pPr>
    </w:p>
    <w:p w14:paraId="53822233" w14:textId="4266E748" w:rsidR="00EF1F6D" w:rsidRDefault="00EF1F6D" w:rsidP="007A0762">
      <w:pPr>
        <w:spacing w:after="0"/>
        <w:ind w:left="1203"/>
      </w:pPr>
    </w:p>
    <w:p w14:paraId="00C37D17" w14:textId="66A29D37" w:rsidR="00EF1F6D" w:rsidRDefault="00EF1F6D" w:rsidP="007A0762">
      <w:pPr>
        <w:spacing w:after="0"/>
        <w:ind w:left="1203"/>
      </w:pPr>
    </w:p>
    <w:p w14:paraId="07763A3A" w14:textId="5DA46995" w:rsidR="00EF1F6D" w:rsidRDefault="00EF1F6D" w:rsidP="007A0762">
      <w:pPr>
        <w:spacing w:after="0"/>
        <w:ind w:left="1203"/>
      </w:pPr>
    </w:p>
    <w:p w14:paraId="077360E9" w14:textId="70596DB5" w:rsidR="00EF1F6D" w:rsidRDefault="00EF1F6D" w:rsidP="007A0762">
      <w:pPr>
        <w:spacing w:after="0"/>
        <w:ind w:left="1203"/>
      </w:pPr>
    </w:p>
    <w:p w14:paraId="31D2B942" w14:textId="7C19E03B" w:rsidR="00EF1F6D" w:rsidRDefault="00EF1F6D" w:rsidP="007A0762">
      <w:pPr>
        <w:spacing w:after="0"/>
        <w:ind w:left="1203"/>
      </w:pPr>
    </w:p>
    <w:p w14:paraId="07BC2DAD" w14:textId="5930EB3C" w:rsidR="00EF1F6D" w:rsidRDefault="00EF1F6D" w:rsidP="007A0762">
      <w:pPr>
        <w:spacing w:after="0"/>
        <w:ind w:left="1203"/>
      </w:pPr>
    </w:p>
    <w:p w14:paraId="44BD4F23" w14:textId="2D91D299" w:rsidR="00EF1F6D" w:rsidRDefault="00EF1F6D" w:rsidP="007A0762">
      <w:pPr>
        <w:spacing w:after="0"/>
        <w:ind w:left="1203"/>
      </w:pPr>
    </w:p>
    <w:p w14:paraId="4E490C1A" w14:textId="63621716" w:rsidR="00EF1F6D" w:rsidRDefault="00EF1F6D" w:rsidP="007A0762">
      <w:pPr>
        <w:spacing w:after="0"/>
        <w:ind w:left="1203"/>
      </w:pPr>
    </w:p>
    <w:p w14:paraId="451C986F" w14:textId="7510B44F" w:rsidR="00EF1F6D" w:rsidRDefault="00EF1F6D" w:rsidP="007A0762">
      <w:pPr>
        <w:spacing w:after="0"/>
        <w:ind w:left="1203"/>
      </w:pPr>
    </w:p>
    <w:p w14:paraId="1CE240AC" w14:textId="2ED7D7A2" w:rsidR="00EF1F6D" w:rsidRDefault="00EF1F6D" w:rsidP="007A0762">
      <w:pPr>
        <w:spacing w:after="0"/>
        <w:ind w:left="1203"/>
      </w:pPr>
    </w:p>
    <w:p w14:paraId="297830D4" w14:textId="02F5F9BB" w:rsidR="00EF1F6D" w:rsidRDefault="00EF1F6D" w:rsidP="007A0762">
      <w:pPr>
        <w:spacing w:after="0"/>
        <w:ind w:left="1203"/>
      </w:pPr>
    </w:p>
    <w:p w14:paraId="20EDFEAF" w14:textId="77777777" w:rsidR="00F149F4" w:rsidRDefault="0008288D" w:rsidP="007A0762">
      <w:pPr>
        <w:spacing w:after="0" w:line="259" w:lineRule="auto"/>
        <w:ind w:left="0" w:firstLine="0"/>
        <w:jc w:val="left"/>
      </w:pPr>
      <w:r>
        <w:t xml:space="preserve"> </w:t>
      </w:r>
    </w:p>
    <w:p w14:paraId="41C5ED3B" w14:textId="77777777" w:rsidR="00ED618A" w:rsidRDefault="00ED618A" w:rsidP="007A0762">
      <w:pPr>
        <w:spacing w:after="0" w:line="259" w:lineRule="auto"/>
        <w:ind w:left="1186"/>
        <w:jc w:val="left"/>
      </w:pPr>
    </w:p>
    <w:p w14:paraId="42EC221A" w14:textId="77777777" w:rsidR="00ED618A" w:rsidRDefault="00ED618A" w:rsidP="007A0762">
      <w:pPr>
        <w:spacing w:after="0" w:line="259" w:lineRule="auto"/>
        <w:ind w:left="1186"/>
        <w:jc w:val="left"/>
      </w:pPr>
    </w:p>
    <w:p w14:paraId="2850367D" w14:textId="77777777" w:rsidR="00ED618A" w:rsidRDefault="00ED618A" w:rsidP="007A0762">
      <w:pPr>
        <w:spacing w:after="0" w:line="259" w:lineRule="auto"/>
        <w:ind w:left="1186"/>
        <w:jc w:val="left"/>
      </w:pPr>
    </w:p>
    <w:p w14:paraId="4E6EF0F5" w14:textId="77777777" w:rsidR="00ED618A" w:rsidRDefault="00ED618A" w:rsidP="007A0762">
      <w:pPr>
        <w:spacing w:after="0" w:line="259" w:lineRule="auto"/>
        <w:ind w:left="1186"/>
        <w:jc w:val="left"/>
      </w:pPr>
    </w:p>
    <w:p w14:paraId="62F8BA3A" w14:textId="77777777" w:rsidR="00ED618A" w:rsidRDefault="00ED618A" w:rsidP="007A0762">
      <w:pPr>
        <w:spacing w:after="0" w:line="259" w:lineRule="auto"/>
        <w:ind w:left="1186"/>
        <w:jc w:val="left"/>
      </w:pPr>
    </w:p>
    <w:p w14:paraId="65505644" w14:textId="42D4F187" w:rsidR="00F149F4" w:rsidRDefault="00ED618A" w:rsidP="007A0762">
      <w:pPr>
        <w:spacing w:after="0" w:line="259" w:lineRule="auto"/>
        <w:ind w:left="1186"/>
        <w:jc w:val="left"/>
      </w:pPr>
      <w:r>
        <w:t xml:space="preserve">   </w:t>
      </w:r>
      <w:r w:rsidR="00FE7334">
        <w:t>Figure 1</w:t>
      </w:r>
    </w:p>
    <w:p w14:paraId="7E42A82C" w14:textId="5E3AA1E9" w:rsidR="00E0333F" w:rsidRDefault="00E0333F" w:rsidP="007A0762">
      <w:pPr>
        <w:spacing w:after="0" w:line="259" w:lineRule="auto"/>
        <w:ind w:left="1186"/>
        <w:jc w:val="left"/>
      </w:pPr>
    </w:p>
    <w:p w14:paraId="0A62404A" w14:textId="764905C9" w:rsidR="00E0333F" w:rsidRDefault="00E0333F" w:rsidP="007A0762">
      <w:pPr>
        <w:spacing w:after="0" w:line="259" w:lineRule="auto"/>
        <w:ind w:left="1186"/>
        <w:jc w:val="left"/>
      </w:pPr>
    </w:p>
    <w:p w14:paraId="6A6FE4FB" w14:textId="61B05FDA" w:rsidR="00E0333F" w:rsidRDefault="00E0333F" w:rsidP="007A0762">
      <w:pPr>
        <w:spacing w:after="0" w:line="259" w:lineRule="auto"/>
        <w:ind w:left="1186"/>
        <w:jc w:val="left"/>
      </w:pPr>
    </w:p>
    <w:p w14:paraId="465A12E6" w14:textId="0893E031" w:rsidR="00E0333F" w:rsidRDefault="00E0333F" w:rsidP="007A0762">
      <w:pPr>
        <w:spacing w:after="0" w:line="259" w:lineRule="auto"/>
        <w:ind w:left="1186"/>
        <w:jc w:val="left"/>
      </w:pPr>
    </w:p>
    <w:p w14:paraId="2C0C7B17" w14:textId="75DAD92D" w:rsidR="00E0333F" w:rsidRDefault="00E0333F" w:rsidP="007A0762">
      <w:pPr>
        <w:spacing w:after="0" w:line="259" w:lineRule="auto"/>
        <w:ind w:left="1186"/>
        <w:jc w:val="left"/>
      </w:pPr>
    </w:p>
    <w:p w14:paraId="67CA798C" w14:textId="099FC4C7" w:rsidR="00E0333F" w:rsidRDefault="00E0333F" w:rsidP="007A0762">
      <w:pPr>
        <w:spacing w:after="0" w:line="259" w:lineRule="auto"/>
        <w:ind w:left="1186"/>
        <w:jc w:val="left"/>
      </w:pPr>
    </w:p>
    <w:p w14:paraId="514CB26D" w14:textId="0665D8EB" w:rsidR="00E0333F" w:rsidRDefault="00E0333F" w:rsidP="007A0762">
      <w:pPr>
        <w:spacing w:after="0" w:line="259" w:lineRule="auto"/>
        <w:ind w:left="1186"/>
        <w:jc w:val="left"/>
      </w:pPr>
    </w:p>
    <w:p w14:paraId="469C6097" w14:textId="77777777" w:rsidR="002A2701" w:rsidRDefault="00E0333F" w:rsidP="007A0762">
      <w:pPr>
        <w:spacing w:after="0" w:line="259" w:lineRule="auto"/>
        <w:ind w:left="1186"/>
        <w:jc w:val="left"/>
        <w:rPr>
          <w:b/>
        </w:rPr>
      </w:pPr>
      <w:r w:rsidRPr="002A2701">
        <w:rPr>
          <w:b/>
        </w:rPr>
        <w:t xml:space="preserve"> </w:t>
      </w:r>
    </w:p>
    <w:p w14:paraId="41383488" w14:textId="77777777" w:rsidR="002A2701" w:rsidRDefault="002A2701" w:rsidP="007A0762">
      <w:pPr>
        <w:spacing w:after="0" w:line="259" w:lineRule="auto"/>
        <w:ind w:left="1186"/>
        <w:jc w:val="left"/>
        <w:rPr>
          <w:b/>
        </w:rPr>
      </w:pPr>
    </w:p>
    <w:p w14:paraId="63D44C8A" w14:textId="77777777" w:rsidR="002A2701" w:rsidRDefault="002A2701" w:rsidP="007A0762">
      <w:pPr>
        <w:spacing w:after="0" w:line="259" w:lineRule="auto"/>
        <w:ind w:left="1186"/>
        <w:jc w:val="left"/>
        <w:rPr>
          <w:b/>
        </w:rPr>
      </w:pPr>
    </w:p>
    <w:p w14:paraId="0C3F5045" w14:textId="329ABD71" w:rsidR="00E0333F" w:rsidRPr="002A2701" w:rsidRDefault="00E0333F" w:rsidP="007A0762">
      <w:pPr>
        <w:spacing w:after="0" w:line="259" w:lineRule="auto"/>
        <w:ind w:left="1186"/>
        <w:jc w:val="left"/>
        <w:rPr>
          <w:b/>
        </w:rPr>
      </w:pPr>
      <w:r w:rsidRPr="002A2701">
        <w:rPr>
          <w:b/>
        </w:rPr>
        <w:t xml:space="preserve">  </w:t>
      </w:r>
      <w:r w:rsidR="00E05801">
        <w:rPr>
          <w:b/>
        </w:rPr>
        <w:t xml:space="preserve">  </w:t>
      </w:r>
      <w:r w:rsidRPr="002A2701">
        <w:rPr>
          <w:b/>
        </w:rPr>
        <w:t xml:space="preserve">Figure </w:t>
      </w:r>
      <w:r w:rsidR="002A2701" w:rsidRPr="002A2701">
        <w:rPr>
          <w:b/>
        </w:rPr>
        <w:t>2</w:t>
      </w:r>
      <w:r w:rsidR="002A2701">
        <w:rPr>
          <w:b/>
        </w:rPr>
        <w:t>.</w:t>
      </w:r>
    </w:p>
    <w:p w14:paraId="6476A3B1" w14:textId="5F8A5401" w:rsidR="00F149F4" w:rsidRPr="0084436C" w:rsidRDefault="0008288D" w:rsidP="007A0762">
      <w:pPr>
        <w:pStyle w:val="berschrift1"/>
        <w:spacing w:after="0" w:line="360" w:lineRule="auto"/>
        <w:ind w:left="1417" w:firstLine="0"/>
        <w:jc w:val="both"/>
        <w:rPr>
          <w:b w:val="0"/>
        </w:rPr>
      </w:pPr>
      <w:r w:rsidRPr="0084436C">
        <w:lastRenderedPageBreak/>
        <w:t xml:space="preserve">Figure </w:t>
      </w:r>
      <w:r w:rsidR="00593E7C">
        <w:t>2</w:t>
      </w:r>
      <w:r w:rsidRPr="0084436C">
        <w:t>.</w:t>
      </w:r>
      <w:r w:rsidRPr="0084436C">
        <w:rPr>
          <w:b w:val="0"/>
        </w:rPr>
        <w:t xml:space="preserve"> The viral SARS-CoV-2 serine residues, mobilized by host’s TMPRSS2, highjack the host’s </w:t>
      </w:r>
      <w:proofErr w:type="spellStart"/>
      <w:r w:rsidRPr="0084436C">
        <w:rPr>
          <w:b w:val="0"/>
        </w:rPr>
        <w:t>GalNAc</w:t>
      </w:r>
      <w:proofErr w:type="spellEnd"/>
      <w:r w:rsidRPr="0084436C">
        <w:rPr>
          <w:b w:val="0"/>
        </w:rPr>
        <w:t xml:space="preserve"> metabolism and both blood group O(H) and blood group A are identically infected via blood group independent, trans-species intermediate</w:t>
      </w:r>
      <w:r w:rsidR="0084436C" w:rsidRPr="0084436C">
        <w:rPr>
          <w:b w:val="0"/>
          <w:i/>
        </w:rPr>
        <w:t xml:space="preserve"> </w:t>
      </w:r>
      <w:r w:rsidR="0084436C" w:rsidRPr="0084436C">
        <w:rPr>
          <w:b w:val="0"/>
        </w:rPr>
        <w:t xml:space="preserve">A-like/Tn, </w:t>
      </w:r>
      <w:r w:rsidR="0084436C" w:rsidRPr="0084436C">
        <w:rPr>
          <w:b w:val="0"/>
          <w:i/>
        </w:rPr>
        <w:t>O</w:t>
      </w:r>
      <w:r w:rsidR="0084436C" w:rsidRPr="0084436C">
        <w:rPr>
          <w:b w:val="0"/>
        </w:rPr>
        <w:t>-</w:t>
      </w:r>
      <w:proofErr w:type="spellStart"/>
      <w:r w:rsidR="0084436C" w:rsidRPr="0084436C">
        <w:rPr>
          <w:b w:val="0"/>
        </w:rPr>
        <w:t>GalNAc</w:t>
      </w:r>
      <w:proofErr w:type="spellEnd"/>
      <w:r w:rsidR="0084436C" w:rsidRPr="0084436C">
        <w:rPr>
          <w:b w:val="0"/>
        </w:rPr>
        <w:t>α1-Ser/Thr-R glycosylation</w:t>
      </w:r>
      <w:r w:rsidR="00E02391">
        <w:rPr>
          <w:b w:val="0"/>
        </w:rPr>
        <w:t>.</w:t>
      </w:r>
      <w:r w:rsidRPr="0084436C">
        <w:rPr>
          <w:b w:val="0"/>
        </w:rPr>
        <w:t xml:space="preserve"> In blood group O(H) this intermediate hybrid structure is replaced by mucin-type </w:t>
      </w:r>
      <w:proofErr w:type="spellStart"/>
      <w:r w:rsidRPr="0084436C">
        <w:rPr>
          <w:b w:val="0"/>
        </w:rPr>
        <w:t>fucosylation</w:t>
      </w:r>
      <w:proofErr w:type="spellEnd"/>
      <w:r w:rsidRPr="0084436C">
        <w:rPr>
          <w:b w:val="0"/>
        </w:rPr>
        <w:t xml:space="preserve"> or H-antigen formation, which neutralizes the activity of innate anti-H isoagglutinin but leaves unaffected the activities of innate anti-A/Tn and anti-B </w:t>
      </w:r>
      <w:proofErr w:type="spellStart"/>
      <w:r w:rsidRPr="0084436C">
        <w:rPr>
          <w:b w:val="0"/>
        </w:rPr>
        <w:t>isoagglutinins</w:t>
      </w:r>
      <w:proofErr w:type="spellEnd"/>
      <w:r w:rsidRPr="0084436C">
        <w:rPr>
          <w:b w:val="0"/>
        </w:rPr>
        <w:t xml:space="preserve">, exerted by the nonimmune polyreactive IgM, implicating a secondary IgG response. In blood group A, the intermediate Tn binding is hypothetically replaced by hybrid A-allelic mucin-type formation via mucin-type </w:t>
      </w:r>
      <w:proofErr w:type="spellStart"/>
      <w:r w:rsidRPr="0084436C">
        <w:rPr>
          <w:b w:val="0"/>
        </w:rPr>
        <w:t>fucosylation</w:t>
      </w:r>
      <w:proofErr w:type="spellEnd"/>
      <w:r w:rsidRPr="0084436C">
        <w:rPr>
          <w:b w:val="0"/>
        </w:rPr>
        <w:t>. This involves the phenotypic accommodation of the polyreactive nonimmune IgM, downregulation of anti-A/Tn IgM (isoagglutinin) activities and decrease in the level of the anti-B IgM (isoagglutinin) activity, while anti-A/B reactive IgG formations are precluded by clonal selection. This figure was constructed according to ‘Figure 2’ in a previous article (Arend, P., 2018</w:t>
      </w:r>
      <w:r w:rsidR="008D35B6">
        <w:rPr>
          <w:b w:val="0"/>
        </w:rPr>
        <w:t>a</w:t>
      </w:r>
      <w:r w:rsidRPr="0084436C">
        <w:rPr>
          <w:b w:val="0"/>
        </w:rPr>
        <w:t xml:space="preserve">), in which this mechanism may be similarly utilized by a non-viral pathogen, such as the protozoan parasite </w:t>
      </w:r>
      <w:r w:rsidRPr="0084436C">
        <w:rPr>
          <w:b w:val="0"/>
          <w:i/>
        </w:rPr>
        <w:t>Plasmodium falciparum</w:t>
      </w:r>
      <w:r w:rsidRPr="0084436C">
        <w:rPr>
          <w:b w:val="0"/>
        </w:rPr>
        <w:t>.</w:t>
      </w:r>
    </w:p>
    <w:p w14:paraId="3672A228" w14:textId="163C029E" w:rsidR="00F149F4" w:rsidRDefault="0008288D" w:rsidP="007A0762">
      <w:pPr>
        <w:spacing w:after="0" w:line="259" w:lineRule="auto"/>
        <w:ind w:left="1208" w:firstLine="0"/>
        <w:jc w:val="left"/>
      </w:pPr>
      <w:r>
        <w:rPr>
          <w:sz w:val="24"/>
        </w:rPr>
        <w:t xml:space="preserve"> </w:t>
      </w:r>
    </w:p>
    <w:p w14:paraId="66C39EBD" w14:textId="1478BC2C" w:rsidR="00F149F4" w:rsidRDefault="0008288D" w:rsidP="007A0762">
      <w:pPr>
        <w:spacing w:after="0" w:line="259" w:lineRule="auto"/>
        <w:ind w:left="1208" w:firstLine="0"/>
        <w:jc w:val="left"/>
      </w:pPr>
      <w:r>
        <w:t xml:space="preserve"> </w:t>
      </w:r>
    </w:p>
    <w:p w14:paraId="0AF82E0D" w14:textId="310BCC6F" w:rsidR="00F149F4" w:rsidRDefault="0008288D" w:rsidP="007A0762">
      <w:pPr>
        <w:spacing w:after="0" w:line="259" w:lineRule="auto"/>
        <w:ind w:left="1208" w:firstLine="0"/>
        <w:jc w:val="left"/>
      </w:pPr>
      <w:r>
        <w:t xml:space="preserve"> </w:t>
      </w:r>
    </w:p>
    <w:p w14:paraId="6E0B50A8" w14:textId="0AA361F2" w:rsidR="00F149F4" w:rsidRDefault="0008288D" w:rsidP="007A0762">
      <w:pPr>
        <w:spacing w:after="0" w:line="259" w:lineRule="auto"/>
        <w:ind w:left="0" w:firstLine="0"/>
        <w:jc w:val="center"/>
      </w:pPr>
      <w:r>
        <w:t xml:space="preserve"> </w:t>
      </w:r>
    </w:p>
    <w:p w14:paraId="48CA7A31" w14:textId="77777777" w:rsidR="00082320" w:rsidRDefault="00082320" w:rsidP="007A0762">
      <w:pPr>
        <w:spacing w:after="0" w:line="259" w:lineRule="auto"/>
        <w:ind w:left="0" w:firstLine="0"/>
        <w:jc w:val="center"/>
      </w:pPr>
    </w:p>
    <w:p w14:paraId="17771727" w14:textId="77777777" w:rsidR="00082320" w:rsidRDefault="00082320" w:rsidP="007A0762">
      <w:pPr>
        <w:spacing w:after="0" w:line="259" w:lineRule="auto"/>
        <w:ind w:left="0" w:firstLine="0"/>
        <w:jc w:val="center"/>
      </w:pPr>
    </w:p>
    <w:p w14:paraId="34E8C3A1" w14:textId="77777777" w:rsidR="00082320" w:rsidRDefault="00082320" w:rsidP="007A0762">
      <w:pPr>
        <w:spacing w:after="0" w:line="259" w:lineRule="auto"/>
        <w:ind w:left="0" w:firstLine="0"/>
        <w:jc w:val="center"/>
      </w:pPr>
    </w:p>
    <w:p w14:paraId="52C9E74B" w14:textId="77777777" w:rsidR="00082320" w:rsidRDefault="00082320" w:rsidP="007A0762">
      <w:pPr>
        <w:spacing w:after="0" w:line="259" w:lineRule="auto"/>
        <w:ind w:left="0" w:firstLine="0"/>
        <w:jc w:val="center"/>
      </w:pPr>
    </w:p>
    <w:p w14:paraId="6F7415DA" w14:textId="77777777" w:rsidR="00082320" w:rsidRDefault="00082320" w:rsidP="007A0762">
      <w:pPr>
        <w:spacing w:after="0" w:line="259" w:lineRule="auto"/>
        <w:ind w:left="0" w:firstLine="0"/>
        <w:jc w:val="center"/>
      </w:pPr>
    </w:p>
    <w:p w14:paraId="1FC3D8F2" w14:textId="77777777" w:rsidR="00082320" w:rsidRDefault="00082320" w:rsidP="007A0762">
      <w:pPr>
        <w:spacing w:after="0" w:line="259" w:lineRule="auto"/>
        <w:ind w:left="0" w:firstLine="0"/>
        <w:jc w:val="center"/>
      </w:pPr>
    </w:p>
    <w:p w14:paraId="72D71DF3" w14:textId="77777777" w:rsidR="00082320" w:rsidRDefault="00082320" w:rsidP="007A0762">
      <w:pPr>
        <w:spacing w:after="0" w:line="259" w:lineRule="auto"/>
        <w:ind w:left="0" w:firstLine="0"/>
        <w:jc w:val="center"/>
      </w:pPr>
    </w:p>
    <w:p w14:paraId="6F686F80" w14:textId="77777777" w:rsidR="00082320" w:rsidRDefault="00082320" w:rsidP="007A0762">
      <w:pPr>
        <w:spacing w:after="0" w:line="259" w:lineRule="auto"/>
        <w:ind w:left="0" w:firstLine="0"/>
        <w:jc w:val="center"/>
      </w:pPr>
    </w:p>
    <w:p w14:paraId="1F375861" w14:textId="77777777" w:rsidR="00082320" w:rsidRDefault="00082320" w:rsidP="007A0762">
      <w:pPr>
        <w:spacing w:after="0" w:line="259" w:lineRule="auto"/>
        <w:ind w:left="0" w:firstLine="0"/>
        <w:jc w:val="center"/>
      </w:pPr>
    </w:p>
    <w:p w14:paraId="09DC0E8E" w14:textId="77777777" w:rsidR="00082320" w:rsidRDefault="00082320" w:rsidP="007A0762">
      <w:pPr>
        <w:spacing w:after="0" w:line="259" w:lineRule="auto"/>
        <w:ind w:left="0" w:firstLine="0"/>
        <w:jc w:val="center"/>
      </w:pPr>
    </w:p>
    <w:p w14:paraId="28813C14" w14:textId="77777777" w:rsidR="00082320" w:rsidRDefault="00082320" w:rsidP="007A0762">
      <w:pPr>
        <w:spacing w:after="0" w:line="259" w:lineRule="auto"/>
        <w:ind w:left="0" w:firstLine="0"/>
        <w:jc w:val="center"/>
      </w:pPr>
    </w:p>
    <w:p w14:paraId="44D56E18" w14:textId="77777777" w:rsidR="00082320" w:rsidRDefault="00082320" w:rsidP="007A0762">
      <w:pPr>
        <w:spacing w:after="0" w:line="259" w:lineRule="auto"/>
        <w:ind w:left="0" w:firstLine="0"/>
        <w:jc w:val="center"/>
      </w:pPr>
    </w:p>
    <w:p w14:paraId="4322361E" w14:textId="00EAA555" w:rsidR="00F149F4" w:rsidRDefault="0008288D" w:rsidP="007A0762">
      <w:pPr>
        <w:spacing w:after="0" w:line="259" w:lineRule="auto"/>
        <w:ind w:left="0" w:firstLine="0"/>
        <w:jc w:val="center"/>
      </w:pPr>
      <w:r>
        <w:t xml:space="preserve"> </w:t>
      </w:r>
    </w:p>
    <w:p w14:paraId="1465C6F4" w14:textId="607D123A" w:rsidR="00710C4D" w:rsidRDefault="00710C4D" w:rsidP="007A0762">
      <w:pPr>
        <w:spacing w:after="0" w:line="259" w:lineRule="auto"/>
        <w:ind w:left="0" w:firstLine="0"/>
        <w:jc w:val="center"/>
      </w:pPr>
    </w:p>
    <w:p w14:paraId="39312565" w14:textId="2D7463DE" w:rsidR="00710C4D" w:rsidRDefault="00710C4D" w:rsidP="007A0762">
      <w:pPr>
        <w:spacing w:after="0" w:line="259" w:lineRule="auto"/>
        <w:ind w:left="0" w:firstLine="0"/>
        <w:jc w:val="center"/>
      </w:pPr>
    </w:p>
    <w:p w14:paraId="6527FCC2" w14:textId="4A1898C2" w:rsidR="00710C4D" w:rsidRDefault="00710C4D" w:rsidP="007A0762">
      <w:pPr>
        <w:spacing w:after="0" w:line="259" w:lineRule="auto"/>
        <w:ind w:left="0" w:firstLine="0"/>
        <w:jc w:val="center"/>
      </w:pPr>
    </w:p>
    <w:p w14:paraId="2CA9351A" w14:textId="7266EC20" w:rsidR="00710C4D" w:rsidRDefault="00710C4D" w:rsidP="007A0762">
      <w:pPr>
        <w:spacing w:after="0" w:line="259" w:lineRule="auto"/>
        <w:ind w:left="0" w:firstLine="0"/>
        <w:jc w:val="center"/>
      </w:pPr>
    </w:p>
    <w:p w14:paraId="717D84FA" w14:textId="78CCB82B" w:rsidR="00710C4D" w:rsidRDefault="00986972" w:rsidP="007A0762">
      <w:pPr>
        <w:spacing w:after="0" w:line="259" w:lineRule="auto"/>
        <w:ind w:left="0" w:firstLine="0"/>
        <w:jc w:val="center"/>
      </w:pPr>
      <w:r w:rsidRPr="00455ACD">
        <w:rPr>
          <w:noProof/>
        </w:rPr>
        <w:drawing>
          <wp:anchor distT="0" distB="0" distL="114300" distR="114300" simplePos="0" relativeHeight="251665408" behindDoc="0" locked="0" layoutInCell="1" allowOverlap="1" wp14:anchorId="2191BD60" wp14:editId="60C24B65">
            <wp:simplePos x="0" y="0"/>
            <wp:positionH relativeFrom="page">
              <wp:align>center</wp:align>
            </wp:positionH>
            <wp:positionV relativeFrom="paragraph">
              <wp:posOffset>225535</wp:posOffset>
            </wp:positionV>
            <wp:extent cx="7513200" cy="5803200"/>
            <wp:effectExtent l="0" t="0" r="0" b="7620"/>
            <wp:wrapNone/>
            <wp:docPr id="1" name="Grafik 1" descr="C:\Users\Arend\Documents\Figure 2 Corona Februar 2020.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end\Documents\Figure 2 Corona Februar 2020.tif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513200" cy="5803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66DE6E" w14:textId="6F99CE5A" w:rsidR="00710C4D" w:rsidRDefault="00710C4D" w:rsidP="007A0762">
      <w:pPr>
        <w:spacing w:after="0" w:line="259" w:lineRule="auto"/>
        <w:ind w:left="0" w:firstLine="0"/>
        <w:jc w:val="center"/>
      </w:pPr>
    </w:p>
    <w:p w14:paraId="1E3FEF3B" w14:textId="039664BD" w:rsidR="00FE7334" w:rsidRDefault="00FE7334" w:rsidP="007A0762">
      <w:pPr>
        <w:spacing w:after="0" w:line="259" w:lineRule="auto"/>
        <w:ind w:left="0" w:firstLine="0"/>
      </w:pPr>
    </w:p>
    <w:p w14:paraId="0FDECB10" w14:textId="516E1721" w:rsidR="00ED6044" w:rsidRDefault="00ED6044" w:rsidP="007A0762">
      <w:pPr>
        <w:spacing w:after="0" w:line="259" w:lineRule="auto"/>
        <w:ind w:left="0" w:firstLine="0"/>
        <w:jc w:val="center"/>
      </w:pPr>
    </w:p>
    <w:p w14:paraId="14D6F7E5" w14:textId="10FE9C9A" w:rsidR="00ED6044" w:rsidRDefault="00ED6044" w:rsidP="007A0762">
      <w:pPr>
        <w:spacing w:after="0" w:line="259" w:lineRule="auto"/>
        <w:ind w:left="0" w:firstLine="0"/>
        <w:jc w:val="center"/>
      </w:pPr>
    </w:p>
    <w:p w14:paraId="03AC20B9" w14:textId="2E9081B5" w:rsidR="00710C4D" w:rsidRDefault="00710C4D" w:rsidP="007A0762">
      <w:pPr>
        <w:spacing w:after="0" w:line="259" w:lineRule="auto"/>
        <w:ind w:left="0" w:firstLine="0"/>
        <w:jc w:val="center"/>
      </w:pPr>
    </w:p>
    <w:p w14:paraId="4DD4708F" w14:textId="3E24E86A" w:rsidR="00710C4D" w:rsidRDefault="00710C4D" w:rsidP="007A0762">
      <w:pPr>
        <w:spacing w:after="0" w:line="259" w:lineRule="auto"/>
        <w:ind w:left="0" w:firstLine="0"/>
        <w:jc w:val="center"/>
      </w:pPr>
    </w:p>
    <w:p w14:paraId="0E12642A" w14:textId="2D05A130" w:rsidR="00710C4D" w:rsidRDefault="00710C4D" w:rsidP="007A0762">
      <w:pPr>
        <w:spacing w:after="0" w:line="259" w:lineRule="auto"/>
        <w:ind w:left="0" w:firstLine="0"/>
        <w:jc w:val="center"/>
      </w:pPr>
    </w:p>
    <w:p w14:paraId="7F300628" w14:textId="71BB1184" w:rsidR="00710C4D" w:rsidRDefault="00710C4D" w:rsidP="007A0762">
      <w:pPr>
        <w:spacing w:after="0" w:line="259" w:lineRule="auto"/>
        <w:ind w:left="0" w:firstLine="0"/>
        <w:jc w:val="center"/>
      </w:pPr>
    </w:p>
    <w:p w14:paraId="4B3B95DC" w14:textId="27625E5D" w:rsidR="00710C4D" w:rsidRDefault="00710C4D" w:rsidP="007A0762">
      <w:pPr>
        <w:spacing w:after="0" w:line="259" w:lineRule="auto"/>
        <w:ind w:left="0" w:firstLine="0"/>
      </w:pPr>
    </w:p>
    <w:p w14:paraId="006A625B" w14:textId="3EB07FE4" w:rsidR="00710C4D" w:rsidRDefault="00710C4D" w:rsidP="007A0762">
      <w:pPr>
        <w:spacing w:after="0" w:line="259" w:lineRule="auto"/>
        <w:ind w:left="0" w:firstLine="0"/>
        <w:jc w:val="center"/>
      </w:pPr>
    </w:p>
    <w:p w14:paraId="555DCBB7" w14:textId="0D17DC72" w:rsidR="00710C4D" w:rsidRDefault="00710C4D" w:rsidP="007A0762">
      <w:pPr>
        <w:spacing w:after="0" w:line="259" w:lineRule="auto"/>
        <w:ind w:left="0" w:firstLine="0"/>
        <w:jc w:val="center"/>
      </w:pPr>
    </w:p>
    <w:p w14:paraId="2C392CA8" w14:textId="314E81FB" w:rsidR="00710C4D" w:rsidRDefault="00710C4D" w:rsidP="007A0762">
      <w:pPr>
        <w:spacing w:after="0" w:line="259" w:lineRule="auto"/>
        <w:ind w:left="0" w:firstLine="0"/>
        <w:jc w:val="center"/>
      </w:pPr>
    </w:p>
    <w:p w14:paraId="5BAFDFCF" w14:textId="0529E7BD" w:rsidR="00710C4D" w:rsidRDefault="00710C4D" w:rsidP="007A0762">
      <w:pPr>
        <w:spacing w:after="0" w:line="259" w:lineRule="auto"/>
        <w:ind w:left="0" w:firstLine="0"/>
        <w:jc w:val="center"/>
      </w:pPr>
    </w:p>
    <w:p w14:paraId="33ABE17A" w14:textId="30FE467E" w:rsidR="00710C4D" w:rsidRDefault="00710C4D" w:rsidP="007A0762">
      <w:pPr>
        <w:spacing w:after="0" w:line="259" w:lineRule="auto"/>
        <w:ind w:left="0" w:firstLine="0"/>
        <w:jc w:val="center"/>
      </w:pPr>
    </w:p>
    <w:p w14:paraId="697C4534" w14:textId="5F77CEE7" w:rsidR="00710C4D" w:rsidRDefault="00710C4D" w:rsidP="007A0762">
      <w:pPr>
        <w:spacing w:after="0" w:line="259" w:lineRule="auto"/>
        <w:ind w:left="0" w:firstLine="0"/>
        <w:jc w:val="center"/>
      </w:pPr>
    </w:p>
    <w:p w14:paraId="12496D28" w14:textId="178A640E" w:rsidR="00710C4D" w:rsidRDefault="00710C4D" w:rsidP="007A0762">
      <w:pPr>
        <w:spacing w:after="0" w:line="259" w:lineRule="auto"/>
        <w:ind w:left="0" w:firstLine="0"/>
        <w:jc w:val="center"/>
      </w:pPr>
    </w:p>
    <w:p w14:paraId="1AC82462" w14:textId="0B28955A" w:rsidR="00710C4D" w:rsidRDefault="00710C4D" w:rsidP="007A0762">
      <w:pPr>
        <w:spacing w:after="0" w:line="259" w:lineRule="auto"/>
        <w:ind w:left="0" w:firstLine="0"/>
        <w:jc w:val="center"/>
      </w:pPr>
    </w:p>
    <w:p w14:paraId="2EF657B1" w14:textId="793C217D" w:rsidR="00710C4D" w:rsidRDefault="00710C4D" w:rsidP="007A0762">
      <w:pPr>
        <w:spacing w:after="0" w:line="259" w:lineRule="auto"/>
        <w:ind w:left="0" w:firstLine="0"/>
        <w:jc w:val="center"/>
      </w:pPr>
    </w:p>
    <w:p w14:paraId="74E9C0E8" w14:textId="5B480DC3" w:rsidR="00710C4D" w:rsidRDefault="00710C4D" w:rsidP="007A0762">
      <w:pPr>
        <w:spacing w:after="0" w:line="259" w:lineRule="auto"/>
        <w:ind w:left="0" w:firstLine="0"/>
        <w:jc w:val="center"/>
      </w:pPr>
    </w:p>
    <w:p w14:paraId="74D18A82" w14:textId="2849198D" w:rsidR="00F149F4" w:rsidRDefault="0008288D" w:rsidP="007A0762">
      <w:pPr>
        <w:spacing w:after="0" w:line="259" w:lineRule="auto"/>
        <w:ind w:left="0" w:firstLine="0"/>
        <w:jc w:val="center"/>
      </w:pPr>
      <w:r>
        <w:t xml:space="preserve"> </w:t>
      </w:r>
    </w:p>
    <w:p w14:paraId="25BB84A1" w14:textId="289CCD13" w:rsidR="00F149F4" w:rsidRDefault="0008288D" w:rsidP="007A0762">
      <w:pPr>
        <w:spacing w:after="0" w:line="259" w:lineRule="auto"/>
        <w:ind w:left="0" w:firstLine="0"/>
        <w:jc w:val="center"/>
      </w:pPr>
      <w:r>
        <w:t xml:space="preserve"> </w:t>
      </w:r>
    </w:p>
    <w:p w14:paraId="25DBE171" w14:textId="12A633F6" w:rsidR="00F149F4" w:rsidRDefault="0008288D" w:rsidP="007A0762">
      <w:pPr>
        <w:spacing w:after="0" w:line="259" w:lineRule="auto"/>
        <w:ind w:left="0" w:firstLine="0"/>
        <w:jc w:val="center"/>
      </w:pPr>
      <w:r>
        <w:t xml:space="preserve"> </w:t>
      </w:r>
    </w:p>
    <w:p w14:paraId="7F64746E" w14:textId="31A58A24" w:rsidR="00F149F4" w:rsidRDefault="0008288D" w:rsidP="007A0762">
      <w:pPr>
        <w:spacing w:after="0" w:line="259" w:lineRule="auto"/>
        <w:ind w:left="0" w:firstLine="0"/>
        <w:jc w:val="center"/>
      </w:pPr>
      <w:r>
        <w:t xml:space="preserve"> </w:t>
      </w:r>
    </w:p>
    <w:p w14:paraId="4BD38BA2" w14:textId="11B49568" w:rsidR="00F149F4" w:rsidRDefault="0008288D" w:rsidP="007A0762">
      <w:pPr>
        <w:spacing w:after="0" w:line="259" w:lineRule="auto"/>
        <w:ind w:left="0" w:firstLine="0"/>
        <w:jc w:val="center"/>
      </w:pPr>
      <w:r>
        <w:t xml:space="preserve"> </w:t>
      </w:r>
    </w:p>
    <w:p w14:paraId="0DA0A071" w14:textId="3EFAAF9F" w:rsidR="00F149F4" w:rsidRDefault="0008288D" w:rsidP="007A0762">
      <w:pPr>
        <w:spacing w:after="0" w:line="259" w:lineRule="auto"/>
        <w:ind w:left="0" w:firstLine="0"/>
        <w:jc w:val="center"/>
      </w:pPr>
      <w:r>
        <w:t xml:space="preserve"> </w:t>
      </w:r>
    </w:p>
    <w:p w14:paraId="62834D73" w14:textId="000400BF" w:rsidR="00325C55" w:rsidRPr="00325C55" w:rsidRDefault="0008288D" w:rsidP="007A0762">
      <w:pPr>
        <w:spacing w:after="0" w:line="259" w:lineRule="auto"/>
        <w:ind w:left="0" w:firstLine="0"/>
        <w:jc w:val="center"/>
      </w:pPr>
      <w:r>
        <w:t xml:space="preserve"> </w:t>
      </w:r>
    </w:p>
    <w:p w14:paraId="2CA14136" w14:textId="77777777" w:rsidR="00325C55" w:rsidRDefault="00325C55" w:rsidP="007A0762">
      <w:pPr>
        <w:spacing w:after="0" w:line="259" w:lineRule="auto"/>
        <w:ind w:left="0" w:firstLine="0"/>
        <w:jc w:val="left"/>
        <w:rPr>
          <w:szCs w:val="28"/>
        </w:rPr>
      </w:pPr>
    </w:p>
    <w:p w14:paraId="239795FF" w14:textId="77777777" w:rsidR="00325C55" w:rsidRDefault="00325C55" w:rsidP="007A0762">
      <w:pPr>
        <w:spacing w:after="0" w:line="259" w:lineRule="auto"/>
        <w:ind w:left="0" w:firstLine="0"/>
        <w:jc w:val="left"/>
        <w:rPr>
          <w:szCs w:val="28"/>
        </w:rPr>
      </w:pPr>
    </w:p>
    <w:p w14:paraId="160B52C4" w14:textId="77777777" w:rsidR="00325C55" w:rsidRDefault="00325C55" w:rsidP="007A0762">
      <w:pPr>
        <w:spacing w:after="0" w:line="259" w:lineRule="auto"/>
        <w:ind w:left="0" w:firstLine="0"/>
        <w:jc w:val="left"/>
        <w:rPr>
          <w:szCs w:val="28"/>
        </w:rPr>
      </w:pPr>
    </w:p>
    <w:p w14:paraId="6DF684B7" w14:textId="57EA4B54" w:rsidR="00F149F4" w:rsidRPr="00DD5B6E" w:rsidRDefault="00325C55" w:rsidP="007A0762">
      <w:pPr>
        <w:spacing w:after="0" w:line="259" w:lineRule="auto"/>
        <w:ind w:left="0" w:firstLine="0"/>
        <w:jc w:val="left"/>
        <w:rPr>
          <w:szCs w:val="28"/>
        </w:rPr>
      </w:pPr>
      <w:r>
        <w:rPr>
          <w:szCs w:val="28"/>
        </w:rPr>
        <w:t xml:space="preserve">             </w:t>
      </w:r>
      <w:r w:rsidR="00FE7334" w:rsidRPr="00DD5B6E">
        <w:rPr>
          <w:szCs w:val="28"/>
        </w:rPr>
        <w:t xml:space="preserve"> </w:t>
      </w:r>
      <w:r>
        <w:rPr>
          <w:szCs w:val="28"/>
        </w:rPr>
        <w:t xml:space="preserve"> </w:t>
      </w:r>
      <w:r w:rsidR="0008288D" w:rsidRPr="00DD5B6E">
        <w:rPr>
          <w:szCs w:val="28"/>
        </w:rPr>
        <w:tab/>
        <w:t xml:space="preserve"> </w:t>
      </w:r>
    </w:p>
    <w:p w14:paraId="175BA808" w14:textId="324A02C3" w:rsidR="00CA154C" w:rsidRDefault="00CA154C" w:rsidP="007A0762">
      <w:pPr>
        <w:spacing w:after="0" w:line="259" w:lineRule="auto"/>
        <w:ind w:left="0" w:firstLine="0"/>
        <w:jc w:val="left"/>
      </w:pPr>
    </w:p>
    <w:p w14:paraId="5C58D418" w14:textId="77777777" w:rsidR="00CA154C" w:rsidRDefault="00CA154C" w:rsidP="007A0762">
      <w:pPr>
        <w:spacing w:after="0" w:line="259" w:lineRule="auto"/>
        <w:ind w:left="0" w:firstLine="0"/>
        <w:jc w:val="left"/>
      </w:pPr>
    </w:p>
    <w:p w14:paraId="4B33477F" w14:textId="4FBD1603" w:rsidR="00F149F4" w:rsidRDefault="0008288D" w:rsidP="007A0762">
      <w:pPr>
        <w:spacing w:after="0" w:line="216" w:lineRule="auto"/>
        <w:ind w:left="0" w:firstLine="0"/>
      </w:pPr>
      <w:r>
        <w:rPr>
          <w:sz w:val="32"/>
        </w:rPr>
        <w:t xml:space="preserve"> </w:t>
      </w:r>
    </w:p>
    <w:p w14:paraId="4F738F4D" w14:textId="07183A63" w:rsidR="00F149F4" w:rsidRPr="002A2701" w:rsidRDefault="0008288D" w:rsidP="007A0762">
      <w:pPr>
        <w:spacing w:after="0" w:line="259" w:lineRule="auto"/>
        <w:ind w:left="0" w:firstLine="0"/>
        <w:jc w:val="left"/>
        <w:rPr>
          <w:b/>
        </w:rPr>
      </w:pPr>
      <w:r>
        <w:rPr>
          <w:sz w:val="32"/>
        </w:rPr>
        <w:t xml:space="preserve"> </w:t>
      </w:r>
      <w:r>
        <w:rPr>
          <w:sz w:val="32"/>
        </w:rPr>
        <w:tab/>
      </w:r>
      <w:r w:rsidR="007A1F57">
        <w:rPr>
          <w:sz w:val="32"/>
        </w:rPr>
        <w:t xml:space="preserve">    </w:t>
      </w:r>
      <w:r>
        <w:t xml:space="preserve"> </w:t>
      </w:r>
      <w:r w:rsidR="007A1F57" w:rsidRPr="002A2701">
        <w:rPr>
          <w:b/>
          <w:szCs w:val="28"/>
        </w:rPr>
        <w:t xml:space="preserve">Figure </w:t>
      </w:r>
      <w:r w:rsidR="002A2701">
        <w:rPr>
          <w:b/>
          <w:szCs w:val="28"/>
        </w:rPr>
        <w:t>3</w:t>
      </w:r>
    </w:p>
    <w:p w14:paraId="1F4D6DD1" w14:textId="0F203B04" w:rsidR="00F149F4" w:rsidRDefault="0008288D" w:rsidP="007A0762">
      <w:pPr>
        <w:spacing w:after="0"/>
        <w:ind w:left="1193" w:firstLine="0"/>
      </w:pPr>
      <w:r>
        <w:rPr>
          <w:b/>
        </w:rPr>
        <w:lastRenderedPageBreak/>
        <w:t xml:space="preserve">Figure </w:t>
      </w:r>
      <w:r w:rsidR="002A2701">
        <w:rPr>
          <w:b/>
        </w:rPr>
        <w:t>3.</w:t>
      </w:r>
      <w:r>
        <w:rPr>
          <w:b/>
        </w:rPr>
        <w:t xml:space="preserve"> </w:t>
      </w:r>
      <w:r w:rsidRPr="002A2701">
        <w:t>Evading immunity by ABO(H) blood group hybridization</w:t>
      </w:r>
      <w:r>
        <w:rPr>
          <w:b/>
        </w:rPr>
        <w:t xml:space="preserve">. </w:t>
      </w:r>
      <w:r>
        <w:t>After SARS-CoV-2</w:t>
      </w:r>
      <w:r>
        <w:rPr>
          <w:b/>
        </w:rPr>
        <w:t xml:space="preserve"> </w:t>
      </w:r>
      <w:r>
        <w:t xml:space="preserve">infection, initiated by trans-species, metazoan </w:t>
      </w:r>
      <w:r>
        <w:rPr>
          <w:i/>
        </w:rPr>
        <w:t>O</w:t>
      </w:r>
      <w:r>
        <w:t>-</w:t>
      </w:r>
      <w:proofErr w:type="spellStart"/>
      <w:r>
        <w:t>GalNAc</w:t>
      </w:r>
      <w:proofErr w:type="spellEnd"/>
      <w:r>
        <w:t>-glycosylation, the virus</w:t>
      </w:r>
      <w:r>
        <w:rPr>
          <w:b/>
        </w:rPr>
        <w:t xml:space="preserve"> </w:t>
      </w:r>
      <w:r>
        <w:t>hypothetically invades human cells via hybridization of the ABO(H) blood groups. In this figure, the virtual, hybrid mucin-type epitopes mimic syngeneic epitopes, which are the targets of this hybridization. The blood group O(H), which is bound to the virus solely by the formation of the hybrid H-type antigen, has the least amount of contact with the pathogen and is the most protected group when it loses only the anti-H, but retains innate anti-A and anti-B isoagglutinin reactivity, involving secondary IgG responses. In blood group A, the anti-A and anti-H formations are physiologically blocked, a decrease in the level of anti-B isoagglutinin is observed, and neither anti-A- nor anti-B-reactive IgG is produced. In blood group B, the anti-B and anti H-reactivities are blocked, a decrease in the level of anti A is observed, and, similar to blood group A, neither anti-A nor anti-B-reactive IgG is produced. Blood group AB has the strongest contact to the pathogen and is the least protected group with respect to innate ABO(H) immunity.</w:t>
      </w:r>
      <w:r>
        <w:rPr>
          <w:sz w:val="24"/>
        </w:rPr>
        <w:t xml:space="preserve">  (</w:t>
      </w:r>
      <w:r>
        <w:t xml:space="preserve">Because the first contact between the SARS-CoV-2 virus and the host organism, and the first contact between the protozoan parasite </w:t>
      </w:r>
      <w:r>
        <w:rPr>
          <w:i/>
        </w:rPr>
        <w:t>P-falciparum</w:t>
      </w:r>
      <w:r>
        <w:t xml:space="preserve"> and the host organism are hypothetically identical, similar images were used for the illustrations (Arend, P., 2020b). </w:t>
      </w:r>
    </w:p>
    <w:p w14:paraId="746CB10B" w14:textId="21642027" w:rsidR="00F149F4" w:rsidRDefault="00F149F4" w:rsidP="007A0762">
      <w:pPr>
        <w:spacing w:after="0" w:line="259" w:lineRule="auto"/>
        <w:ind w:left="1208" w:firstLine="0"/>
        <w:jc w:val="left"/>
        <w:sectPr w:rsidR="00F149F4">
          <w:headerReference w:type="even" r:id="rId13"/>
          <w:headerReference w:type="default" r:id="rId14"/>
          <w:headerReference w:type="first" r:id="rId15"/>
          <w:pgSz w:w="11906" w:h="16838"/>
          <w:pgMar w:top="1271" w:right="1866" w:bottom="860" w:left="211" w:header="717" w:footer="720" w:gutter="0"/>
          <w:cols w:space="720"/>
        </w:sectPr>
      </w:pPr>
    </w:p>
    <w:p w14:paraId="08D0DC20" w14:textId="77777777" w:rsidR="00F149F4" w:rsidRDefault="0008288D" w:rsidP="00E24E58">
      <w:pPr>
        <w:pStyle w:val="berschrift1"/>
        <w:spacing w:after="0" w:line="360" w:lineRule="auto"/>
        <w:ind w:left="0" w:right="-113" w:firstLine="0"/>
      </w:pPr>
      <w:r>
        <w:lastRenderedPageBreak/>
        <w:t xml:space="preserve">Conclusions </w:t>
      </w:r>
    </w:p>
    <w:p w14:paraId="555A9C3B" w14:textId="7ACF5B87" w:rsidR="002224CC" w:rsidRDefault="002224CC" w:rsidP="00E24E58">
      <w:pPr>
        <w:spacing w:after="0" w:line="360" w:lineRule="auto"/>
        <w:ind w:right="-113"/>
      </w:pPr>
      <w:r>
        <w:t xml:space="preserve">     </w:t>
      </w:r>
      <w:r w:rsidR="008C3EFA">
        <w:t>The</w:t>
      </w:r>
      <w:r w:rsidR="00C4592B">
        <w:t xml:space="preserve"> </w:t>
      </w:r>
      <w:r w:rsidR="008C3EFA">
        <w:t>adhesion of a pathogen to host cells is not always followed by entry of the pathogen into these cells or</w:t>
      </w:r>
      <w:r w:rsidR="00C0411A">
        <w:t>,</w:t>
      </w:r>
      <w:r w:rsidR="008C3EFA">
        <w:t xml:space="preserve"> as argued above, i</w:t>
      </w:r>
      <w:r w:rsidR="000360C0">
        <w:t>nfection</w:t>
      </w:r>
      <w:r w:rsidR="00FE1C75">
        <w:t xml:space="preserve"> does not </w:t>
      </w:r>
      <w:r w:rsidR="008C3EFA">
        <w:t>necessarily</w:t>
      </w:r>
      <w:r>
        <w:t xml:space="preserve"> mean disease</w:t>
      </w:r>
      <w:r w:rsidR="008C3EFA">
        <w:t xml:space="preserve">. </w:t>
      </w:r>
      <w:r w:rsidR="000360C0">
        <w:t>In fact,</w:t>
      </w:r>
      <w:r>
        <w:t xml:space="preserve"> SARS-CoV-2</w:t>
      </w:r>
      <w:r w:rsidR="00533358">
        <w:t xml:space="preserve"> infection</w:t>
      </w:r>
      <w:r>
        <w:t xml:space="preserve"> occurs in both blood group O(H) and non-O blood group individuals, </w:t>
      </w:r>
      <w:r w:rsidR="000360C0">
        <w:t xml:space="preserve">while </w:t>
      </w:r>
      <w:r>
        <w:t xml:space="preserve">the entry </w:t>
      </w:r>
      <w:r w:rsidR="003E34CE">
        <w:t>hypothetically</w:t>
      </w:r>
      <w:r w:rsidR="00467D85">
        <w:t xml:space="preserve"> </w:t>
      </w:r>
      <w:r w:rsidR="006A2654">
        <w:t>takes place</w:t>
      </w:r>
      <w:r w:rsidR="00467D85">
        <w:t xml:space="preserve"> </w:t>
      </w:r>
      <w:r w:rsidR="001632CF">
        <w:t xml:space="preserve">predominantly </w:t>
      </w:r>
      <w:r>
        <w:t xml:space="preserve">into the cells of </w:t>
      </w:r>
      <w:r w:rsidR="00C4592B">
        <w:t>non-O blood groups</w:t>
      </w:r>
      <w:r w:rsidR="000A36A4">
        <w:t xml:space="preserve"> but </w:t>
      </w:r>
      <w:r w:rsidR="00C4592B">
        <w:t xml:space="preserve">in </w:t>
      </w:r>
      <w:r>
        <w:t xml:space="preserve">blood group O(H) may be prevented by innate and adaptive immunity. </w:t>
      </w:r>
      <w:r w:rsidR="00467D85">
        <w:t xml:space="preserve">This </w:t>
      </w:r>
      <w:r w:rsidR="00C01C6B">
        <w:t>is</w:t>
      </w:r>
      <w:r w:rsidR="00C0411A">
        <w:t xml:space="preserve"> considered </w:t>
      </w:r>
      <w:r w:rsidR="00467D85">
        <w:t xml:space="preserve">the </w:t>
      </w:r>
      <w:r w:rsidR="00C01C6B">
        <w:t>developmental</w:t>
      </w:r>
      <w:r w:rsidR="00467D85">
        <w:t xml:space="preserve"> and evolutionary key point of SARS-CoV-2 infections in humans.</w:t>
      </w:r>
      <w:r w:rsidR="000360C0">
        <w:t xml:space="preserve"> </w:t>
      </w:r>
      <w:r w:rsidR="00B97571">
        <w:t>It is thus not surprising when in some studies the most asymptomatic infections occur in blood group O individuals, while the most severe cases and highest death rates</w:t>
      </w:r>
      <w:r w:rsidR="00466845">
        <w:t xml:space="preserve"> are observed</w:t>
      </w:r>
      <w:r w:rsidR="00B97571">
        <w:t xml:space="preserve"> </w:t>
      </w:r>
      <w:r w:rsidR="00466845">
        <w:t>in non-O blood groups.</w:t>
      </w:r>
    </w:p>
    <w:p w14:paraId="4AC8A076" w14:textId="175929CA" w:rsidR="00F149F4" w:rsidRDefault="002224CC" w:rsidP="007A0762">
      <w:pPr>
        <w:spacing w:after="0"/>
        <w:ind w:right="-113"/>
      </w:pPr>
      <w:r>
        <w:t xml:space="preserve">     </w:t>
      </w:r>
      <w:r w:rsidR="0008288D">
        <w:t>The proposed concept of a viral invasion, initiated by the mobilization of the serine molecule from the viral S protein and completed by the formation of a genetically undefined, hybrid A-like/Tn host–pathogen molecular bridge,</w:t>
      </w:r>
      <w:r w:rsidR="0008288D">
        <w:rPr>
          <w:i/>
        </w:rPr>
        <w:t xml:space="preserve"> </w:t>
      </w:r>
      <w:r w:rsidR="0008288D">
        <w:t>does not question the established functions of the ACE2 receptor protein based on previous (Wu et al., 2011) and current definitions (Zhou et al., 2020;</w:t>
      </w:r>
      <w:r w:rsidR="0008288D">
        <w:rPr>
          <w:vertAlign w:val="superscript"/>
        </w:rPr>
        <w:t xml:space="preserve"> </w:t>
      </w:r>
      <w:proofErr w:type="spellStart"/>
      <w:r w:rsidR="0008288D">
        <w:t>Armijos</w:t>
      </w:r>
      <w:proofErr w:type="spellEnd"/>
      <w:r w:rsidR="0008288D">
        <w:t>-Jaramillo et al., 2020).</w:t>
      </w:r>
      <w:r w:rsidR="0008288D">
        <w:rPr>
          <w:vertAlign w:val="superscript"/>
        </w:rPr>
        <w:t xml:space="preserve"> </w:t>
      </w:r>
      <w:r w:rsidR="0008288D">
        <w:t xml:space="preserve">Rather, it shows an additional and more specific interaction between host and pathogen. Both </w:t>
      </w:r>
      <w:r w:rsidR="0008288D">
        <w:rPr>
          <w:i/>
        </w:rPr>
        <w:t>N</w:t>
      </w:r>
      <w:r w:rsidR="0008288D">
        <w:t xml:space="preserve">- and </w:t>
      </w:r>
      <w:r w:rsidR="0008288D">
        <w:rPr>
          <w:i/>
        </w:rPr>
        <w:t>O</w:t>
      </w:r>
      <w:r w:rsidR="0008288D">
        <w:t xml:space="preserve">-glycosylation may occur within this complex pathogenic process, and among multiple chemical and physicochemical linkage options, both trans-species ontogenetic, blood group-independent, and blood group-specific binding may predominantly be performed through </w:t>
      </w:r>
      <w:r w:rsidR="0008288D">
        <w:rPr>
          <w:i/>
        </w:rPr>
        <w:t>O</w:t>
      </w:r>
      <w:r w:rsidR="0008288D">
        <w:t xml:space="preserve">-glycosylation in two different </w:t>
      </w:r>
      <w:proofErr w:type="spellStart"/>
      <w:r w:rsidR="0008288D">
        <w:t>glycosidic</w:t>
      </w:r>
      <w:proofErr w:type="spellEnd"/>
      <w:r w:rsidR="0008288D">
        <w:t xml:space="preserve"> steps, dominated by the pathogen’s hydrophilic amino acid serine. </w:t>
      </w:r>
      <w:bookmarkStart w:id="7" w:name="_Hlk55747241"/>
      <w:r w:rsidR="0008288D">
        <w:t xml:space="preserve">The prominent evolutionary position of the serine molecule, most likely even determining the </w:t>
      </w:r>
      <w:proofErr w:type="spellStart"/>
      <w:r w:rsidR="0008288D">
        <w:t>polyreactivity</w:t>
      </w:r>
      <w:proofErr w:type="spellEnd"/>
      <w:r w:rsidR="0008288D">
        <w:t xml:space="preserve"> of the neonatal IgM (Willis et al, 2013), is again revealed in SARS-CoV-2 infection and is evident in other unrelated infectious diseases, for example with the serine repeat antigen (SERA) in malaria </w:t>
      </w:r>
      <w:proofErr w:type="spellStart"/>
      <w:r w:rsidR="0008288D">
        <w:t>tropica</w:t>
      </w:r>
      <w:proofErr w:type="spellEnd"/>
      <w:r w:rsidR="0008288D">
        <w:t xml:space="preserve"> (</w:t>
      </w:r>
      <w:proofErr w:type="spellStart"/>
      <w:r w:rsidR="0008288D">
        <w:t>Bzik</w:t>
      </w:r>
      <w:proofErr w:type="spellEnd"/>
      <w:r w:rsidR="0008288D">
        <w:t xml:space="preserve"> et al., 1988; Aoki et al., 2002; </w:t>
      </w:r>
      <w:proofErr w:type="spellStart"/>
      <w:r w:rsidR="0008288D">
        <w:t>Arisue</w:t>
      </w:r>
      <w:proofErr w:type="spellEnd"/>
      <w:r w:rsidR="0008288D">
        <w:t xml:space="preserve"> et al., 2011) and the serine-rich </w:t>
      </w:r>
      <w:r w:rsidR="0008288D">
        <w:rPr>
          <w:i/>
        </w:rPr>
        <w:t>E. histolytica</w:t>
      </w:r>
      <w:r w:rsidR="0008288D">
        <w:t xml:space="preserve"> protein (STREHP) of </w:t>
      </w:r>
      <w:r w:rsidR="0008288D">
        <w:rPr>
          <w:i/>
        </w:rPr>
        <w:t>Entamoeba histolytica</w:t>
      </w:r>
      <w:r w:rsidR="0008288D">
        <w:t xml:space="preserve"> (Zhang et al., 1994; Stanley et al., 1995), which dictates the binding and virulence of </w:t>
      </w:r>
      <w:r w:rsidR="0008288D">
        <w:lastRenderedPageBreak/>
        <w:t>the parasite (</w:t>
      </w:r>
      <w:proofErr w:type="spellStart"/>
      <w:r w:rsidR="0008288D">
        <w:t>Manochitra</w:t>
      </w:r>
      <w:proofErr w:type="spellEnd"/>
      <w:r w:rsidR="0008288D">
        <w:t>, 2017) in amoebic dysentery. Finally, a new therapeutic observation in SARS-</w:t>
      </w:r>
      <w:proofErr w:type="spellStart"/>
      <w:r w:rsidR="0008288D">
        <w:t>CoV</w:t>
      </w:r>
      <w:proofErr w:type="spellEnd"/>
      <w:r w:rsidR="0008288D">
        <w:t xml:space="preserve"> infections might also reveal the role of the serine molecule within this infection: an inorganic polymer, polyphosphate, blocks binding of SARS-CoV-2 spike protein to ACE2 receptor, </w:t>
      </w:r>
      <w:r w:rsidR="00C73551">
        <w:fldChar w:fldCharType="begin" w:fldLock="1"/>
      </w:r>
      <w:r w:rsidR="00C73551">
        <w:instrText>ADDIN CSL_CITATION {"citationItems":[{"id":"ITEM-1","itemData":{"DOI":"10.1016/j.bcp.2020.114215","ISSN":"18732968","PMID":"32905794","abstract":"Inorganic polyphosphate (polyP) is a morphogenetically active and metabolic energy-delivering physiological polymer that is released from blood platelets. Here, we show that polyP efficiently inhibits the binding of the envelope spike (S)-protein of the coronavirus SARS-CoV-2, the causative agent of COVID-19, to its host cell receptor ACE2 (angiotensin-converting enzyme 2). To stabilize polyP against the polyP-degrading alkaline phosphatase, the soluble polymer was encapsulated in silica/polyP nanoparticles. Applying a binding assay, soluble Na-polyP (sizes of 40 Pi and of 3 Pi units) as well as silica-nanoparticle-associated polyP significantly inhibit the interaction of the S-protein with ACE2 at a concentration of 1 µg/mL, close to the level present in blood. This inhibition is attributed to an interaction of polyP with a basic amino acid stretch on the surface of the receptor binding domain of S-protein. PolyP retains its activity in a flushing solution, opening a new strategy for the prevention and treatment of SARS-CoV-2 infection in the oropharyngeal cavity. The data suggest that supplementation of polyP might contribute to a strengthening of the human innate immunity system in compromised, thrombocytopenic COVID-19 patients.","author":[{"dropping-particle":"","family":"Neufurth","given":"Meik","non-dropping-particle":"","parse-names":false,"suffix":""},{"dropping-particle":"","family":"Wang","given":"Xiaohong","non-dropping-particle":"","parse-names":false,"suffix":""},{"dropping-particle":"","family":"Tolba","given":"Emad","non-dropping-particle":"","parse-names":false,"suffix":""},{"dropping-particle":"","family":"Lieberwirth","given":"Ingo","non-dropping-particle":"","parse-names":false,"suffix":""},{"dropping-particle":"","family":"Wang","given":"Shunfeng","non-dropping-particle":"","parse-names":false,"suffix":""},{"dropping-particle":"","family":"Schröder","given":"Heinz C.","non-dropping-particle":"","parse-names":false,"suffix":""},{"dropping-particle":"","family":"Müller","given":"Werner E.G.","non-dropping-particle":"","parse-names":false,"suffix":""}],"container-title":"Biochemical Pharmacology","id":"ITEM-1","issued":{"date-parts":[["2020"]]},"title":"The inorganic polymer, polyphosphate, blocks binding of SARS-CoV-2 spike protein to ACE2 receptor at physiological concentrations","type":"article-journal"},"uris":["http://www.mendeley.com/documents/?uuid=0e3d2692-90cd-4f4c-8d73-693ef0662792"]}],"mendeley":{"formattedCitation":"(Neufurth &lt;i&gt;et al.&lt;/i&gt;, 2020)","plainTextFormattedCitation":"(Neufurth et al., 2020)","previouslyFormattedCitation":"(Neufurth &lt;i&gt;et al.&lt;/i&gt;, 2020)"},"properties":{"noteIndex":0},"schema":"https://github.com/citation-style-language/schema/raw/master/csl-citation.json"}</w:instrText>
      </w:r>
      <w:r w:rsidR="00C73551">
        <w:fldChar w:fldCharType="separate"/>
      </w:r>
      <w:r w:rsidR="00C73551" w:rsidRPr="00C73551">
        <w:rPr>
          <w:noProof/>
        </w:rPr>
        <w:t xml:space="preserve">(Neufurth </w:t>
      </w:r>
      <w:r w:rsidR="00C73551" w:rsidRPr="00C73551">
        <w:rPr>
          <w:i/>
          <w:noProof/>
        </w:rPr>
        <w:t>et al.</w:t>
      </w:r>
      <w:r w:rsidR="00C73551" w:rsidRPr="00C73551">
        <w:rPr>
          <w:noProof/>
        </w:rPr>
        <w:t>, 2020)</w:t>
      </w:r>
      <w:r w:rsidR="00C73551">
        <w:fldChar w:fldCharType="end"/>
      </w:r>
      <w:r w:rsidR="0008288D">
        <w:t xml:space="preserve"> while the serine molecule is the preferred target also in protein phosphorylation, </w:t>
      </w:r>
      <w:r w:rsidR="00C73551">
        <w:fldChar w:fldCharType="begin" w:fldLock="1"/>
      </w:r>
      <w:r w:rsidR="00C73551">
        <w:instrText>ADDIN CSL_CITATION {"citationItems":[{"id":"ITEM-1","itemData":{"DOI":"10.3892/ijmm.2017.3036","ISSN":"1791244X","PMID":"28656226","abstract":"Protein phosphorylation is an important cellular regulatory mechanism as many enzymes and receptors are activated/deactivated by phosphorylation and dephosphorylation events, by means of kinases and phosphatases. In particular, the protein kinases are responsible for cellular transduction signaling and their hyperactivity, malfunction or overexpression can be found in several diseases, mostly tumors. Therefore, it is evident that the use of kinase inhibitors can be valuable for the treatment of cancer. In this review, we discuss the mechanism of action of phosphorylation, with particular attention to the importance of phosphorylation under physiological and pathological conditions. We also discuss the possibility of using kinase inhibitors in the treatment of tumors.","author":[{"dropping-particle":"","family":"Ardito","given":"Fatima","non-dropping-particle":"","parse-names":false,"suffix":""},{"dropping-particle":"","family":"Giuliani","given":"Michele","non-dropping-particle":"","parse-names":false,"suffix":""},{"dropping-particle":"","family":"Perrone","given":"Donatella","non-dropping-particle":"","parse-names":false,"suffix":""},{"dropping-particle":"","family":"Troiano","given":"Giuseppe","non-dropping-particle":"","parse-names":false,"suffix":""},{"dropping-particle":"Lo","family":"Muzio","given":"Lorenzo","non-dropping-particle":"","parse-names":false,"suffix":""}],"container-title":"International Journal of Molecular Medicine","id":"ITEM-1","issued":{"date-parts":[["2017"]]},"title":"The crucial role of protein phosphorylation in cell signalingand its use as targeted therapy (Review)","type":"article"},"uris":["http://www.mendeley.com/documents/?uuid=a8753523-29c0-4a10-973c-88983be1e675"]}],"mendeley":{"formattedCitation":"(Ardito &lt;i&gt;et al.&lt;/i&gt;, 2017)","plainTextFormattedCitation":"(Ardito et al., 2017)"},"properties":{"noteIndex":0},"schema":"https://github.com/citation-style-language/schema/raw/master/csl-citation.json"}</w:instrText>
      </w:r>
      <w:r w:rsidR="00C73551">
        <w:fldChar w:fldCharType="separate"/>
      </w:r>
      <w:r w:rsidR="00C73551" w:rsidRPr="00C73551">
        <w:rPr>
          <w:noProof/>
        </w:rPr>
        <w:t xml:space="preserve">(Ardito </w:t>
      </w:r>
      <w:r w:rsidR="00C73551" w:rsidRPr="00C73551">
        <w:rPr>
          <w:i/>
          <w:noProof/>
        </w:rPr>
        <w:t>et al.</w:t>
      </w:r>
      <w:r w:rsidR="00C73551" w:rsidRPr="00C73551">
        <w:rPr>
          <w:noProof/>
        </w:rPr>
        <w:t>, 2017)</w:t>
      </w:r>
      <w:r w:rsidR="00C73551">
        <w:fldChar w:fldCharType="end"/>
      </w:r>
      <w:r w:rsidR="00C73551">
        <w:t>.</w:t>
      </w:r>
      <w:r w:rsidR="0008288D">
        <w:t xml:space="preserve"> </w:t>
      </w:r>
    </w:p>
    <w:p w14:paraId="764D2A48" w14:textId="77777777" w:rsidR="00AF1BD6" w:rsidRDefault="0008288D" w:rsidP="007A0762">
      <w:pPr>
        <w:spacing w:after="0" w:line="360" w:lineRule="auto"/>
        <w:ind w:left="-5" w:right="-113"/>
      </w:pPr>
      <w:r>
        <w:t xml:space="preserve">       Intriguingly, the susceptibility of blood group A individuals to infections with </w:t>
      </w:r>
    </w:p>
    <w:p w14:paraId="366D92E3" w14:textId="12057459" w:rsidR="00F149F4" w:rsidRDefault="0008288D" w:rsidP="007A0762">
      <w:pPr>
        <w:spacing w:after="0" w:line="360" w:lineRule="auto"/>
        <w:ind w:left="-5" w:right="-113"/>
      </w:pPr>
      <w:r>
        <w:rPr>
          <w:i/>
        </w:rPr>
        <w:t>Plasmodium falciparum</w:t>
      </w:r>
      <w:r>
        <w:t xml:space="preserve">, the pathogen of malaria </w:t>
      </w:r>
      <w:proofErr w:type="spellStart"/>
      <w:r>
        <w:t>tropica</w:t>
      </w:r>
      <w:proofErr w:type="spellEnd"/>
      <w:r>
        <w:t xml:space="preserve">, is similar to infections with SARS-CoV-2, and since the ABO(H) phenotype development is molecularly connected to the development of humoral innate immunity, it might be tempting </w:t>
      </w:r>
      <w:r w:rsidRPr="00F8155B">
        <w:t>to  speculate</w:t>
      </w:r>
      <w:r>
        <w:t xml:space="preserve"> that both the viral and the non-viral pathogenesis will be initiated via a hybrid, developmental classical A-like/Tn </w:t>
      </w:r>
      <w:r>
        <w:rPr>
          <w:i/>
        </w:rPr>
        <w:t>O</w:t>
      </w:r>
      <w:r>
        <w:t xml:space="preserve">-glycan.  </w:t>
      </w:r>
    </w:p>
    <w:p w14:paraId="24A8E768" w14:textId="39F66155" w:rsidR="004F560F" w:rsidRPr="004F560F" w:rsidRDefault="0008288D" w:rsidP="007A0762">
      <w:pPr>
        <w:spacing w:after="0"/>
        <w:ind w:right="-113"/>
      </w:pPr>
      <w:r>
        <w:t xml:space="preserve">       Again, it is proposed that SARS-CoV-2 infection is initiated via a functional host–pathogen molecular bridge by forming an intermediate and genetically undefined, serologically A-like/Tn structure, which must be differentiated from the human blood group A-specific epitope</w:t>
      </w:r>
      <w:r w:rsidR="00E0333F">
        <w:t xml:space="preserve">, </w:t>
      </w:r>
      <w:r>
        <w:t>which, together with the B-allele determines the risk of developing life-threatening diseases in the non-O blood groups (Arend, 2020b).</w:t>
      </w:r>
      <w:r w:rsidR="00E85270">
        <w:t xml:space="preserve"> As argued above, in the non-O blood </w:t>
      </w:r>
      <w:r w:rsidR="00DE6E01">
        <w:t xml:space="preserve">group </w:t>
      </w:r>
      <w:r w:rsidR="00E85270">
        <w:t xml:space="preserve">patients, most likely dominated by autoimmune inflammations, the absence of innate antibodies enables the formation of hybrid structures, that means </w:t>
      </w:r>
      <w:r w:rsidR="000C5B7A">
        <w:t xml:space="preserve">the formation of </w:t>
      </w:r>
      <w:r w:rsidR="00E85270">
        <w:t xml:space="preserve">bonds between autologous carbohydrates and/or peptides and foreign peptides, which </w:t>
      </w:r>
      <w:r w:rsidR="005359C3">
        <w:t>in a further pathogenic step</w:t>
      </w:r>
      <w:r w:rsidR="00E85270">
        <w:t xml:space="preserve"> induce</w:t>
      </w:r>
      <w:r w:rsidR="000C5B7A">
        <w:t>s</w:t>
      </w:r>
      <w:r w:rsidR="00E85270">
        <w:t xml:space="preserve"> the production of autoantibodies</w:t>
      </w:r>
      <w:r w:rsidR="000C5B7A">
        <w:t>, exerting multiple specificities</w:t>
      </w:r>
      <w:r w:rsidR="00DE6E01">
        <w:t>.</w:t>
      </w:r>
    </w:p>
    <w:p w14:paraId="7EC24B8E" w14:textId="77777777" w:rsidR="00F149F4" w:rsidRDefault="004F560F" w:rsidP="007A0762">
      <w:pPr>
        <w:spacing w:after="0"/>
        <w:ind w:left="0" w:right="-113" w:firstLine="0"/>
      </w:pPr>
      <w:r>
        <w:t xml:space="preserve">       </w:t>
      </w:r>
      <w:r w:rsidR="0008288D">
        <w:t xml:space="preserve">Interactions between different pathogenic viruses and human ABO(H) glycans have been recognized for decades and can be explained by molecular biological models of a similar nature. A human rotavirus interacts with the A-type </w:t>
      </w:r>
      <w:proofErr w:type="spellStart"/>
      <w:r w:rsidR="0008288D">
        <w:t>histo</w:t>
      </w:r>
      <w:proofErr w:type="spellEnd"/>
      <w:r w:rsidR="0008288D">
        <w:t xml:space="preserve">-blood group antigen, and its infectivity is specifically abrogated by anti-A antibodies (L. Hu </w:t>
      </w:r>
      <w:r w:rsidR="0008288D">
        <w:rPr>
          <w:i/>
        </w:rPr>
        <w:t>et al.</w:t>
      </w:r>
      <w:r w:rsidR="0008288D">
        <w:t xml:space="preserve">, 2012b). Appropriately, </w:t>
      </w:r>
      <w:r w:rsidR="0008288D">
        <w:rPr>
          <w:color w:val="212121"/>
        </w:rPr>
        <w:t xml:space="preserve">the comprehensive study by </w:t>
      </w:r>
      <w:proofErr w:type="spellStart"/>
      <w:r w:rsidR="0008288D">
        <w:rPr>
          <w:color w:val="2A2A2A"/>
        </w:rPr>
        <w:t>Guillon</w:t>
      </w:r>
      <w:proofErr w:type="spellEnd"/>
      <w:r w:rsidR="0008288D">
        <w:rPr>
          <w:color w:val="2A2A2A"/>
        </w:rPr>
        <w:t xml:space="preserve"> et al. (2008) and their </w:t>
      </w:r>
      <w:r w:rsidR="0008288D">
        <w:rPr>
          <w:color w:val="212121"/>
        </w:rPr>
        <w:t xml:space="preserve">analysis of a </w:t>
      </w:r>
      <w:r w:rsidR="0008288D">
        <w:rPr>
          <w:color w:val="2A2A2A"/>
        </w:rPr>
        <w:t xml:space="preserve">SARS-CoV-1 </w:t>
      </w:r>
      <w:r w:rsidR="0008288D">
        <w:rPr>
          <w:color w:val="212121"/>
        </w:rPr>
        <w:t xml:space="preserve">outbreak in Hongkong in 2003, demonstrated that blood </w:t>
      </w:r>
      <w:r w:rsidR="0008288D">
        <w:rPr>
          <w:color w:val="212121"/>
        </w:rPr>
        <w:lastRenderedPageBreak/>
        <w:t xml:space="preserve">group O(H) was associated with low risk of infection, while </w:t>
      </w:r>
      <w:r w:rsidR="0008288D">
        <w:rPr>
          <w:color w:val="2A2A2A"/>
        </w:rPr>
        <w:t>the interaction between the viral S protein and the host cell receptor was inhibited by natural and monoclonal anti-A antibodies</w:t>
      </w:r>
      <w:r w:rsidR="0008288D">
        <w:rPr>
          <w:i/>
          <w:color w:val="212121"/>
        </w:rPr>
        <w:t xml:space="preserve"> </w:t>
      </w:r>
      <w:r w:rsidR="0008288D">
        <w:rPr>
          <w:color w:val="212121"/>
        </w:rPr>
        <w:t>in vitro</w:t>
      </w:r>
      <w:r w:rsidR="0008288D">
        <w:rPr>
          <w:color w:val="2A2A2A"/>
        </w:rPr>
        <w:t>.</w:t>
      </w:r>
      <w:r w:rsidR="0008288D">
        <w:rPr>
          <w:color w:val="212121"/>
          <w:vertAlign w:val="superscript"/>
        </w:rPr>
        <w:t xml:space="preserve"> </w:t>
      </w:r>
      <w:r w:rsidR="0008288D">
        <w:t xml:space="preserve">Finally, the actual and first statistical study of SARS-CoV-2 indicated that individuals with blood group A have a significantly higher risk of acquiring SARS-CoV-2 or COVID-19 infection, whereas people with blood group O have a significantly lower risk of infection compared to non-O blood groups (Zhao et al., 2020).  </w:t>
      </w:r>
    </w:p>
    <w:p w14:paraId="7ED9916D" w14:textId="6C6F410D" w:rsidR="00F429FD" w:rsidRPr="004E7C31" w:rsidRDefault="0008288D" w:rsidP="004E7C31">
      <w:pPr>
        <w:spacing w:after="0"/>
        <w:ind w:right="-113"/>
      </w:pPr>
      <w:r>
        <w:rPr>
          <w:rFonts w:ascii="Calibri" w:eastAsia="Calibri" w:hAnsi="Calibri" w:cs="Calibri"/>
          <w:noProof/>
          <w:sz w:val="22"/>
        </w:rPr>
        <mc:AlternateContent>
          <mc:Choice Requires="wpg">
            <w:drawing>
              <wp:anchor distT="0" distB="0" distL="114300" distR="114300" simplePos="0" relativeHeight="251659264" behindDoc="1" locked="0" layoutInCell="1" allowOverlap="1" wp14:anchorId="72BCEE47" wp14:editId="550E0025">
                <wp:simplePos x="0" y="0"/>
                <wp:positionH relativeFrom="column">
                  <wp:posOffset>789381</wp:posOffset>
                </wp:positionH>
                <wp:positionV relativeFrom="paragraph">
                  <wp:posOffset>8149148</wp:posOffset>
                </wp:positionV>
                <wp:extent cx="35052" cy="204215"/>
                <wp:effectExtent l="0" t="0" r="0" b="0"/>
                <wp:wrapNone/>
                <wp:docPr id="25422" name="Group 25422"/>
                <wp:cNvGraphicFramePr/>
                <a:graphic xmlns:a="http://schemas.openxmlformats.org/drawingml/2006/main">
                  <a:graphicData uri="http://schemas.microsoft.com/office/word/2010/wordprocessingGroup">
                    <wpg:wgp>
                      <wpg:cNvGrpSpPr/>
                      <wpg:grpSpPr>
                        <a:xfrm>
                          <a:off x="0" y="0"/>
                          <a:ext cx="35052" cy="204215"/>
                          <a:chOff x="0" y="0"/>
                          <a:chExt cx="35052" cy="204215"/>
                        </a:xfrm>
                      </wpg:grpSpPr>
                      <wps:wsp>
                        <wps:cNvPr id="28683" name="Shape 28683"/>
                        <wps:cNvSpPr/>
                        <wps:spPr>
                          <a:xfrm>
                            <a:off x="0" y="0"/>
                            <a:ext cx="35052" cy="204215"/>
                          </a:xfrm>
                          <a:custGeom>
                            <a:avLst/>
                            <a:gdLst/>
                            <a:ahLst/>
                            <a:cxnLst/>
                            <a:rect l="0" t="0" r="0" b="0"/>
                            <a:pathLst>
                              <a:path w="35052" h="204215">
                                <a:moveTo>
                                  <a:pt x="0" y="0"/>
                                </a:moveTo>
                                <a:lnTo>
                                  <a:pt x="35052" y="0"/>
                                </a:lnTo>
                                <a:lnTo>
                                  <a:pt x="35052" y="204215"/>
                                </a:lnTo>
                                <a:lnTo>
                                  <a:pt x="0" y="204215"/>
                                </a:lnTo>
                                <a:lnTo>
                                  <a:pt x="0" y="0"/>
                                </a:lnTo>
                              </a:path>
                            </a:pathLst>
                          </a:custGeom>
                          <a:ln w="0" cap="flat">
                            <a:miter lim="127000"/>
                          </a:ln>
                        </wps:spPr>
                        <wps:style>
                          <a:lnRef idx="0">
                            <a:srgbClr val="000000">
                              <a:alpha val="0"/>
                            </a:srgbClr>
                          </a:lnRef>
                          <a:fillRef idx="1">
                            <a:srgbClr val="F8F8F8"/>
                          </a:fillRef>
                          <a:effectRef idx="0">
                            <a:scrgbClr r="0" g="0" b="0"/>
                          </a:effectRef>
                          <a:fontRef idx="none"/>
                        </wps:style>
                        <wps:bodyPr/>
                      </wps:wsp>
                    </wpg:wgp>
                  </a:graphicData>
                </a:graphic>
              </wp:anchor>
            </w:drawing>
          </mc:Choice>
          <mc:Fallback xmlns:a="http://schemas.openxmlformats.org/drawingml/2006/main">
            <w:pict>
              <v:group id="Group 25422" style="width:2.75999pt;height:16.08pt;position:absolute;z-index:-2147483558;mso-position-horizontal-relative:text;mso-position-horizontal:absolute;margin-left:62.156pt;mso-position-vertical-relative:text;margin-top:641.665pt;" coordsize="350,2042">
                <v:shape id="Shape 28684" style="position:absolute;width:350;height:2042;left:0;top:0;" coordsize="35052,204215" path="m0,0l35052,0l35052,204215l0,204215l0,0">
                  <v:stroke weight="0pt" endcap="flat" joinstyle="miter" miterlimit="10" on="false" color="#000000" opacity="0"/>
                  <v:fill on="true" color="#f8f8f8"/>
                </v:shape>
              </v:group>
            </w:pict>
          </mc:Fallback>
        </mc:AlternateContent>
      </w:r>
      <w:r>
        <w:t xml:space="preserve">      In the “true blood group O”, O(h) or </w:t>
      </w:r>
      <w:r>
        <w:rPr>
          <w:i/>
        </w:rPr>
        <w:t xml:space="preserve">Bombay </w:t>
      </w:r>
      <w:r>
        <w:t>type (</w:t>
      </w:r>
      <w:proofErr w:type="spellStart"/>
      <w:r>
        <w:t>Bhende</w:t>
      </w:r>
      <w:proofErr w:type="spellEnd"/>
      <w:r>
        <w:t xml:space="preserve"> et al., 2008),  which lacks any ABO(H) blood group carbohydrate synthesis and, consistent with the concept</w:t>
      </w:r>
      <w:r w:rsidR="006D792A" w:rsidRPr="006D792A">
        <w:t xml:space="preserve"> </w:t>
      </w:r>
      <w:r w:rsidR="006D792A">
        <w:t>presented</w:t>
      </w:r>
      <w:r>
        <w:t>, demonstrates the strongest isoagglutinin activities (involving complement-dependent anti-H with an optimum effect at 37</w:t>
      </w:r>
      <w:r>
        <w:rPr>
          <w:vertAlign w:val="superscript"/>
        </w:rPr>
        <w:t>O</w:t>
      </w:r>
      <w:r>
        <w:t xml:space="preserve">C), the susceptibility to SARS-CoV-2 cannot be assessed by statistical standards due to the extremely small </w:t>
      </w:r>
      <w:r>
        <w:rPr>
          <w:i/>
        </w:rPr>
        <w:t>Bombay</w:t>
      </w:r>
      <w:r>
        <w:t xml:space="preserve"> population, whereas the central immunological position of the classical human blood group O(H) might have already become evident in a small study conducted 50 years ago (Arend and </w:t>
      </w:r>
      <w:proofErr w:type="spellStart"/>
      <w:r>
        <w:t>Fehlhaber</w:t>
      </w:r>
      <w:proofErr w:type="spellEnd"/>
      <w:r>
        <w:t>, 1969)</w:t>
      </w:r>
      <w:r w:rsidR="001A4D46">
        <w:t xml:space="preserve">, (Fig. </w:t>
      </w:r>
      <w:r w:rsidR="00600EB0">
        <w:t>4</w:t>
      </w:r>
      <w:r w:rsidR="001A4D46">
        <w:t>)</w:t>
      </w:r>
      <w:r>
        <w:t xml:space="preserve">; in this study an adaptive, via the gut microbiome occurring isoagglutinin induction, was statistically documented exclusively for the </w:t>
      </w:r>
      <w:proofErr w:type="spellStart"/>
      <w:r>
        <w:t>histo</w:t>
      </w:r>
      <w:proofErr w:type="spellEnd"/>
      <w:r>
        <w:t xml:space="preserve"> (blood) group O(H), dominated by the IgG class. However, the individual risk of becoming infected with SARS-CoV-2 or becoming seriously ill cannot be predicted based on a person's ABO(H) blood group affiliation alone because many other risks exist and blood group O(H) is no longer considered a genetic entity </w:t>
      </w:r>
      <w:r w:rsidR="002A4FBD" w:rsidRPr="002A4FBD">
        <w:rPr>
          <w:rFonts w:eastAsiaTheme="minorEastAsia"/>
          <w:szCs w:val="28"/>
        </w:rPr>
        <w:t xml:space="preserve">(O'Keefe and </w:t>
      </w:r>
      <w:proofErr w:type="spellStart"/>
      <w:r w:rsidR="002A4FBD" w:rsidRPr="002A4FBD">
        <w:rPr>
          <w:rFonts w:eastAsiaTheme="minorEastAsia"/>
          <w:szCs w:val="28"/>
        </w:rPr>
        <w:t>Dobrovic</w:t>
      </w:r>
      <w:proofErr w:type="spellEnd"/>
      <w:r w:rsidR="002A4FBD" w:rsidRPr="002A4FBD">
        <w:rPr>
          <w:rFonts w:eastAsiaTheme="minorEastAsia"/>
          <w:szCs w:val="28"/>
        </w:rPr>
        <w:t xml:space="preserve">, 1996; </w:t>
      </w:r>
      <w:proofErr w:type="spellStart"/>
      <w:r w:rsidR="002A4FBD" w:rsidRPr="002A4FBD">
        <w:rPr>
          <w:rFonts w:eastAsiaTheme="minorEastAsia"/>
          <w:szCs w:val="28"/>
        </w:rPr>
        <w:t>Seltsam</w:t>
      </w:r>
      <w:proofErr w:type="spellEnd"/>
      <w:r w:rsidR="002A4FBD" w:rsidRPr="002A4FBD">
        <w:rPr>
          <w:rFonts w:eastAsiaTheme="minorEastAsia"/>
          <w:szCs w:val="28"/>
        </w:rPr>
        <w:t xml:space="preserve"> et al., 2005; Arend, 2018b): a serologically weak blood g</w:t>
      </w:r>
      <w:r w:rsidR="00A45A0D">
        <w:rPr>
          <w:rFonts w:eastAsiaTheme="minorEastAsia"/>
          <w:szCs w:val="28"/>
        </w:rPr>
        <w:t>r</w:t>
      </w:r>
      <w:r w:rsidR="002A4FBD" w:rsidRPr="002A4FBD">
        <w:rPr>
          <w:rFonts w:eastAsiaTheme="minorEastAsia"/>
          <w:szCs w:val="28"/>
        </w:rPr>
        <w:t xml:space="preserve">oup A, which appears as O(H) may express A-determining glycotransferases, </w:t>
      </w:r>
      <w:r w:rsidR="00A45A0D" w:rsidRPr="00A45A0D">
        <w:rPr>
          <w:rFonts w:eastAsiaTheme="minorEastAsia"/>
          <w:szCs w:val="28"/>
        </w:rPr>
        <w:t>binding the pathogen and questioning most statistics due to a growing ethnic diversity in the contemporary population</w:t>
      </w:r>
      <w:r w:rsidR="0006094B">
        <w:rPr>
          <w:rFonts w:eastAsiaTheme="minorEastAsia"/>
          <w:szCs w:val="28"/>
        </w:rPr>
        <w:t>s</w:t>
      </w:r>
      <w:r w:rsidR="00A45A0D" w:rsidRPr="00A45A0D">
        <w:rPr>
          <w:rFonts w:eastAsiaTheme="minorEastAsia"/>
          <w:szCs w:val="28"/>
        </w:rPr>
        <w:t xml:space="preserve">. </w:t>
      </w:r>
      <w:r>
        <w:t xml:space="preserve">Nevertheless, SARS CoV-2 (COVID-19) infection can be regarded as an evolutionary selective disease, contributing to the current global distribution in terms of human blood groups O(H), A, B, and AB, which according to Springer and Wiener (1962) developed over millions of years mainly in connection </w:t>
      </w:r>
      <w:r>
        <w:lastRenderedPageBreak/>
        <w:t>with ABO(H) blood group-related life-threatening diseases, such as malaria (</w:t>
      </w:r>
      <w:proofErr w:type="spellStart"/>
      <w:r>
        <w:t>Cserti</w:t>
      </w:r>
      <w:proofErr w:type="spellEnd"/>
      <w:r>
        <w:t xml:space="preserve"> and Dzik, 2007; </w:t>
      </w:r>
      <w:proofErr w:type="spellStart"/>
      <w:r>
        <w:t>Cserti-Gazdewich</w:t>
      </w:r>
      <w:proofErr w:type="spellEnd"/>
      <w:r>
        <w:t xml:space="preserve">, 2010; Arend, P., 2018b; 2020b). </w:t>
      </w:r>
      <w:r w:rsidR="004E7C31">
        <w:t>D</w:t>
      </w:r>
      <w:r w:rsidR="004E7C31" w:rsidRPr="00CD7C79">
        <w:t>iseases show us where and how evolution has reached its limits</w:t>
      </w:r>
      <w:r w:rsidR="004E7C31">
        <w:t xml:space="preserve">; </w:t>
      </w:r>
      <w:r w:rsidR="004E7C31" w:rsidRPr="00CD7C79">
        <w:t xml:space="preserve">increasing phenotypic diversity </w:t>
      </w:r>
      <w:r w:rsidR="004E7C31">
        <w:t>may</w:t>
      </w:r>
      <w:r w:rsidR="004E7C31" w:rsidRPr="00CD7C79">
        <w:t xml:space="preserve"> go hand in hand with decreasing immunity</w:t>
      </w:r>
      <w:r w:rsidR="004E7C31">
        <w:t>. In fact, t</w:t>
      </w:r>
      <w:r>
        <w:t>he synthesis of blood group AB enables the strongest contact with a pathogen and molecularly precludes any isoagglutinin activity, making this group the least protected and the smallest among the ABO(H) blood groups. In contrast, individuals with blood group O(H), which are prone to other infections, especially cholera, have survived all infectious diseases in an immunological balance with many pathogens and remain the largest blood group worldwide despite extensive historical cholera pandemics (</w:t>
      </w:r>
      <w:proofErr w:type="spellStart"/>
      <w:r>
        <w:t>Echenberg</w:t>
      </w:r>
      <w:proofErr w:type="spellEnd"/>
      <w:r>
        <w:t>, 2011;</w:t>
      </w:r>
      <w:r>
        <w:rPr>
          <w:vertAlign w:val="superscript"/>
        </w:rPr>
        <w:t xml:space="preserve"> </w:t>
      </w:r>
      <w:proofErr w:type="spellStart"/>
      <w:r>
        <w:t>Mutreja</w:t>
      </w:r>
      <w:proofErr w:type="spellEnd"/>
      <w:r>
        <w:t xml:space="preserve"> et al</w:t>
      </w:r>
      <w:r>
        <w:rPr>
          <w:i/>
        </w:rPr>
        <w:t>.</w:t>
      </w:r>
      <w:r>
        <w:t>, 2011;</w:t>
      </w:r>
      <w:r>
        <w:rPr>
          <w:vertAlign w:val="superscript"/>
        </w:rPr>
        <w:t xml:space="preserve"> </w:t>
      </w:r>
      <w:r>
        <w:t>Chowdhury et al., 2017). These individuals rarely develop severe diseases classified as blood group A/B-related infections. They maintain anti-A/Tn cross-reactive and anti-B complement-dependent isoagglutinin activities, exerted by the polyreactive, nonimmune IgM, which is regarded as the humoral spearhead of innate immunity and the first line of defense.</w:t>
      </w:r>
      <w:r>
        <w:rPr>
          <w:color w:val="464646"/>
        </w:rPr>
        <w:t xml:space="preserve"> </w:t>
      </w:r>
      <w:r>
        <w:t xml:space="preserve"> </w:t>
      </w:r>
    </w:p>
    <w:p w14:paraId="43CFC252" w14:textId="51639EC1" w:rsidR="00830902" w:rsidRDefault="0008288D" w:rsidP="004E7C31">
      <w:pPr>
        <w:spacing w:after="0"/>
        <w:ind w:right="-113"/>
      </w:pPr>
      <w:r>
        <w:rPr>
          <w:color w:val="464646"/>
          <w:shd w:val="clear" w:color="auto" w:fill="F8F8F8"/>
        </w:rPr>
        <w:t>This is the first description of a hypothetical pathogenesis, wherein the contact</w:t>
      </w:r>
      <w:r>
        <w:rPr>
          <w:color w:val="464646"/>
        </w:rPr>
        <w:t xml:space="preserve"> </w:t>
      </w:r>
      <w:r>
        <w:rPr>
          <w:color w:val="464646"/>
          <w:shd w:val="clear" w:color="auto" w:fill="F8F8F8"/>
        </w:rPr>
        <w:t xml:space="preserve">between host and pathogen is initiated </w:t>
      </w:r>
      <w:r w:rsidR="00A50D67">
        <w:rPr>
          <w:color w:val="464646"/>
          <w:shd w:val="clear" w:color="auto" w:fill="F8F8F8"/>
        </w:rPr>
        <w:t xml:space="preserve">via enzyme </w:t>
      </w:r>
      <w:r w:rsidR="00A50D67" w:rsidRPr="00B24556">
        <w:rPr>
          <w:b/>
          <w:color w:val="464646"/>
          <w:shd w:val="clear" w:color="auto" w:fill="F8F8F8"/>
        </w:rPr>
        <w:t>–</w:t>
      </w:r>
      <w:r w:rsidR="00A50D67">
        <w:rPr>
          <w:color w:val="464646"/>
          <w:shd w:val="clear" w:color="auto" w:fill="F8F8F8"/>
        </w:rPr>
        <w:t xml:space="preserve"> substrate competition, occurring across the species barrier</w:t>
      </w:r>
      <w:r w:rsidR="00FC7175">
        <w:rPr>
          <w:color w:val="464646"/>
          <w:shd w:val="clear" w:color="auto" w:fill="F8F8F8"/>
        </w:rPr>
        <w:t>,</w:t>
      </w:r>
      <w:r w:rsidR="00A50D67">
        <w:rPr>
          <w:color w:val="464646"/>
          <w:shd w:val="clear" w:color="auto" w:fill="F8F8F8"/>
        </w:rPr>
        <w:t xml:space="preserve"> and</w:t>
      </w:r>
      <w:r>
        <w:rPr>
          <w:color w:val="464646"/>
          <w:shd w:val="clear" w:color="auto" w:fill="F8F8F8"/>
        </w:rPr>
        <w:t xml:space="preserve"> </w:t>
      </w:r>
      <w:r w:rsidR="00533358">
        <w:rPr>
          <w:color w:val="464646"/>
          <w:shd w:val="clear" w:color="auto" w:fill="F8F8F8"/>
        </w:rPr>
        <w:t xml:space="preserve">by </w:t>
      </w:r>
      <w:r w:rsidR="00A50D67">
        <w:rPr>
          <w:color w:val="464646"/>
          <w:shd w:val="clear" w:color="auto" w:fill="F8F8F8"/>
        </w:rPr>
        <w:t>generation</w:t>
      </w:r>
      <w:r>
        <w:rPr>
          <w:color w:val="464646"/>
          <w:shd w:val="clear" w:color="auto" w:fill="F8F8F8"/>
        </w:rPr>
        <w:t xml:space="preserve"> of a hybrid trans-species, developmental A-like/Tn </w:t>
      </w:r>
      <w:r>
        <w:rPr>
          <w:i/>
          <w:color w:val="464646"/>
          <w:shd w:val="clear" w:color="auto" w:fill="F8F8F8"/>
        </w:rPr>
        <w:t>O</w:t>
      </w:r>
      <w:r>
        <w:rPr>
          <w:color w:val="464646"/>
          <w:shd w:val="clear" w:color="auto" w:fill="F8F8F8"/>
        </w:rPr>
        <w:t>-glycan, which plays a key role in the evolution of species</w:t>
      </w:r>
      <w:r w:rsidR="00A50D67">
        <w:rPr>
          <w:color w:val="464646"/>
          <w:shd w:val="clear" w:color="auto" w:fill="F8F8F8"/>
        </w:rPr>
        <w:t>. In human</w:t>
      </w:r>
      <w:r w:rsidR="002B77A8">
        <w:rPr>
          <w:color w:val="464646"/>
          <w:shd w:val="clear" w:color="auto" w:fill="F8F8F8"/>
        </w:rPr>
        <w:t xml:space="preserve"> </w:t>
      </w:r>
      <w:r w:rsidR="00A50D67">
        <w:rPr>
          <w:color w:val="464646"/>
          <w:shd w:val="clear" w:color="auto" w:fill="F8F8F8"/>
        </w:rPr>
        <w:t>primates</w:t>
      </w:r>
      <w:r w:rsidR="002B77A8">
        <w:rPr>
          <w:color w:val="464646"/>
          <w:shd w:val="clear" w:color="auto" w:fill="F8F8F8"/>
        </w:rPr>
        <w:t>,</w:t>
      </w:r>
      <w:r>
        <w:rPr>
          <w:color w:val="464646"/>
          <w:shd w:val="clear" w:color="auto" w:fill="F8F8F8"/>
        </w:rPr>
        <w:t xml:space="preserve"> </w:t>
      </w:r>
      <w:r w:rsidR="00A50D67">
        <w:rPr>
          <w:color w:val="464646"/>
          <w:shd w:val="clear" w:color="auto" w:fill="F8F8F8"/>
        </w:rPr>
        <w:t>this intermediate, genetically undefined</w:t>
      </w:r>
      <w:r>
        <w:rPr>
          <w:color w:val="464646"/>
          <w:shd w:val="clear" w:color="auto" w:fill="F8F8F8"/>
        </w:rPr>
        <w:t xml:space="preserve"> </w:t>
      </w:r>
      <w:r w:rsidR="00A50D67">
        <w:rPr>
          <w:color w:val="464646"/>
          <w:shd w:val="clear" w:color="auto" w:fill="F8F8F8"/>
        </w:rPr>
        <w:t>structure will be</w:t>
      </w:r>
      <w:r>
        <w:rPr>
          <w:color w:val="464646"/>
        </w:rPr>
        <w:t xml:space="preserve"> </w:t>
      </w:r>
      <w:r>
        <w:rPr>
          <w:color w:val="464646"/>
          <w:shd w:val="clear" w:color="auto" w:fill="F8F8F8"/>
        </w:rPr>
        <w:t>replaced by (in the case of infections</w:t>
      </w:r>
      <w:r w:rsidR="002B77A8" w:rsidRPr="002B77A8">
        <w:rPr>
          <w:color w:val="464646"/>
          <w:shd w:val="clear" w:color="auto" w:fill="F8F8F8"/>
        </w:rPr>
        <w:t xml:space="preserve"> </w:t>
      </w:r>
      <w:r w:rsidR="002B77A8">
        <w:rPr>
          <w:color w:val="464646"/>
          <w:shd w:val="clear" w:color="auto" w:fill="F8F8F8"/>
        </w:rPr>
        <w:t>hybrid</w:t>
      </w:r>
      <w:r>
        <w:rPr>
          <w:color w:val="464646"/>
          <w:shd w:val="clear" w:color="auto" w:fill="F8F8F8"/>
        </w:rPr>
        <w:t>) ABO(H)</w:t>
      </w:r>
      <w:r w:rsidR="00FD5C12">
        <w:rPr>
          <w:color w:val="464646"/>
          <w:shd w:val="clear" w:color="auto" w:fill="F8F8F8"/>
        </w:rPr>
        <w:t>-</w:t>
      </w:r>
      <w:r w:rsidR="002B77A8">
        <w:rPr>
          <w:color w:val="464646"/>
          <w:shd w:val="clear" w:color="auto" w:fill="F8F8F8"/>
        </w:rPr>
        <w:t xml:space="preserve">blood group specific </w:t>
      </w:r>
      <w:r>
        <w:rPr>
          <w:color w:val="464646"/>
          <w:shd w:val="clear" w:color="auto" w:fill="F8F8F8"/>
        </w:rPr>
        <w:t xml:space="preserve">epitopes and </w:t>
      </w:r>
      <w:r w:rsidR="00C1663C">
        <w:rPr>
          <w:color w:val="464646"/>
          <w:shd w:val="clear" w:color="auto" w:fill="F8F8F8"/>
        </w:rPr>
        <w:t>will be</w:t>
      </w:r>
      <w:r>
        <w:rPr>
          <w:color w:val="464646"/>
        </w:rPr>
        <w:t xml:space="preserve"> </w:t>
      </w:r>
      <w:r>
        <w:rPr>
          <w:color w:val="464646"/>
          <w:shd w:val="clear" w:color="auto" w:fill="F8F8F8"/>
        </w:rPr>
        <w:t>controlled by its molecularly and functionally connected innate immunity. The in</w:t>
      </w:r>
      <w:r>
        <w:rPr>
          <w:color w:val="464646"/>
        </w:rPr>
        <w:t xml:space="preserve"> </w:t>
      </w:r>
      <w:r>
        <w:rPr>
          <w:color w:val="464646"/>
          <w:shd w:val="clear" w:color="auto" w:fill="F8F8F8"/>
        </w:rPr>
        <w:t>this manuscript described hypothetical formation of hybrid ABO(H)</w:t>
      </w:r>
      <w:r w:rsidR="003B74C2">
        <w:rPr>
          <w:color w:val="464646"/>
          <w:shd w:val="clear" w:color="auto" w:fill="F8F8F8"/>
        </w:rPr>
        <w:t>-</w:t>
      </w:r>
      <w:r>
        <w:rPr>
          <w:color w:val="464646"/>
          <w:shd w:val="clear" w:color="auto" w:fill="F8F8F8"/>
        </w:rPr>
        <w:t>blood group</w:t>
      </w:r>
      <w:r w:rsidR="003B74C2">
        <w:rPr>
          <w:color w:val="464646"/>
          <w:shd w:val="clear" w:color="auto" w:fill="F8F8F8"/>
        </w:rPr>
        <w:t>-</w:t>
      </w:r>
      <w:r>
        <w:rPr>
          <w:color w:val="464646"/>
          <w:shd w:val="clear" w:color="auto" w:fill="F8F8F8"/>
        </w:rPr>
        <w:t>specific epitopes requires experimental evidence, while the hybrid A-like/Tn structure might become the basis for a new pharmacological and immunological therapeutic target, independent of the ABO(H) blood group phenotype.</w:t>
      </w:r>
      <w:r>
        <w:rPr>
          <w:color w:val="464646"/>
        </w:rPr>
        <w:t xml:space="preserve"> </w:t>
      </w:r>
      <w:bookmarkEnd w:id="7"/>
    </w:p>
    <w:p w14:paraId="0D929280" w14:textId="7F43134B" w:rsidR="00830902" w:rsidRDefault="00830902" w:rsidP="007A0762">
      <w:pPr>
        <w:spacing w:after="0" w:line="259" w:lineRule="auto"/>
        <w:ind w:left="0" w:firstLine="0"/>
        <w:jc w:val="left"/>
      </w:pPr>
    </w:p>
    <w:p w14:paraId="321ECBB8" w14:textId="4117C7A2" w:rsidR="00B0742E" w:rsidRDefault="00B0742E" w:rsidP="007A0762">
      <w:pPr>
        <w:spacing w:after="0" w:line="259" w:lineRule="auto"/>
        <w:ind w:left="0" w:firstLine="0"/>
        <w:jc w:val="left"/>
      </w:pPr>
    </w:p>
    <w:p w14:paraId="48527415" w14:textId="1E3C287E" w:rsidR="00B0742E" w:rsidRDefault="00B0742E" w:rsidP="007A0762">
      <w:pPr>
        <w:spacing w:after="0" w:line="259" w:lineRule="auto"/>
        <w:ind w:left="0" w:firstLine="0"/>
        <w:jc w:val="left"/>
      </w:pPr>
    </w:p>
    <w:p w14:paraId="04EA1B9B" w14:textId="38C0EF2C" w:rsidR="00B0742E" w:rsidRDefault="002A2701" w:rsidP="007A0762">
      <w:pPr>
        <w:spacing w:after="0" w:line="259" w:lineRule="auto"/>
        <w:ind w:left="0" w:firstLine="0"/>
        <w:jc w:val="left"/>
      </w:pPr>
      <w:r>
        <w:rPr>
          <w:noProof/>
        </w:rPr>
        <w:drawing>
          <wp:anchor distT="0" distB="0" distL="114300" distR="114300" simplePos="0" relativeHeight="251666432" behindDoc="0" locked="0" layoutInCell="1" allowOverlap="1" wp14:anchorId="2BD5257E" wp14:editId="4DB76206">
            <wp:simplePos x="0" y="0"/>
            <wp:positionH relativeFrom="margin">
              <wp:posOffset>-558460</wp:posOffset>
            </wp:positionH>
            <wp:positionV relativeFrom="paragraph">
              <wp:posOffset>-570437</wp:posOffset>
            </wp:positionV>
            <wp:extent cx="6758106" cy="7776000"/>
            <wp:effectExtent l="0" t="0" r="5080" b="0"/>
            <wp:wrapNone/>
            <wp:docPr id="2202" name="Picture 2202"/>
            <wp:cNvGraphicFramePr/>
            <a:graphic xmlns:a="http://schemas.openxmlformats.org/drawingml/2006/main">
              <a:graphicData uri="http://schemas.openxmlformats.org/drawingml/2006/picture">
                <pic:pic xmlns:pic="http://schemas.openxmlformats.org/drawingml/2006/picture">
                  <pic:nvPicPr>
                    <pic:cNvPr id="2202" name="Picture 2202"/>
                    <pic:cNvPicPr/>
                  </pic:nvPicPr>
                  <pic:blipFill rotWithShape="1">
                    <a:blip r:embed="rId16">
                      <a:extLst>
                        <a:ext uri="{28A0092B-C50C-407E-A947-70E740481C1C}">
                          <a14:useLocalDpi xmlns:a14="http://schemas.microsoft.com/office/drawing/2010/main" val="0"/>
                        </a:ext>
                      </a:extLst>
                    </a:blip>
                    <a:srcRect b="11077"/>
                    <a:stretch/>
                  </pic:blipFill>
                  <pic:spPr bwMode="auto">
                    <a:xfrm>
                      <a:off x="0" y="0"/>
                      <a:ext cx="6758106" cy="777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E7A1F0" w14:textId="7C0DCEBC" w:rsidR="00830902" w:rsidRDefault="00830902" w:rsidP="007A0762">
      <w:pPr>
        <w:spacing w:after="0" w:line="259" w:lineRule="auto"/>
        <w:ind w:left="0" w:firstLine="0"/>
        <w:jc w:val="left"/>
      </w:pPr>
    </w:p>
    <w:p w14:paraId="26DBA4C4" w14:textId="721BDBD7" w:rsidR="00830902" w:rsidRDefault="00830902" w:rsidP="007A0762">
      <w:pPr>
        <w:spacing w:after="0" w:line="259" w:lineRule="auto"/>
        <w:ind w:left="465" w:right="-1295" w:firstLine="0"/>
        <w:jc w:val="left"/>
      </w:pPr>
    </w:p>
    <w:p w14:paraId="1D35EFC1" w14:textId="77777777" w:rsidR="00A761E5" w:rsidRDefault="00A761E5" w:rsidP="007A0762">
      <w:pPr>
        <w:spacing w:after="0" w:line="259" w:lineRule="auto"/>
        <w:ind w:left="1057"/>
        <w:jc w:val="left"/>
        <w:rPr>
          <w:sz w:val="32"/>
        </w:rPr>
      </w:pPr>
    </w:p>
    <w:p w14:paraId="3D900403" w14:textId="77777777" w:rsidR="00A761E5" w:rsidRDefault="00A761E5" w:rsidP="007A0762">
      <w:pPr>
        <w:spacing w:after="0" w:line="259" w:lineRule="auto"/>
        <w:ind w:left="1057"/>
        <w:jc w:val="left"/>
        <w:rPr>
          <w:sz w:val="32"/>
        </w:rPr>
      </w:pPr>
    </w:p>
    <w:p w14:paraId="0D965929" w14:textId="77777777" w:rsidR="00A761E5" w:rsidRDefault="00A761E5" w:rsidP="007A0762">
      <w:pPr>
        <w:spacing w:after="0" w:line="259" w:lineRule="auto"/>
        <w:ind w:left="1057"/>
        <w:jc w:val="left"/>
        <w:rPr>
          <w:sz w:val="32"/>
        </w:rPr>
      </w:pPr>
    </w:p>
    <w:p w14:paraId="51BE24E9" w14:textId="77777777" w:rsidR="00A761E5" w:rsidRDefault="00A761E5" w:rsidP="007A0762">
      <w:pPr>
        <w:spacing w:after="0" w:line="259" w:lineRule="auto"/>
        <w:ind w:left="1057"/>
        <w:jc w:val="left"/>
        <w:rPr>
          <w:sz w:val="32"/>
        </w:rPr>
      </w:pPr>
    </w:p>
    <w:p w14:paraId="006F5C31" w14:textId="77777777" w:rsidR="00A761E5" w:rsidRDefault="00A761E5" w:rsidP="007A0762">
      <w:pPr>
        <w:spacing w:after="0" w:line="259" w:lineRule="auto"/>
        <w:ind w:left="1057"/>
        <w:jc w:val="left"/>
        <w:rPr>
          <w:sz w:val="32"/>
        </w:rPr>
      </w:pPr>
    </w:p>
    <w:p w14:paraId="1F1FFC2A" w14:textId="77777777" w:rsidR="00A761E5" w:rsidRDefault="00A761E5" w:rsidP="007A0762">
      <w:pPr>
        <w:spacing w:after="0" w:line="259" w:lineRule="auto"/>
        <w:ind w:left="1057"/>
        <w:jc w:val="left"/>
        <w:rPr>
          <w:sz w:val="32"/>
        </w:rPr>
      </w:pPr>
    </w:p>
    <w:p w14:paraId="5A44CD5A" w14:textId="77777777" w:rsidR="003B3E52" w:rsidRDefault="003B3E52" w:rsidP="007A0762">
      <w:pPr>
        <w:spacing w:after="0" w:line="259" w:lineRule="auto"/>
        <w:ind w:left="1057"/>
        <w:jc w:val="left"/>
        <w:rPr>
          <w:sz w:val="32"/>
        </w:rPr>
      </w:pPr>
    </w:p>
    <w:p w14:paraId="7F4F78D6" w14:textId="77777777" w:rsidR="003B3E52" w:rsidRDefault="003B3E52" w:rsidP="007A0762">
      <w:pPr>
        <w:spacing w:after="0" w:line="259" w:lineRule="auto"/>
        <w:ind w:left="1057"/>
        <w:jc w:val="left"/>
        <w:rPr>
          <w:sz w:val="32"/>
        </w:rPr>
      </w:pPr>
    </w:p>
    <w:p w14:paraId="54CE522E" w14:textId="77777777" w:rsidR="003B3E52" w:rsidRDefault="003B3E52" w:rsidP="007A0762">
      <w:pPr>
        <w:spacing w:after="0" w:line="259" w:lineRule="auto"/>
        <w:ind w:left="1057"/>
        <w:jc w:val="left"/>
        <w:rPr>
          <w:sz w:val="32"/>
        </w:rPr>
      </w:pPr>
    </w:p>
    <w:p w14:paraId="7612FA81" w14:textId="77777777" w:rsidR="003B3E52" w:rsidRDefault="003B3E52" w:rsidP="007A0762">
      <w:pPr>
        <w:spacing w:after="0" w:line="259" w:lineRule="auto"/>
        <w:ind w:left="1057"/>
        <w:jc w:val="left"/>
        <w:rPr>
          <w:sz w:val="32"/>
        </w:rPr>
      </w:pPr>
    </w:p>
    <w:p w14:paraId="7DF8FEF5" w14:textId="77777777" w:rsidR="003B3E52" w:rsidRDefault="003B3E52" w:rsidP="007A0762">
      <w:pPr>
        <w:spacing w:after="0" w:line="259" w:lineRule="auto"/>
        <w:ind w:left="1057"/>
        <w:jc w:val="left"/>
        <w:rPr>
          <w:sz w:val="32"/>
        </w:rPr>
      </w:pPr>
    </w:p>
    <w:p w14:paraId="1D61B469" w14:textId="77777777" w:rsidR="003B3E52" w:rsidRDefault="003B3E52" w:rsidP="007A0762">
      <w:pPr>
        <w:spacing w:after="0" w:line="259" w:lineRule="auto"/>
        <w:ind w:left="1057"/>
        <w:jc w:val="left"/>
        <w:rPr>
          <w:sz w:val="32"/>
        </w:rPr>
      </w:pPr>
    </w:p>
    <w:p w14:paraId="3089BE86" w14:textId="77777777" w:rsidR="003B3E52" w:rsidRDefault="003B3E52" w:rsidP="007A0762">
      <w:pPr>
        <w:spacing w:after="0" w:line="259" w:lineRule="auto"/>
        <w:ind w:left="1057"/>
        <w:jc w:val="left"/>
        <w:rPr>
          <w:sz w:val="32"/>
        </w:rPr>
      </w:pPr>
    </w:p>
    <w:p w14:paraId="67FFCDB0" w14:textId="77777777" w:rsidR="003B3E52" w:rsidRDefault="003B3E52" w:rsidP="007A0762">
      <w:pPr>
        <w:spacing w:after="0" w:line="259" w:lineRule="auto"/>
        <w:ind w:left="1057"/>
        <w:jc w:val="left"/>
        <w:rPr>
          <w:sz w:val="32"/>
        </w:rPr>
      </w:pPr>
    </w:p>
    <w:p w14:paraId="40536AFE" w14:textId="77777777" w:rsidR="003B3E52" w:rsidRDefault="003B3E52" w:rsidP="007A0762">
      <w:pPr>
        <w:spacing w:after="0" w:line="259" w:lineRule="auto"/>
        <w:ind w:left="1057"/>
        <w:jc w:val="left"/>
        <w:rPr>
          <w:sz w:val="32"/>
        </w:rPr>
      </w:pPr>
    </w:p>
    <w:p w14:paraId="35466627" w14:textId="77777777" w:rsidR="003B3E52" w:rsidRDefault="003B3E52" w:rsidP="007A0762">
      <w:pPr>
        <w:spacing w:after="0" w:line="259" w:lineRule="auto"/>
        <w:ind w:left="1057"/>
        <w:jc w:val="left"/>
        <w:rPr>
          <w:sz w:val="32"/>
        </w:rPr>
      </w:pPr>
    </w:p>
    <w:p w14:paraId="1C179E16" w14:textId="77777777" w:rsidR="003B3E52" w:rsidRDefault="003B3E52" w:rsidP="007A0762">
      <w:pPr>
        <w:spacing w:after="0" w:line="259" w:lineRule="auto"/>
        <w:ind w:left="1057"/>
        <w:jc w:val="left"/>
        <w:rPr>
          <w:sz w:val="32"/>
        </w:rPr>
      </w:pPr>
    </w:p>
    <w:p w14:paraId="31BCC9F6" w14:textId="77777777" w:rsidR="003B3E52" w:rsidRDefault="003B3E52" w:rsidP="007A0762">
      <w:pPr>
        <w:spacing w:after="0" w:line="259" w:lineRule="auto"/>
        <w:ind w:left="1057"/>
        <w:jc w:val="left"/>
        <w:rPr>
          <w:sz w:val="32"/>
        </w:rPr>
      </w:pPr>
    </w:p>
    <w:p w14:paraId="42A226C7" w14:textId="77777777" w:rsidR="003B3E52" w:rsidRDefault="003B3E52" w:rsidP="007A0762">
      <w:pPr>
        <w:spacing w:after="0" w:line="259" w:lineRule="auto"/>
        <w:ind w:left="1057"/>
        <w:jc w:val="left"/>
        <w:rPr>
          <w:sz w:val="32"/>
        </w:rPr>
      </w:pPr>
    </w:p>
    <w:p w14:paraId="31BD0D69" w14:textId="77777777" w:rsidR="003B3E52" w:rsidRDefault="003B3E52" w:rsidP="007A0762">
      <w:pPr>
        <w:spacing w:after="0" w:line="259" w:lineRule="auto"/>
        <w:ind w:left="1057"/>
        <w:jc w:val="left"/>
        <w:rPr>
          <w:sz w:val="32"/>
        </w:rPr>
      </w:pPr>
    </w:p>
    <w:p w14:paraId="04DD952E" w14:textId="77777777" w:rsidR="003B3E52" w:rsidRDefault="003B3E52" w:rsidP="007A0762">
      <w:pPr>
        <w:spacing w:after="0" w:line="259" w:lineRule="auto"/>
        <w:ind w:left="1057"/>
        <w:jc w:val="left"/>
        <w:rPr>
          <w:sz w:val="32"/>
        </w:rPr>
      </w:pPr>
    </w:p>
    <w:p w14:paraId="6F3B86E8" w14:textId="77777777" w:rsidR="003B3E52" w:rsidRDefault="003B3E52" w:rsidP="007A0762">
      <w:pPr>
        <w:spacing w:after="0" w:line="259" w:lineRule="auto"/>
        <w:ind w:left="1057"/>
        <w:jc w:val="left"/>
        <w:rPr>
          <w:sz w:val="32"/>
        </w:rPr>
      </w:pPr>
    </w:p>
    <w:p w14:paraId="528404A8" w14:textId="77777777" w:rsidR="003B3E52" w:rsidRDefault="003B3E52" w:rsidP="007A0762">
      <w:pPr>
        <w:spacing w:after="0" w:line="259" w:lineRule="auto"/>
        <w:ind w:left="1057"/>
        <w:jc w:val="left"/>
        <w:rPr>
          <w:sz w:val="32"/>
        </w:rPr>
      </w:pPr>
    </w:p>
    <w:p w14:paraId="58443CC7" w14:textId="77777777" w:rsidR="003B3E52" w:rsidRDefault="003B3E52" w:rsidP="007A0762">
      <w:pPr>
        <w:spacing w:after="0" w:line="259" w:lineRule="auto"/>
        <w:ind w:left="1057"/>
        <w:jc w:val="left"/>
        <w:rPr>
          <w:sz w:val="32"/>
        </w:rPr>
      </w:pPr>
    </w:p>
    <w:p w14:paraId="44FBB3DB" w14:textId="77777777" w:rsidR="003B3E52" w:rsidRDefault="003B3E52" w:rsidP="007A0762">
      <w:pPr>
        <w:spacing w:after="0" w:line="259" w:lineRule="auto"/>
        <w:ind w:left="1057"/>
        <w:jc w:val="left"/>
        <w:rPr>
          <w:sz w:val="32"/>
        </w:rPr>
      </w:pPr>
    </w:p>
    <w:p w14:paraId="0EE58934" w14:textId="77777777" w:rsidR="00082320" w:rsidRDefault="00082320" w:rsidP="007A0762">
      <w:pPr>
        <w:spacing w:after="0" w:line="259" w:lineRule="auto"/>
        <w:ind w:left="0" w:firstLine="0"/>
        <w:jc w:val="left"/>
        <w:rPr>
          <w:b/>
        </w:rPr>
      </w:pPr>
    </w:p>
    <w:p w14:paraId="5C78B4FD" w14:textId="77777777" w:rsidR="00082320" w:rsidRDefault="00082320" w:rsidP="007A0762">
      <w:pPr>
        <w:spacing w:after="0" w:line="259" w:lineRule="auto"/>
        <w:ind w:left="0" w:firstLine="0"/>
        <w:jc w:val="left"/>
        <w:rPr>
          <w:b/>
        </w:rPr>
      </w:pPr>
    </w:p>
    <w:p w14:paraId="2762AE5D" w14:textId="16CD4910" w:rsidR="001A4D46" w:rsidRPr="00593E7C" w:rsidRDefault="002A2701" w:rsidP="007A0762">
      <w:pPr>
        <w:spacing w:after="0" w:line="259" w:lineRule="auto"/>
        <w:ind w:left="0" w:firstLine="0"/>
        <w:jc w:val="left"/>
        <w:rPr>
          <w:b/>
        </w:rPr>
        <w:sectPr w:rsidR="001A4D46" w:rsidRPr="00593E7C">
          <w:headerReference w:type="even" r:id="rId17"/>
          <w:headerReference w:type="default" r:id="rId18"/>
          <w:headerReference w:type="first" r:id="rId19"/>
          <w:pgSz w:w="12240" w:h="15840"/>
          <w:pgMar w:top="1428" w:right="1412" w:bottom="1473" w:left="1416" w:header="717" w:footer="720" w:gutter="0"/>
          <w:cols w:space="720"/>
        </w:sectPr>
      </w:pPr>
      <w:r w:rsidRPr="00593E7C">
        <w:rPr>
          <w:b/>
        </w:rPr>
        <w:t>Figure 4.</w:t>
      </w:r>
    </w:p>
    <w:p w14:paraId="60BAE268" w14:textId="1190F9D6" w:rsidR="00AB2F49" w:rsidRPr="00AB2F49" w:rsidRDefault="00AB2F49" w:rsidP="007A0762">
      <w:pPr>
        <w:pStyle w:val="berschrift1"/>
        <w:spacing w:after="0" w:line="360" w:lineRule="auto"/>
        <w:ind w:left="1218"/>
        <w:jc w:val="both"/>
        <w:rPr>
          <w:b w:val="0"/>
        </w:rPr>
      </w:pPr>
      <w:bookmarkStart w:id="8" w:name="_Hlk70275845"/>
      <w:r>
        <w:lastRenderedPageBreak/>
        <w:t xml:space="preserve">Figure </w:t>
      </w:r>
      <w:r w:rsidR="002A2701">
        <w:t>4.</w:t>
      </w:r>
      <w:r w:rsidRPr="00AB2F49">
        <w:t xml:space="preserve"> </w:t>
      </w:r>
      <w:bookmarkEnd w:id="8"/>
      <w:r w:rsidRPr="002A2701">
        <w:rPr>
          <w:b w:val="0"/>
        </w:rPr>
        <w:t xml:space="preserve">The central immunological position of blood group O(H) is evident in its comprehensive production of “natural” antibodies against all of the mature </w:t>
      </w:r>
      <w:r w:rsidR="00A87FA8" w:rsidRPr="002A2701">
        <w:rPr>
          <w:b w:val="0"/>
        </w:rPr>
        <w:t xml:space="preserve">blood group </w:t>
      </w:r>
      <w:r w:rsidRPr="002A2701">
        <w:rPr>
          <w:b w:val="0"/>
        </w:rPr>
        <w:t>A and B glycans and their cross-reactive developmental structures Tn and T.</w:t>
      </w:r>
      <w:r w:rsidRPr="00312D1B">
        <w:rPr>
          <w:b w:val="0"/>
        </w:rPr>
        <w:t xml:space="preserve"> The huma</w:t>
      </w:r>
      <w:r w:rsidRPr="00AB2F49">
        <w:rPr>
          <w:b w:val="0"/>
        </w:rPr>
        <w:t xml:space="preserve">n A-specific (A-allelic) glycosylation and the trans-species “A-like”/Tn formation are developmentally connected via the formation of cross-reactive anti-A/Tn isoagglutinin. According to Hofmann et al. (2014), blood O(H) sera bind to both Tn and T antigens, and the anti-A isoagglutinin levels in blood group O(H) and blood group B sera are associated with the anti-Tn antibody, which does not react with blood group B red cells or T glycoconjugates. By contrast, the anti-B antibodies of blood group A and blood group O(H) sera bind to B and T glycoconjugates but not to A or Tn glycoconjugates. This selective cross-reactivity of </w:t>
      </w:r>
      <w:proofErr w:type="spellStart"/>
      <w:r w:rsidRPr="00AB2F49">
        <w:rPr>
          <w:b w:val="0"/>
        </w:rPr>
        <w:t>isoagglutinins</w:t>
      </w:r>
      <w:proofErr w:type="spellEnd"/>
      <w:r w:rsidRPr="00AB2F49">
        <w:rPr>
          <w:b w:val="0"/>
        </w:rPr>
        <w:t xml:space="preserve"> with Tn and T antigens was explained by the authors through the phenotype-specific terminal moieties; the terminal N-</w:t>
      </w:r>
      <w:proofErr w:type="spellStart"/>
      <w:r w:rsidRPr="00AB2F49">
        <w:rPr>
          <w:b w:val="0"/>
        </w:rPr>
        <w:t>acetylgalactosamine</w:t>
      </w:r>
      <w:proofErr w:type="spellEnd"/>
      <w:r w:rsidRPr="00AB2F49">
        <w:rPr>
          <w:b w:val="0"/>
        </w:rPr>
        <w:t xml:space="preserve"> is shared by A and Tn antigens, and the terminal galactose is, although with a different configuration, shared by B and T antigens. This figure was constructed by Arend (2017) and cited in Arend (2018b; 2018a). </w:t>
      </w:r>
    </w:p>
    <w:p w14:paraId="7C8CAB69" w14:textId="77777777" w:rsidR="00AB2F49" w:rsidRPr="00AB2F49" w:rsidRDefault="00AB2F49" w:rsidP="007A0762">
      <w:pPr>
        <w:spacing w:after="0" w:line="360" w:lineRule="auto"/>
        <w:ind w:left="1208" w:firstLine="0"/>
      </w:pPr>
      <w:r w:rsidRPr="00AB2F49">
        <w:t xml:space="preserve"> </w:t>
      </w:r>
    </w:p>
    <w:p w14:paraId="0245613D" w14:textId="77777777" w:rsidR="001A4D46" w:rsidRDefault="001A4D46" w:rsidP="007A0762">
      <w:pPr>
        <w:spacing w:after="0" w:line="259" w:lineRule="auto"/>
        <w:ind w:left="0" w:firstLine="0"/>
        <w:jc w:val="left"/>
        <w:sectPr w:rsidR="001A4D46" w:rsidSect="001A4D46">
          <w:pgSz w:w="12240" w:h="15840"/>
          <w:pgMar w:top="1429" w:right="1412" w:bottom="1474" w:left="567" w:header="714" w:footer="720" w:gutter="0"/>
          <w:cols w:space="720"/>
        </w:sectPr>
      </w:pPr>
    </w:p>
    <w:p w14:paraId="0E073657" w14:textId="7F3BAB2C" w:rsidR="00F149F4" w:rsidRPr="003B3E52" w:rsidRDefault="0008288D" w:rsidP="00E24E58">
      <w:pPr>
        <w:spacing w:after="0" w:line="360" w:lineRule="auto"/>
        <w:ind w:left="0" w:firstLine="0"/>
        <w:jc w:val="left"/>
        <w:rPr>
          <w:b/>
        </w:rPr>
      </w:pPr>
      <w:r w:rsidRPr="003B3E52">
        <w:rPr>
          <w:b/>
        </w:rPr>
        <w:lastRenderedPageBreak/>
        <w:t xml:space="preserve">References </w:t>
      </w:r>
    </w:p>
    <w:p w14:paraId="45BC54A3" w14:textId="77777777" w:rsidR="00F149F4" w:rsidRDefault="0008288D" w:rsidP="00E24E58">
      <w:pPr>
        <w:spacing w:after="0" w:line="360" w:lineRule="auto"/>
        <w:ind w:left="-5"/>
        <w:jc w:val="left"/>
      </w:pPr>
      <w:r>
        <w:t xml:space="preserve">Andersen, K.G., </w:t>
      </w:r>
      <w:proofErr w:type="spellStart"/>
      <w:r>
        <w:t>Rambaut</w:t>
      </w:r>
      <w:proofErr w:type="spellEnd"/>
      <w:r>
        <w:t xml:space="preserve">, A., Lipkin, W.I., et al., 2020. The proximal origin of </w:t>
      </w:r>
    </w:p>
    <w:p w14:paraId="3C3ACC29" w14:textId="77777777" w:rsidR="00832D96" w:rsidRDefault="0008288D" w:rsidP="00082320">
      <w:pPr>
        <w:spacing w:after="0" w:line="360" w:lineRule="auto"/>
        <w:ind w:left="-5"/>
        <w:jc w:val="left"/>
      </w:pPr>
      <w:r>
        <w:t xml:space="preserve">SARS-CoV-2. Nat. Med. 26, 450–452. https://doi.org/10.1038/s41591-020-0820-9. </w:t>
      </w:r>
    </w:p>
    <w:p w14:paraId="6507D16C" w14:textId="3DC11388" w:rsidR="00F149F4" w:rsidRDefault="0008288D" w:rsidP="00832D96">
      <w:pPr>
        <w:spacing w:after="0" w:line="360" w:lineRule="auto"/>
        <w:ind w:left="0" w:firstLine="0"/>
        <w:jc w:val="left"/>
      </w:pPr>
      <w:r w:rsidRPr="00327ACD">
        <w:t xml:space="preserve">Aoki, S., Li, J., </w:t>
      </w:r>
      <w:proofErr w:type="spellStart"/>
      <w:r w:rsidRPr="00327ACD">
        <w:t>Itagaki</w:t>
      </w:r>
      <w:proofErr w:type="spellEnd"/>
      <w:r w:rsidRPr="00327ACD">
        <w:t xml:space="preserve">, S., et al., 2002. </w:t>
      </w:r>
      <w:r>
        <w:t xml:space="preserve">Serine repeat antigen (SERA5) is predominantly expressed among the SERA multigene family of Plasmodium falciparum, and the acquired antibody titers correlate with serum inhibition of the parasite growth. J. Biol. Chem. 277 (49), 47533–47540. </w:t>
      </w:r>
      <w:hyperlink r:id="rId20">
        <w:r>
          <w:t>https://doi.org/10.1074/jbc.m207145200</w:t>
        </w:r>
      </w:hyperlink>
      <w:hyperlink r:id="rId21">
        <w:r>
          <w:t>.</w:t>
        </w:r>
      </w:hyperlink>
      <w:r>
        <w:t xml:space="preserve"> </w:t>
      </w:r>
    </w:p>
    <w:p w14:paraId="4FB58C4A" w14:textId="77777777" w:rsidR="00832D96" w:rsidRDefault="00832D96" w:rsidP="00832D96">
      <w:pPr>
        <w:widowControl w:val="0"/>
        <w:autoSpaceDE w:val="0"/>
        <w:autoSpaceDN w:val="0"/>
        <w:adjustRightInd w:val="0"/>
        <w:spacing w:after="0" w:line="360" w:lineRule="auto"/>
        <w:ind w:left="0" w:firstLine="0"/>
        <w:jc w:val="left"/>
        <w:rPr>
          <w:rFonts w:eastAsiaTheme="minorHAnsi"/>
          <w:noProof/>
          <w:color w:val="auto"/>
          <w:szCs w:val="28"/>
        </w:rPr>
      </w:pPr>
      <w:r w:rsidRPr="00832D96">
        <w:rPr>
          <w:rFonts w:eastAsiaTheme="minorHAnsi"/>
          <w:bCs/>
          <w:noProof/>
          <w:color w:val="auto"/>
          <w:szCs w:val="28"/>
        </w:rPr>
        <w:t>Aoki T</w:t>
      </w:r>
      <w:r w:rsidRPr="00832D96">
        <w:rPr>
          <w:rFonts w:eastAsiaTheme="minorHAnsi"/>
          <w:noProof/>
          <w:color w:val="auto"/>
          <w:szCs w:val="28"/>
        </w:rPr>
        <w:t xml:space="preserve">. A comprehensive review of our current understanding of red blood cell (RBC) glycoproteins. </w:t>
      </w:r>
      <w:r w:rsidRPr="00832D96">
        <w:rPr>
          <w:rFonts w:eastAsiaTheme="minorHAnsi"/>
          <w:i/>
          <w:iCs/>
          <w:noProof/>
          <w:color w:val="auto"/>
          <w:szCs w:val="28"/>
        </w:rPr>
        <w:t>Membranes (Basel).</w:t>
      </w:r>
      <w:r w:rsidRPr="00832D96">
        <w:rPr>
          <w:rFonts w:eastAsiaTheme="minorHAnsi"/>
          <w:noProof/>
          <w:color w:val="auto"/>
          <w:szCs w:val="28"/>
        </w:rPr>
        <w:t xml:space="preserve"> 2017.DOI: 10.3390/membranes7040056.</w:t>
      </w:r>
    </w:p>
    <w:p w14:paraId="77F9FEC3" w14:textId="2735A2DC" w:rsidR="00F149F4" w:rsidRPr="00832D96" w:rsidRDefault="0008288D" w:rsidP="00832D96">
      <w:pPr>
        <w:widowControl w:val="0"/>
        <w:autoSpaceDE w:val="0"/>
        <w:autoSpaceDN w:val="0"/>
        <w:adjustRightInd w:val="0"/>
        <w:spacing w:after="0" w:line="360" w:lineRule="auto"/>
        <w:ind w:left="0" w:firstLine="0"/>
        <w:jc w:val="left"/>
        <w:rPr>
          <w:rFonts w:eastAsiaTheme="minorHAnsi"/>
          <w:noProof/>
          <w:color w:val="auto"/>
          <w:szCs w:val="28"/>
        </w:rPr>
      </w:pPr>
      <w:proofErr w:type="spellStart"/>
      <w:r>
        <w:t>Ardito</w:t>
      </w:r>
      <w:proofErr w:type="spellEnd"/>
      <w:r>
        <w:t xml:space="preserve"> F, Giuliani M, Perrone D, Troiano G, </w:t>
      </w:r>
      <w:proofErr w:type="spellStart"/>
      <w:r>
        <w:t>Muzio</w:t>
      </w:r>
      <w:proofErr w:type="spellEnd"/>
      <w:r>
        <w:t xml:space="preserve"> L Lo. The crucial role of protein phosphorylation in cell signaling</w:t>
      </w:r>
      <w:r w:rsidR="00755748">
        <w:t xml:space="preserve"> </w:t>
      </w:r>
      <w:r>
        <w:t xml:space="preserve">and its use as targeted therapy (Review). </w:t>
      </w:r>
      <w:r>
        <w:rPr>
          <w:i/>
        </w:rPr>
        <w:t>Int J Mol Med</w:t>
      </w:r>
      <w:r>
        <w:t xml:space="preserve">. 2017. doi:10.3892/ijmm.2017.3036 </w:t>
      </w:r>
    </w:p>
    <w:p w14:paraId="4CAF7992" w14:textId="77777777" w:rsidR="00F149F4" w:rsidRDefault="0008288D" w:rsidP="00082320">
      <w:pPr>
        <w:spacing w:after="0" w:line="360" w:lineRule="auto"/>
        <w:ind w:left="-5"/>
        <w:jc w:val="left"/>
      </w:pPr>
      <w:r>
        <w:t>Arend, P., 2016. ABO (</w:t>
      </w:r>
      <w:proofErr w:type="spellStart"/>
      <w:r>
        <w:t>histo</w:t>
      </w:r>
      <w:proofErr w:type="spellEnd"/>
      <w:r>
        <w:t xml:space="preserve">) blood group phenotype development and human reproduction as they relate to ancestral IgM formation: A hypothesis. Immunobiology 221 (1), 116–127. https://doi.org/10.1016/j.imbio.2015.07.003. </w:t>
      </w:r>
    </w:p>
    <w:p w14:paraId="72F6D580" w14:textId="77777777" w:rsidR="00E51A23" w:rsidRDefault="0008288D" w:rsidP="00082320">
      <w:pPr>
        <w:spacing w:after="0" w:line="360" w:lineRule="auto"/>
        <w:ind w:left="-5"/>
        <w:jc w:val="left"/>
      </w:pPr>
      <w:r>
        <w:t xml:space="preserve">Arend, P., 2017. Early ovariectomy reveals the germline encoding of natural </w:t>
      </w:r>
      <w:proofErr w:type="spellStart"/>
      <w:r>
        <w:t>antiA</w:t>
      </w:r>
      <w:proofErr w:type="spellEnd"/>
      <w:r>
        <w:t xml:space="preserve">- and Tn-cross-reactive immunoglobulin M (IgM) arising from developmental </w:t>
      </w:r>
      <w:proofErr w:type="spellStart"/>
      <w:r>
        <w:t>OGalNAc</w:t>
      </w:r>
      <w:proofErr w:type="spellEnd"/>
      <w:r>
        <w:t xml:space="preserve"> </w:t>
      </w:r>
      <w:proofErr w:type="spellStart"/>
      <w:r>
        <w:t>glycosylations</w:t>
      </w:r>
      <w:proofErr w:type="spellEnd"/>
      <w:r>
        <w:t xml:space="preserve">. (Germline-encoded natural anti-A/Tn cross-reactive IgM). Cancer Med. 6 (7), 1601–1613. https://doi.org/10.1002/cam4.1079. </w:t>
      </w:r>
    </w:p>
    <w:p w14:paraId="62F3F3B2" w14:textId="272AD92C" w:rsidR="00E51A23" w:rsidRDefault="00E51A23" w:rsidP="00082320">
      <w:pPr>
        <w:spacing w:after="0" w:line="360" w:lineRule="auto"/>
        <w:ind w:left="-5"/>
        <w:jc w:val="left"/>
      </w:pPr>
      <w:r>
        <w:t xml:space="preserve">Arend, P., 2018a. Position of human blood group O(H) and phenotype-determining enzymes in growth and infectious disease. Ann. N. Y. Acad. Sci. 1425 (1), 5–18. </w:t>
      </w:r>
      <w:hyperlink r:id="rId22">
        <w:r>
          <w:t>https://doi.org/10.1111/nyas.13694</w:t>
        </w:r>
      </w:hyperlink>
      <w:hyperlink r:id="rId23">
        <w:r>
          <w:t xml:space="preserve"> </w:t>
        </w:r>
      </w:hyperlink>
    </w:p>
    <w:p w14:paraId="59EC9AC3" w14:textId="77777777" w:rsidR="00611EDD" w:rsidRDefault="0008288D" w:rsidP="00082320">
      <w:pPr>
        <w:spacing w:after="0" w:line="360" w:lineRule="auto"/>
        <w:jc w:val="left"/>
      </w:pPr>
      <w:r>
        <w:t>Arend, P., 2018</w:t>
      </w:r>
      <w:r w:rsidR="00E51A23">
        <w:t>b</w:t>
      </w:r>
      <w:r>
        <w:t>. ABO phenotype-protected reproduction based on human specific α1,2 L-</w:t>
      </w:r>
      <w:proofErr w:type="spellStart"/>
      <w:r>
        <w:t>fucosylation</w:t>
      </w:r>
      <w:proofErr w:type="spellEnd"/>
      <w:r>
        <w:t xml:space="preserve"> as explained by the Bombay type formation. Immunobiology 223 (11), 684–693. </w:t>
      </w:r>
      <w:hyperlink r:id="rId24">
        <w:r>
          <w:t>https://doi.org/10.1016/j.imbio.2018.07.015</w:t>
        </w:r>
      </w:hyperlink>
      <w:hyperlink r:id="rId25">
        <w:r>
          <w:t>.</w:t>
        </w:r>
      </w:hyperlink>
      <w:r>
        <w:t xml:space="preserve"> </w:t>
      </w:r>
    </w:p>
    <w:p w14:paraId="220E45C4" w14:textId="74C51252" w:rsidR="00642695" w:rsidRPr="0005572C" w:rsidRDefault="00611EDD" w:rsidP="00082320">
      <w:pPr>
        <w:spacing w:after="0" w:line="360" w:lineRule="auto"/>
        <w:jc w:val="left"/>
        <w:rPr>
          <w:color w:val="auto"/>
        </w:rPr>
      </w:pPr>
      <w:r w:rsidRPr="0005572C">
        <w:rPr>
          <w:color w:val="auto"/>
        </w:rPr>
        <w:lastRenderedPageBreak/>
        <w:t xml:space="preserve">Arend, P., 2020a. How blood group A might be a risk and blood group O be protected from coronavirus (COVID-19) infections (how the virus invades the human body via ABO(H) blood group-determining carbohydrates). </w:t>
      </w:r>
    </w:p>
    <w:p w14:paraId="475CCB73" w14:textId="7BD9BCB1" w:rsidR="0005572C" w:rsidRPr="0005572C" w:rsidRDefault="00C4513E" w:rsidP="00082320">
      <w:pPr>
        <w:spacing w:after="0" w:line="360" w:lineRule="auto"/>
        <w:jc w:val="left"/>
        <w:rPr>
          <w:color w:val="auto"/>
        </w:rPr>
      </w:pPr>
      <w:hyperlink r:id="rId26" w:tooltip="Press Ctrl/Cmd + C to copy" w:history="1">
        <w:r w:rsidR="0005572C" w:rsidRPr="0005572C">
          <w:rPr>
            <w:bCs/>
            <w:color w:val="auto"/>
            <w:shd w:val="clear" w:color="auto" w:fill="FFFFFF"/>
          </w:rPr>
          <w:t>https://doi.org/10.6084/m9.figshare.12019035.v108</w:t>
        </w:r>
      </w:hyperlink>
    </w:p>
    <w:p w14:paraId="729B8A26" w14:textId="77777777" w:rsidR="00E22A8B" w:rsidRDefault="0008288D" w:rsidP="00082320">
      <w:pPr>
        <w:spacing w:after="0" w:line="360" w:lineRule="auto"/>
        <w:ind w:left="-5"/>
        <w:jc w:val="left"/>
        <w:rPr>
          <w:lang w:val="de-DE"/>
        </w:rPr>
      </w:pPr>
      <w:r>
        <w:t>Arend, P., 2020b.</w:t>
      </w:r>
      <w:r>
        <w:rPr>
          <w:i/>
        </w:rPr>
        <w:t xml:space="preserve"> </w:t>
      </w:r>
      <w:r>
        <w:t xml:space="preserve">Malaria </w:t>
      </w:r>
      <w:proofErr w:type="spellStart"/>
      <w:r>
        <w:t>tropica</w:t>
      </w:r>
      <w:proofErr w:type="spellEnd"/>
      <w:r>
        <w:t xml:space="preserve"> evades host immunity through ABO blood group hybridization. </w:t>
      </w:r>
      <w:proofErr w:type="spellStart"/>
      <w:r>
        <w:t>figshare</w:t>
      </w:r>
      <w:proofErr w:type="spellEnd"/>
      <w:r>
        <w:t xml:space="preserve">, v120. </w:t>
      </w:r>
      <w:hyperlink r:id="rId27">
        <w:r w:rsidRPr="006C678C">
          <w:rPr>
            <w:lang w:val="de-DE"/>
          </w:rPr>
          <w:t>https://doi.org/10.6084/m9.figshare.8208689.v120</w:t>
        </w:r>
      </w:hyperlink>
      <w:hyperlink r:id="rId28">
        <w:r w:rsidRPr="006C678C">
          <w:rPr>
            <w:lang w:val="de-DE"/>
          </w:rPr>
          <w:t xml:space="preserve"> </w:t>
        </w:r>
      </w:hyperlink>
    </w:p>
    <w:p w14:paraId="183F5D7C" w14:textId="08A9BBF0" w:rsidR="00F149F4" w:rsidRPr="00076BE0" w:rsidRDefault="0008288D" w:rsidP="00082320">
      <w:pPr>
        <w:spacing w:after="0" w:line="360" w:lineRule="auto"/>
        <w:ind w:left="-5"/>
        <w:jc w:val="left"/>
        <w:rPr>
          <w:lang w:val="de-DE"/>
        </w:rPr>
      </w:pPr>
      <w:r w:rsidRPr="006C678C">
        <w:rPr>
          <w:lang w:val="de-DE"/>
        </w:rPr>
        <w:t xml:space="preserve">Arend, P., </w:t>
      </w:r>
      <w:proofErr w:type="spellStart"/>
      <w:r w:rsidRPr="006C678C">
        <w:rPr>
          <w:lang w:val="de-DE"/>
        </w:rPr>
        <w:t>Fehlhaber</w:t>
      </w:r>
      <w:proofErr w:type="spellEnd"/>
      <w:r w:rsidRPr="006C678C">
        <w:rPr>
          <w:lang w:val="de-DE"/>
        </w:rPr>
        <w:t xml:space="preserve">, G. 1969. </w:t>
      </w:r>
      <w:r>
        <w:t xml:space="preserve">Varying influence of increased enteral antigen absorption on the behavior of “natural” antibodies in O and A blood group subjects. Comparative blood group serological studies on patients with ulcerative colitis and healthy persons [Article in German]. </w:t>
      </w:r>
      <w:proofErr w:type="spellStart"/>
      <w:r w:rsidRPr="006C678C">
        <w:rPr>
          <w:lang w:val="de-DE"/>
        </w:rPr>
        <w:t>Klin</w:t>
      </w:r>
      <w:proofErr w:type="spellEnd"/>
      <w:r w:rsidRPr="006C678C">
        <w:rPr>
          <w:lang w:val="de-DE"/>
        </w:rPr>
        <w:t xml:space="preserve">. </w:t>
      </w:r>
      <w:proofErr w:type="spellStart"/>
      <w:r w:rsidRPr="006C678C">
        <w:rPr>
          <w:lang w:val="de-DE"/>
        </w:rPr>
        <w:t>Wochenschr</w:t>
      </w:r>
      <w:proofErr w:type="spellEnd"/>
      <w:r w:rsidRPr="006C678C">
        <w:rPr>
          <w:lang w:val="de-DE"/>
        </w:rPr>
        <w:t xml:space="preserve">. 47 (10), 535–541. https://doi.org/10.1007/bf01715818. </w:t>
      </w:r>
    </w:p>
    <w:p w14:paraId="51F20B3A" w14:textId="77777777" w:rsidR="00F149F4" w:rsidRPr="006C678C" w:rsidRDefault="0008288D" w:rsidP="00082320">
      <w:pPr>
        <w:spacing w:after="0" w:line="360" w:lineRule="auto"/>
        <w:ind w:left="-5"/>
        <w:jc w:val="left"/>
        <w:rPr>
          <w:lang w:val="de-DE"/>
        </w:rPr>
      </w:pPr>
      <w:r w:rsidRPr="006C678C">
        <w:rPr>
          <w:lang w:val="de-DE"/>
        </w:rPr>
        <w:t xml:space="preserve">Arend, P., </w:t>
      </w:r>
      <w:proofErr w:type="spellStart"/>
      <w:r w:rsidRPr="006C678C">
        <w:rPr>
          <w:lang w:val="de-DE"/>
        </w:rPr>
        <w:t>Nijssen</w:t>
      </w:r>
      <w:proofErr w:type="spellEnd"/>
      <w:r w:rsidRPr="006C678C">
        <w:rPr>
          <w:lang w:val="de-DE"/>
        </w:rPr>
        <w:t xml:space="preserve">, J., 1976. </w:t>
      </w:r>
      <w:r>
        <w:t xml:space="preserve">Significance of specific ovarian receptors for syngeneic naturally-occurring </w:t>
      </w:r>
      <w:proofErr w:type="spellStart"/>
      <w:r>
        <w:t>haemagglutinating</w:t>
      </w:r>
      <w:proofErr w:type="spellEnd"/>
      <w:r>
        <w:t xml:space="preserve"> anti-A antibodies. </w:t>
      </w:r>
      <w:r w:rsidRPr="006C678C">
        <w:rPr>
          <w:lang w:val="de-DE"/>
        </w:rPr>
        <w:t xml:space="preserve">J. </w:t>
      </w:r>
      <w:proofErr w:type="spellStart"/>
      <w:r w:rsidRPr="006C678C">
        <w:rPr>
          <w:lang w:val="de-DE"/>
        </w:rPr>
        <w:t>Immunogenet</w:t>
      </w:r>
      <w:proofErr w:type="spellEnd"/>
      <w:r w:rsidRPr="006C678C">
        <w:rPr>
          <w:lang w:val="de-DE"/>
        </w:rPr>
        <w:t xml:space="preserve">. 3 </w:t>
      </w:r>
    </w:p>
    <w:p w14:paraId="4DA59E37" w14:textId="77777777" w:rsidR="00F149F4" w:rsidRPr="006C678C" w:rsidRDefault="0008288D" w:rsidP="00082320">
      <w:pPr>
        <w:spacing w:after="0" w:line="360" w:lineRule="auto"/>
        <w:ind w:left="-5"/>
        <w:jc w:val="left"/>
        <w:rPr>
          <w:lang w:val="de-DE"/>
        </w:rPr>
      </w:pPr>
      <w:r w:rsidRPr="006C678C">
        <w:rPr>
          <w:lang w:val="de-DE"/>
        </w:rPr>
        <w:t xml:space="preserve">(6), 373–382. https://doi.org/10.1111/j.1744-313x.1976.tb00598.x. </w:t>
      </w:r>
    </w:p>
    <w:p w14:paraId="65B37E44" w14:textId="77777777" w:rsidR="00F149F4" w:rsidRPr="006C678C" w:rsidRDefault="0008288D" w:rsidP="00082320">
      <w:pPr>
        <w:spacing w:after="0" w:line="360" w:lineRule="auto"/>
        <w:ind w:left="-5"/>
        <w:jc w:val="left"/>
        <w:rPr>
          <w:lang w:val="de-DE"/>
        </w:rPr>
      </w:pPr>
      <w:r w:rsidRPr="006C678C">
        <w:rPr>
          <w:lang w:val="de-DE"/>
        </w:rPr>
        <w:t xml:space="preserve">Arend, P., </w:t>
      </w:r>
      <w:proofErr w:type="spellStart"/>
      <w:r w:rsidRPr="006C678C">
        <w:rPr>
          <w:lang w:val="de-DE"/>
        </w:rPr>
        <w:t>Nijssen</w:t>
      </w:r>
      <w:proofErr w:type="spellEnd"/>
      <w:r w:rsidRPr="006C678C">
        <w:rPr>
          <w:lang w:val="de-DE"/>
        </w:rPr>
        <w:t xml:space="preserve">, J., 1977a. </w:t>
      </w:r>
      <w:r>
        <w:t xml:space="preserve">Age dependent appearance of A-specific ovarian glycolipids and syngeneic “natural” anti-A hemolysin in mice. </w:t>
      </w:r>
      <w:r w:rsidRPr="006C678C">
        <w:rPr>
          <w:lang w:val="de-DE"/>
        </w:rPr>
        <w:t xml:space="preserve">Zeitschrift </w:t>
      </w:r>
      <w:proofErr w:type="spellStart"/>
      <w:r w:rsidRPr="006C678C">
        <w:rPr>
          <w:lang w:val="de-DE"/>
        </w:rPr>
        <w:t>fur</w:t>
      </w:r>
      <w:proofErr w:type="spellEnd"/>
      <w:r w:rsidRPr="006C678C">
        <w:rPr>
          <w:lang w:val="de-DE"/>
        </w:rPr>
        <w:t xml:space="preserve"> </w:t>
      </w:r>
      <w:proofErr w:type="spellStart"/>
      <w:r w:rsidRPr="006C678C">
        <w:rPr>
          <w:lang w:val="de-DE"/>
        </w:rPr>
        <w:t>Immunitatsforschung</w:t>
      </w:r>
      <w:proofErr w:type="spellEnd"/>
      <w:r w:rsidRPr="006C678C">
        <w:rPr>
          <w:lang w:val="de-DE"/>
        </w:rPr>
        <w:t xml:space="preserve">: </w:t>
      </w:r>
      <w:proofErr w:type="spellStart"/>
      <w:r w:rsidRPr="006C678C">
        <w:rPr>
          <w:lang w:val="de-DE"/>
        </w:rPr>
        <w:t>Immunobiology</w:t>
      </w:r>
      <w:proofErr w:type="spellEnd"/>
      <w:r w:rsidRPr="006C678C">
        <w:rPr>
          <w:lang w:val="de-DE"/>
        </w:rPr>
        <w:t xml:space="preserve"> 153 (1), 74–84. https://doi.org/10.1016/S0340904X(77)80028-6. </w:t>
      </w:r>
    </w:p>
    <w:p w14:paraId="31FFF230" w14:textId="77777777" w:rsidR="00F149F4" w:rsidRDefault="0008288D" w:rsidP="00082320">
      <w:pPr>
        <w:spacing w:after="0" w:line="360" w:lineRule="auto"/>
        <w:ind w:left="-5"/>
        <w:jc w:val="left"/>
      </w:pPr>
      <w:r w:rsidRPr="006C678C">
        <w:rPr>
          <w:lang w:val="de-DE"/>
        </w:rPr>
        <w:t xml:space="preserve">Arend, P., </w:t>
      </w:r>
      <w:proofErr w:type="spellStart"/>
      <w:r w:rsidRPr="006C678C">
        <w:rPr>
          <w:lang w:val="de-DE"/>
        </w:rPr>
        <w:t>Nijssen</w:t>
      </w:r>
      <w:proofErr w:type="spellEnd"/>
      <w:r w:rsidRPr="006C678C">
        <w:rPr>
          <w:lang w:val="de-DE"/>
        </w:rPr>
        <w:t xml:space="preserve">, J., 1977b. </w:t>
      </w:r>
      <w:r>
        <w:t xml:space="preserve">A-specific autoantigenic ovarian glycolipids inducing production of “natural” anti-A antibody. Nature 269 (5625), 255–257. </w:t>
      </w:r>
    </w:p>
    <w:p w14:paraId="42FADC1A" w14:textId="77777777" w:rsidR="00F149F4" w:rsidRDefault="0008288D" w:rsidP="00082320">
      <w:pPr>
        <w:spacing w:after="0" w:line="360" w:lineRule="auto"/>
        <w:ind w:left="-5"/>
        <w:jc w:val="left"/>
      </w:pPr>
      <w:r>
        <w:t xml:space="preserve">https://doi.org/10.1038/269255a0. </w:t>
      </w:r>
    </w:p>
    <w:p w14:paraId="2CDAA1EB" w14:textId="77777777" w:rsidR="00F149F4" w:rsidRDefault="0008288D" w:rsidP="00082320">
      <w:pPr>
        <w:spacing w:after="0" w:line="360" w:lineRule="auto"/>
        <w:ind w:left="-5"/>
        <w:jc w:val="left"/>
      </w:pPr>
      <w:proofErr w:type="spellStart"/>
      <w:r>
        <w:t>Arisue</w:t>
      </w:r>
      <w:proofErr w:type="spellEnd"/>
      <w:r>
        <w:t xml:space="preserve">, N., Kawai, S., Hirai, M., et al., 2011 Clues to evolution of the SERA multigene family in 18 </w:t>
      </w:r>
      <w:r>
        <w:rPr>
          <w:i/>
        </w:rPr>
        <w:t>Plasmodium</w:t>
      </w:r>
      <w:r>
        <w:t xml:space="preserve"> species. </w:t>
      </w:r>
      <w:proofErr w:type="spellStart"/>
      <w:r>
        <w:t>PLoS</w:t>
      </w:r>
      <w:proofErr w:type="spellEnd"/>
      <w:r>
        <w:t xml:space="preserve"> One 6 (3), e17775. https://dx.doi.org/10.1371%2Fjournal.pone.0017775. </w:t>
      </w:r>
    </w:p>
    <w:p w14:paraId="5A82915B" w14:textId="77777777" w:rsidR="00F149F4" w:rsidRDefault="0008288D" w:rsidP="00082320">
      <w:pPr>
        <w:spacing w:after="0" w:line="360" w:lineRule="auto"/>
        <w:ind w:left="-5"/>
        <w:jc w:val="left"/>
      </w:pPr>
      <w:proofErr w:type="spellStart"/>
      <w:r>
        <w:t>Armijos</w:t>
      </w:r>
      <w:proofErr w:type="spellEnd"/>
      <w:r>
        <w:t xml:space="preserve">-Jaramillo, V., Yeager, J., Muslin, C., et al., 2020. SARS-CoV-2, an evolutionary perspective of interaction with human ACE2 reveals undiscovered amino acids necessary for complex stability. </w:t>
      </w:r>
      <w:proofErr w:type="spellStart"/>
      <w:r>
        <w:t>Evol</w:t>
      </w:r>
      <w:proofErr w:type="spellEnd"/>
      <w:r>
        <w:t xml:space="preserve">. Appl. 00, 1–11. </w:t>
      </w:r>
    </w:p>
    <w:p w14:paraId="5E0F39DB" w14:textId="77777777" w:rsidR="00F149F4" w:rsidRDefault="0008288D" w:rsidP="00082320">
      <w:pPr>
        <w:spacing w:after="0" w:line="360" w:lineRule="auto"/>
        <w:ind w:left="-5"/>
        <w:jc w:val="left"/>
      </w:pPr>
      <w:r>
        <w:lastRenderedPageBreak/>
        <w:t xml:space="preserve">https://doi.org/10.1111/eva.12980. </w:t>
      </w:r>
    </w:p>
    <w:p w14:paraId="092B72AF" w14:textId="77777777" w:rsidR="00F149F4" w:rsidRPr="006C678C" w:rsidRDefault="0008288D" w:rsidP="00082320">
      <w:pPr>
        <w:spacing w:after="0" w:line="360" w:lineRule="auto"/>
        <w:ind w:left="-5"/>
        <w:jc w:val="left"/>
        <w:rPr>
          <w:lang w:val="de-DE"/>
        </w:rPr>
      </w:pPr>
      <w:r>
        <w:t xml:space="preserve">Armstrong, P.B., Quigley, J.P., 1999. Alpha2-macroglobulin: an evolutionarily conserved arm of the innate immune system. Dev. Comp. Immunol. </w:t>
      </w:r>
      <w:r w:rsidRPr="006C678C">
        <w:rPr>
          <w:lang w:val="de-DE"/>
        </w:rPr>
        <w:t xml:space="preserve">23 (4–5), 375– 390. </w:t>
      </w:r>
      <w:hyperlink r:id="rId29">
        <w:r w:rsidRPr="006C678C">
          <w:rPr>
            <w:lang w:val="de-DE"/>
          </w:rPr>
          <w:t>https://doi.org/10.1016/s0145</w:t>
        </w:r>
      </w:hyperlink>
      <w:hyperlink r:id="rId30">
        <w:r w:rsidRPr="006C678C">
          <w:rPr>
            <w:lang w:val="de-DE"/>
          </w:rPr>
          <w:t>-</w:t>
        </w:r>
      </w:hyperlink>
      <w:hyperlink r:id="rId31">
        <w:r w:rsidRPr="006C678C">
          <w:rPr>
            <w:lang w:val="de-DE"/>
          </w:rPr>
          <w:t>305x(99)00018</w:t>
        </w:r>
      </w:hyperlink>
      <w:hyperlink r:id="rId32">
        <w:r w:rsidRPr="006C678C">
          <w:rPr>
            <w:lang w:val="de-DE"/>
          </w:rPr>
          <w:t>-</w:t>
        </w:r>
      </w:hyperlink>
      <w:hyperlink r:id="rId33">
        <w:r w:rsidRPr="006C678C">
          <w:rPr>
            <w:lang w:val="de-DE"/>
          </w:rPr>
          <w:t>x</w:t>
        </w:r>
      </w:hyperlink>
      <w:hyperlink r:id="rId34">
        <w:r w:rsidRPr="006C678C">
          <w:rPr>
            <w:lang w:val="de-DE"/>
          </w:rPr>
          <w:t>.</w:t>
        </w:r>
      </w:hyperlink>
      <w:r w:rsidRPr="006C678C">
        <w:rPr>
          <w:lang w:val="de-DE"/>
        </w:rPr>
        <w:t xml:space="preserve">  </w:t>
      </w:r>
    </w:p>
    <w:p w14:paraId="62DB5B2B" w14:textId="77777777" w:rsidR="00F149F4" w:rsidRDefault="0008288D" w:rsidP="00082320">
      <w:pPr>
        <w:spacing w:after="0" w:line="360" w:lineRule="auto"/>
        <w:ind w:left="-5"/>
        <w:jc w:val="left"/>
      </w:pPr>
      <w:r w:rsidRPr="006C678C">
        <w:rPr>
          <w:lang w:val="de-DE"/>
        </w:rPr>
        <w:t xml:space="preserve">Bennett, E., Mandel, U., Clausen, H. et al. </w:t>
      </w:r>
      <w:r>
        <w:t xml:space="preserve">(2012) ‘Control of mucin-type </w:t>
      </w:r>
      <w:proofErr w:type="spellStart"/>
      <w:r>
        <w:t>Oglycosylation</w:t>
      </w:r>
      <w:proofErr w:type="spellEnd"/>
      <w:r>
        <w:t xml:space="preserve">: A classification of the polypeptide </w:t>
      </w:r>
      <w:proofErr w:type="spellStart"/>
      <w:r>
        <w:t>GalNAc</w:t>
      </w:r>
      <w:proofErr w:type="spellEnd"/>
      <w:r>
        <w:t xml:space="preserve">-transferase gene family.’, </w:t>
      </w:r>
      <w:r>
        <w:rPr>
          <w:i/>
        </w:rPr>
        <w:t>Glycobiology</w:t>
      </w:r>
      <w:r>
        <w:t xml:space="preserve">, 22(6), pp. 736–56. </w:t>
      </w:r>
      <w:proofErr w:type="spellStart"/>
      <w:r>
        <w:t>doi</w:t>
      </w:r>
      <w:proofErr w:type="spellEnd"/>
      <w:r>
        <w:t xml:space="preserve">: </w:t>
      </w:r>
      <w:proofErr w:type="spellStart"/>
      <w:r>
        <w:t>doi</w:t>
      </w:r>
      <w:proofErr w:type="spellEnd"/>
      <w:r>
        <w:t>: 10.1093/</w:t>
      </w:r>
      <w:proofErr w:type="spellStart"/>
      <w:r>
        <w:t>glycob</w:t>
      </w:r>
      <w:proofErr w:type="spellEnd"/>
      <w:r>
        <w:t xml:space="preserve">/cwr182.  </w:t>
      </w:r>
    </w:p>
    <w:p w14:paraId="43F8E05E" w14:textId="5B9C8ACB" w:rsidR="00504B05" w:rsidRDefault="0008288D" w:rsidP="00082320">
      <w:pPr>
        <w:spacing w:after="0" w:line="360" w:lineRule="auto"/>
        <w:ind w:left="-5"/>
        <w:jc w:val="left"/>
      </w:pPr>
      <w:proofErr w:type="spellStart"/>
      <w:r>
        <w:t>Bhende</w:t>
      </w:r>
      <w:proofErr w:type="spellEnd"/>
      <w:r>
        <w:t xml:space="preserve">, Y.M., Deshpande, C.K., Bhatia, H.M. et al., 2008. A “new” blood-group character related to the ABO system. 1952. Natl. Med. J. India 21 (5), 3. Available at: </w:t>
      </w:r>
      <w:hyperlink r:id="rId35" w:history="1">
        <w:r w:rsidR="000000A8" w:rsidRPr="00646496">
          <w:rPr>
            <w:rStyle w:val="Hyperlink"/>
          </w:rPr>
          <w:t>http://www.ncbi.nlm.nih.gov/pubmed/8005636</w:t>
        </w:r>
      </w:hyperlink>
      <w:r>
        <w:t xml:space="preserve">. </w:t>
      </w:r>
    </w:p>
    <w:p w14:paraId="2A4A6CAA" w14:textId="16166DE8" w:rsidR="00A7471B" w:rsidRPr="00A7471B" w:rsidRDefault="00A7471B" w:rsidP="00A7471B">
      <w:pPr>
        <w:spacing w:after="0" w:line="360" w:lineRule="auto"/>
        <w:ind w:left="0" w:firstLine="0"/>
        <w:jc w:val="left"/>
        <w:rPr>
          <w:rFonts w:eastAsiaTheme="minorHAnsi"/>
          <w:color w:val="auto"/>
          <w:szCs w:val="28"/>
        </w:rPr>
      </w:pPr>
      <w:proofErr w:type="spellStart"/>
      <w:r w:rsidRPr="00A7471B">
        <w:rPr>
          <w:rFonts w:eastAsiaTheme="minorHAnsi"/>
          <w:color w:val="auto"/>
          <w:szCs w:val="28"/>
          <w:lang w:val="de-DE"/>
        </w:rPr>
        <w:t>Bigbee</w:t>
      </w:r>
      <w:proofErr w:type="spellEnd"/>
      <w:r w:rsidRPr="00A7471B">
        <w:rPr>
          <w:rFonts w:eastAsiaTheme="minorHAnsi"/>
          <w:color w:val="auto"/>
          <w:szCs w:val="28"/>
          <w:lang w:val="de-DE"/>
        </w:rPr>
        <w:t xml:space="preserve"> WL, </w:t>
      </w:r>
      <w:proofErr w:type="spellStart"/>
      <w:r w:rsidRPr="00A7471B">
        <w:rPr>
          <w:rFonts w:eastAsiaTheme="minorHAnsi"/>
          <w:color w:val="auto"/>
          <w:szCs w:val="28"/>
          <w:lang w:val="de-DE"/>
        </w:rPr>
        <w:t>Langlois</w:t>
      </w:r>
      <w:proofErr w:type="spellEnd"/>
      <w:r w:rsidRPr="00A7471B">
        <w:rPr>
          <w:rFonts w:eastAsiaTheme="minorHAnsi"/>
          <w:color w:val="auto"/>
          <w:szCs w:val="28"/>
          <w:lang w:val="de-DE"/>
        </w:rPr>
        <w:t xml:space="preserve"> RG, </w:t>
      </w:r>
      <w:proofErr w:type="spellStart"/>
      <w:r w:rsidRPr="00A7471B">
        <w:rPr>
          <w:rFonts w:eastAsiaTheme="minorHAnsi"/>
          <w:color w:val="auto"/>
          <w:szCs w:val="28"/>
          <w:lang w:val="de-DE"/>
        </w:rPr>
        <w:t>Stanker</w:t>
      </w:r>
      <w:proofErr w:type="spellEnd"/>
      <w:r w:rsidRPr="00A7471B">
        <w:rPr>
          <w:rFonts w:eastAsiaTheme="minorHAnsi"/>
          <w:color w:val="auto"/>
          <w:szCs w:val="28"/>
          <w:lang w:val="de-DE"/>
        </w:rPr>
        <w:t xml:space="preserve"> LH, </w:t>
      </w:r>
      <w:proofErr w:type="spellStart"/>
      <w:r w:rsidRPr="00A7471B">
        <w:rPr>
          <w:rFonts w:eastAsiaTheme="minorHAnsi"/>
          <w:color w:val="auto"/>
          <w:szCs w:val="28"/>
          <w:lang w:val="de-DE"/>
        </w:rPr>
        <w:t>Vanderlaan</w:t>
      </w:r>
      <w:proofErr w:type="spellEnd"/>
      <w:r w:rsidRPr="00A7471B">
        <w:rPr>
          <w:rFonts w:eastAsiaTheme="minorHAnsi"/>
          <w:color w:val="auto"/>
          <w:szCs w:val="28"/>
          <w:lang w:val="de-DE"/>
        </w:rPr>
        <w:t xml:space="preserve"> M, Jensen RH. </w:t>
      </w:r>
      <w:r w:rsidRPr="00A7471B">
        <w:rPr>
          <w:rFonts w:eastAsiaTheme="minorHAnsi"/>
          <w:color w:val="auto"/>
          <w:szCs w:val="28"/>
        </w:rPr>
        <w:t xml:space="preserve">Flow cytometric analysis of erythrocyte populations in </w:t>
      </w:r>
      <w:proofErr w:type="spellStart"/>
      <w:r w:rsidRPr="00A7471B">
        <w:rPr>
          <w:rFonts w:eastAsiaTheme="minorHAnsi"/>
          <w:color w:val="auto"/>
          <w:szCs w:val="28"/>
        </w:rPr>
        <w:t>tn</w:t>
      </w:r>
      <w:proofErr w:type="spellEnd"/>
      <w:r w:rsidRPr="00A7471B">
        <w:rPr>
          <w:rFonts w:eastAsiaTheme="minorHAnsi"/>
          <w:color w:val="auto"/>
          <w:szCs w:val="28"/>
        </w:rPr>
        <w:t xml:space="preserve"> syndrome blood using monoclonal antibodies to glycophorin A and the Tn antigen. Cytometry. 1990; 11:261–271.DOI: 10.1002/cyto.990110207.</w:t>
      </w:r>
    </w:p>
    <w:p w14:paraId="17F318F4" w14:textId="5458F328" w:rsidR="000000A8" w:rsidRPr="000000A8" w:rsidRDefault="000000A8" w:rsidP="00A7471B">
      <w:pPr>
        <w:widowControl w:val="0"/>
        <w:autoSpaceDE w:val="0"/>
        <w:autoSpaceDN w:val="0"/>
        <w:adjustRightInd w:val="0"/>
        <w:spacing w:after="0" w:line="360" w:lineRule="auto"/>
        <w:ind w:left="0" w:firstLine="0"/>
        <w:jc w:val="left"/>
        <w:rPr>
          <w:rFonts w:eastAsiaTheme="minorHAnsi"/>
          <w:noProof/>
          <w:color w:val="auto"/>
          <w:szCs w:val="28"/>
        </w:rPr>
      </w:pPr>
      <w:r w:rsidRPr="000000A8">
        <w:rPr>
          <w:rFonts w:eastAsiaTheme="minorHAnsi"/>
          <w:color w:val="auto"/>
          <w:szCs w:val="28"/>
        </w:rPr>
        <w:fldChar w:fldCharType="begin" w:fldLock="1"/>
      </w:r>
      <w:r w:rsidRPr="000000A8">
        <w:rPr>
          <w:rFonts w:eastAsiaTheme="minorHAnsi"/>
          <w:color w:val="auto"/>
          <w:szCs w:val="28"/>
        </w:rPr>
        <w:instrText xml:space="preserve">ADDIN Mendeley Bibliography CSL_BIBLIOGRAPHY </w:instrText>
      </w:r>
      <w:r w:rsidRPr="000000A8">
        <w:rPr>
          <w:rFonts w:eastAsiaTheme="minorHAnsi"/>
          <w:color w:val="auto"/>
          <w:szCs w:val="28"/>
        </w:rPr>
        <w:fldChar w:fldCharType="separate"/>
      </w:r>
      <w:r w:rsidRPr="000000A8">
        <w:rPr>
          <w:rFonts w:eastAsiaTheme="minorHAnsi"/>
          <w:bCs/>
          <w:noProof/>
          <w:color w:val="auto"/>
          <w:szCs w:val="28"/>
        </w:rPr>
        <w:t>Blixt, K., Lavrova, O., Mazurov, D. Cló , E., Stjepan, K. Bovin, N. &amp; Filatov A</w:t>
      </w:r>
      <w:r w:rsidRPr="000000A8">
        <w:rPr>
          <w:rFonts w:eastAsiaTheme="minorHAnsi"/>
          <w:noProof/>
          <w:color w:val="auto"/>
          <w:szCs w:val="28"/>
        </w:rPr>
        <w:t xml:space="preserve">. Analysis of Tn antigenicity with a panel of new IgM and IgG1 monoclonal antibodies raised against leukemic cells. </w:t>
      </w:r>
      <w:r w:rsidRPr="000000A8">
        <w:rPr>
          <w:rFonts w:eastAsiaTheme="minorHAnsi"/>
          <w:i/>
          <w:iCs/>
          <w:noProof/>
          <w:color w:val="auto"/>
          <w:szCs w:val="28"/>
        </w:rPr>
        <w:t>Glycobiology</w:t>
      </w:r>
      <w:r w:rsidRPr="000000A8">
        <w:rPr>
          <w:rFonts w:eastAsiaTheme="minorHAnsi"/>
          <w:noProof/>
          <w:color w:val="auto"/>
          <w:szCs w:val="28"/>
        </w:rPr>
        <w:t xml:space="preserve">. 2012; </w:t>
      </w:r>
      <w:r w:rsidRPr="000000A8">
        <w:rPr>
          <w:rFonts w:eastAsiaTheme="minorHAnsi"/>
          <w:bCs/>
          <w:noProof/>
          <w:color w:val="auto"/>
          <w:szCs w:val="28"/>
        </w:rPr>
        <w:t>22</w:t>
      </w:r>
      <w:r w:rsidRPr="000000A8">
        <w:rPr>
          <w:rFonts w:eastAsiaTheme="minorHAnsi"/>
          <w:noProof/>
          <w:color w:val="auto"/>
          <w:szCs w:val="28"/>
        </w:rPr>
        <w:t>:529–42.DOI: doi: 10.1093/glycob/cwr178.</w:t>
      </w:r>
    </w:p>
    <w:p w14:paraId="69193244" w14:textId="2AB5AB8C" w:rsidR="00504B05" w:rsidRPr="00504B05" w:rsidRDefault="000000A8" w:rsidP="00A7471B">
      <w:pPr>
        <w:spacing w:after="0" w:line="360" w:lineRule="auto"/>
        <w:ind w:left="0" w:firstLine="0"/>
        <w:jc w:val="left"/>
      </w:pPr>
      <w:r w:rsidRPr="000000A8">
        <w:rPr>
          <w:rFonts w:eastAsiaTheme="minorHAnsi"/>
          <w:color w:val="auto"/>
          <w:szCs w:val="28"/>
        </w:rPr>
        <w:fldChar w:fldCharType="end"/>
      </w:r>
      <w:r w:rsidR="00504B05" w:rsidRPr="00504B05">
        <w:rPr>
          <w:rFonts w:eastAsiaTheme="minorHAnsi"/>
          <w:color w:val="auto"/>
          <w:szCs w:val="28"/>
        </w:rPr>
        <w:fldChar w:fldCharType="begin" w:fldLock="1"/>
      </w:r>
      <w:r w:rsidR="00504B05" w:rsidRPr="00504B05">
        <w:rPr>
          <w:rFonts w:eastAsiaTheme="minorHAnsi"/>
          <w:color w:val="auto"/>
          <w:szCs w:val="28"/>
        </w:rPr>
        <w:instrText xml:space="preserve">ADDIN Mendeley Bibliography CSL_BIBLIOGRAPHY </w:instrText>
      </w:r>
      <w:r w:rsidR="00504B05" w:rsidRPr="00504B05">
        <w:rPr>
          <w:rFonts w:eastAsiaTheme="minorHAnsi"/>
          <w:color w:val="auto"/>
          <w:szCs w:val="28"/>
        </w:rPr>
        <w:fldChar w:fldCharType="separate"/>
      </w:r>
      <w:r w:rsidR="00504B05" w:rsidRPr="00504B05">
        <w:rPr>
          <w:rFonts w:eastAsiaTheme="minorHAnsi"/>
          <w:bCs/>
          <w:noProof/>
          <w:color w:val="auto"/>
          <w:szCs w:val="24"/>
        </w:rPr>
        <w:t>Bongiovanni</w:t>
      </w:r>
      <w:r w:rsidR="00504B05" w:rsidRPr="00504B05">
        <w:rPr>
          <w:rFonts w:eastAsiaTheme="minorHAnsi"/>
          <w:b/>
          <w:bCs/>
          <w:noProof/>
          <w:color w:val="auto"/>
          <w:szCs w:val="24"/>
        </w:rPr>
        <w:t xml:space="preserve"> </w:t>
      </w:r>
      <w:r w:rsidR="00504B05" w:rsidRPr="00504B05">
        <w:rPr>
          <w:rFonts w:eastAsiaTheme="minorHAnsi"/>
          <w:bCs/>
          <w:noProof/>
          <w:color w:val="auto"/>
          <w:szCs w:val="24"/>
        </w:rPr>
        <w:t xml:space="preserve">D, Klug M, Lazareva O, Weidlich S, Biasi M, Ursu S, Warth S, </w:t>
      </w:r>
      <w:r w:rsidR="00504B05" w:rsidRPr="00504B05">
        <w:rPr>
          <w:rFonts w:eastAsiaTheme="minorHAnsi"/>
          <w:bCs/>
          <w:i/>
          <w:iCs/>
          <w:noProof/>
          <w:color w:val="auto"/>
          <w:szCs w:val="24"/>
        </w:rPr>
        <w:t>et al.</w:t>
      </w:r>
      <w:r w:rsidR="00504B05" w:rsidRPr="00504B05">
        <w:rPr>
          <w:rFonts w:eastAsiaTheme="minorHAnsi"/>
          <w:noProof/>
          <w:color w:val="auto"/>
          <w:szCs w:val="24"/>
        </w:rPr>
        <w:t xml:space="preserve"> SARS-CoV-2 infection is associated with a pro-thrombotic platelet phenotype. </w:t>
      </w:r>
      <w:r w:rsidR="00504B05" w:rsidRPr="00504B05">
        <w:rPr>
          <w:rFonts w:eastAsiaTheme="minorHAnsi"/>
          <w:i/>
          <w:iCs/>
          <w:noProof/>
          <w:color w:val="auto"/>
          <w:szCs w:val="24"/>
        </w:rPr>
        <w:t>Cell Death Dis.</w:t>
      </w:r>
      <w:r w:rsidR="00504B05" w:rsidRPr="00504B05">
        <w:rPr>
          <w:rFonts w:eastAsiaTheme="minorHAnsi"/>
          <w:noProof/>
          <w:color w:val="auto"/>
          <w:szCs w:val="24"/>
        </w:rPr>
        <w:t xml:space="preserve"> 2021; </w:t>
      </w:r>
      <w:r w:rsidR="00504B05" w:rsidRPr="00504B05">
        <w:rPr>
          <w:rFonts w:eastAsiaTheme="minorHAnsi"/>
          <w:b/>
          <w:bCs/>
          <w:noProof/>
          <w:color w:val="auto"/>
          <w:szCs w:val="24"/>
        </w:rPr>
        <w:t>12</w:t>
      </w:r>
      <w:r w:rsidR="00504B05" w:rsidRPr="00504B05">
        <w:rPr>
          <w:rFonts w:eastAsiaTheme="minorHAnsi"/>
          <w:noProof/>
          <w:color w:val="auto"/>
          <w:szCs w:val="24"/>
        </w:rPr>
        <w:t>:1–10. Available at: https://doi.org/10.1038/s41419-020-03333-9 [Accessed February 23, 2021].DOI: 10.1038/s41419-020-03333-9.</w:t>
      </w:r>
    </w:p>
    <w:p w14:paraId="48243F11" w14:textId="3DC444E6" w:rsidR="00F149F4" w:rsidRPr="00504B05" w:rsidRDefault="00504B05" w:rsidP="00082320">
      <w:pPr>
        <w:spacing w:after="0" w:line="360" w:lineRule="auto"/>
        <w:ind w:left="0" w:firstLine="0"/>
        <w:jc w:val="left"/>
        <w:rPr>
          <w:lang w:val="de-DE"/>
        </w:rPr>
      </w:pPr>
      <w:r w:rsidRPr="00504B05">
        <w:rPr>
          <w:rFonts w:eastAsiaTheme="minorHAnsi"/>
          <w:color w:val="auto"/>
          <w:szCs w:val="28"/>
        </w:rPr>
        <w:fldChar w:fldCharType="end"/>
      </w:r>
      <w:proofErr w:type="spellStart"/>
      <w:r w:rsidR="0008288D" w:rsidRPr="006C678C">
        <w:rPr>
          <w:lang w:val="de-DE"/>
        </w:rPr>
        <w:t>Brockhausen</w:t>
      </w:r>
      <w:proofErr w:type="spellEnd"/>
      <w:r w:rsidR="0008288D" w:rsidRPr="006C678C">
        <w:rPr>
          <w:lang w:val="de-DE"/>
        </w:rPr>
        <w:t xml:space="preserve">, I., Schachter, H. &amp; Stanley P in </w:t>
      </w:r>
      <w:proofErr w:type="spellStart"/>
      <w:r w:rsidR="0008288D" w:rsidRPr="006C678C">
        <w:rPr>
          <w:lang w:val="de-DE"/>
        </w:rPr>
        <w:t>Varki</w:t>
      </w:r>
      <w:proofErr w:type="spellEnd"/>
      <w:r w:rsidR="0008288D" w:rsidRPr="006C678C">
        <w:rPr>
          <w:lang w:val="de-DE"/>
        </w:rPr>
        <w:t xml:space="preserve">, A. (2009) ‘Essentials </w:t>
      </w:r>
      <w:proofErr w:type="spellStart"/>
      <w:r w:rsidR="0008288D" w:rsidRPr="006C678C">
        <w:rPr>
          <w:lang w:val="de-DE"/>
        </w:rPr>
        <w:t>of</w:t>
      </w:r>
      <w:proofErr w:type="spellEnd"/>
      <w:r w:rsidR="0008288D" w:rsidRPr="006C678C">
        <w:rPr>
          <w:lang w:val="de-DE"/>
        </w:rPr>
        <w:t xml:space="preserve"> </w:t>
      </w:r>
    </w:p>
    <w:p w14:paraId="31945202" w14:textId="77777777" w:rsidR="00F149F4" w:rsidRDefault="0008288D" w:rsidP="00082320">
      <w:pPr>
        <w:spacing w:after="0" w:line="360" w:lineRule="auto"/>
        <w:ind w:left="-5"/>
        <w:jc w:val="left"/>
      </w:pPr>
      <w:r>
        <w:t xml:space="preserve">Glycobiology. 2nd. Edition. Cold Spring Harbor (NY): Cold Spring Harbor </w:t>
      </w:r>
    </w:p>
    <w:p w14:paraId="221AE09C" w14:textId="77777777" w:rsidR="00F149F4" w:rsidRDefault="0008288D" w:rsidP="00082320">
      <w:pPr>
        <w:spacing w:after="0" w:line="360" w:lineRule="auto"/>
        <w:ind w:left="-5"/>
        <w:jc w:val="left"/>
      </w:pPr>
      <w:r>
        <w:t>Laboratory Press; 2009, Varki, A. Ed. et al. Chapter 9, O-</w:t>
      </w:r>
      <w:proofErr w:type="spellStart"/>
      <w:r>
        <w:t>GalNAc</w:t>
      </w:r>
      <w:proofErr w:type="spellEnd"/>
      <w:r>
        <w:t xml:space="preserve"> Glycans’, in </w:t>
      </w:r>
      <w:proofErr w:type="spellStart"/>
      <w:r>
        <w:t>Ajit</w:t>
      </w:r>
      <w:proofErr w:type="spellEnd"/>
      <w:r>
        <w:t xml:space="preserve"> </w:t>
      </w:r>
    </w:p>
    <w:p w14:paraId="7C2777E4" w14:textId="77777777" w:rsidR="00F149F4" w:rsidRDefault="0008288D" w:rsidP="00082320">
      <w:pPr>
        <w:spacing w:after="0" w:line="360" w:lineRule="auto"/>
        <w:ind w:left="-5"/>
        <w:jc w:val="left"/>
      </w:pPr>
      <w:r>
        <w:t xml:space="preserve">Varki, Richard D Cummings, Jeffrey D Esko, Hudson H Freeze, Pamela Stanley, </w:t>
      </w:r>
    </w:p>
    <w:p w14:paraId="112F6103" w14:textId="77777777" w:rsidR="00F149F4" w:rsidRDefault="0008288D" w:rsidP="00082320">
      <w:pPr>
        <w:spacing w:after="0" w:line="360" w:lineRule="auto"/>
        <w:ind w:left="-5"/>
        <w:jc w:val="left"/>
      </w:pPr>
      <w:r>
        <w:lastRenderedPageBreak/>
        <w:t xml:space="preserve">Carolyn R </w:t>
      </w:r>
      <w:proofErr w:type="spellStart"/>
      <w:r>
        <w:t>Bertozzi</w:t>
      </w:r>
      <w:proofErr w:type="spellEnd"/>
      <w:r>
        <w:t xml:space="preserve">, Gerald W Hart,  and M. E. E. (ed.). Cold Spring Harbor Laboratory Press. </w:t>
      </w:r>
    </w:p>
    <w:p w14:paraId="61A97B3E" w14:textId="77777777" w:rsidR="00F149F4" w:rsidRDefault="0008288D" w:rsidP="00082320">
      <w:pPr>
        <w:spacing w:after="0" w:line="360" w:lineRule="auto"/>
        <w:ind w:left="-5"/>
        <w:jc w:val="left"/>
      </w:pPr>
      <w:proofErr w:type="spellStart"/>
      <w:r>
        <w:t>Bzik</w:t>
      </w:r>
      <w:proofErr w:type="spellEnd"/>
      <w:r>
        <w:t xml:space="preserve">, D.J., Li, W.B., Horii, T., et al., 1988. Amino acid sequence of the serine-repeat antigen (SERA) of Plasmodium falciparum determined from cloned cDNA. </w:t>
      </w:r>
    </w:p>
    <w:p w14:paraId="3DE9DA7B" w14:textId="77777777" w:rsidR="00F149F4" w:rsidRDefault="0008288D" w:rsidP="00082320">
      <w:pPr>
        <w:spacing w:after="0" w:line="360" w:lineRule="auto"/>
        <w:ind w:left="-5"/>
        <w:jc w:val="left"/>
      </w:pPr>
      <w:r>
        <w:t xml:space="preserve">Mol. </w:t>
      </w:r>
      <w:proofErr w:type="spellStart"/>
      <w:r>
        <w:t>Biochem</w:t>
      </w:r>
      <w:proofErr w:type="spellEnd"/>
      <w:r>
        <w:t xml:space="preserve">. </w:t>
      </w:r>
      <w:proofErr w:type="spellStart"/>
      <w:r>
        <w:t>Parasitol</w:t>
      </w:r>
      <w:proofErr w:type="spellEnd"/>
      <w:r>
        <w:t xml:space="preserve">. 30 (3), 279–288. https://doi.org/10.1016/01666851(88)90097-7. </w:t>
      </w:r>
    </w:p>
    <w:p w14:paraId="02FB7583" w14:textId="226C6BC9" w:rsidR="00F149F4" w:rsidRDefault="0008288D" w:rsidP="00082320">
      <w:pPr>
        <w:spacing w:after="0" w:line="360" w:lineRule="auto"/>
        <w:ind w:left="-5"/>
        <w:jc w:val="left"/>
      </w:pPr>
      <w:r>
        <w:t xml:space="preserve">Chowdhury, F.R., Nur, Z., Hassan, N., et al., 2017. Pandemics, pathogenicity and changing molecular epidemiology of cholera in the era of global warming. Ann. Clin. Microbiol. </w:t>
      </w:r>
      <w:proofErr w:type="spellStart"/>
      <w:r>
        <w:t>Antimicrob</w:t>
      </w:r>
      <w:proofErr w:type="spellEnd"/>
      <w:r>
        <w:t xml:space="preserve">. 16 (1), 10. https://doi.org/10.1186/s12941-017-011. </w:t>
      </w:r>
    </w:p>
    <w:p w14:paraId="03D7C7AF" w14:textId="77777777" w:rsidR="00F149F4" w:rsidRDefault="00C4513E" w:rsidP="00082320">
      <w:pPr>
        <w:spacing w:after="0" w:line="360" w:lineRule="auto"/>
        <w:ind w:left="-5"/>
        <w:jc w:val="left"/>
      </w:pPr>
      <w:hyperlink r:id="rId36">
        <w:proofErr w:type="spellStart"/>
        <w:r w:rsidR="0008288D">
          <w:t>C</w:t>
        </w:r>
      </w:hyperlink>
      <w:hyperlink r:id="rId37">
        <w:r w:rsidR="0008288D">
          <w:rPr>
            <w:u w:val="single" w:color="000000"/>
          </w:rPr>
          <w:t>í</w:t>
        </w:r>
      </w:hyperlink>
      <w:hyperlink r:id="rId38">
        <w:r w:rsidR="0008288D">
          <w:t>d</w:t>
        </w:r>
      </w:hyperlink>
      <w:r w:rsidR="0008288D">
        <w:t>l</w:t>
      </w:r>
      <w:proofErr w:type="spellEnd"/>
      <w:r w:rsidR="0008288D">
        <w:t xml:space="preserve">, K., </w:t>
      </w:r>
      <w:hyperlink r:id="rId39">
        <w:proofErr w:type="spellStart"/>
        <w:r w:rsidR="0008288D">
          <w:t>Strelcová</w:t>
        </w:r>
        <w:proofErr w:type="spellEnd"/>
        <w:r w:rsidR="0008288D">
          <w:t>,</w:t>
        </w:r>
      </w:hyperlink>
      <w:r w:rsidR="0008288D">
        <w:t xml:space="preserve"> L., </w:t>
      </w:r>
      <w:hyperlink r:id="rId40">
        <w:proofErr w:type="spellStart"/>
        <w:r w:rsidR="0008288D">
          <w:t>Znojil</w:t>
        </w:r>
        <w:proofErr w:type="spellEnd"/>
        <w:r w:rsidR="0008288D">
          <w:t>,</w:t>
        </w:r>
      </w:hyperlink>
      <w:r w:rsidR="0008288D">
        <w:t xml:space="preserve"> V., et al., 1996. Angiotensin I-converting enzyme </w:t>
      </w:r>
    </w:p>
    <w:p w14:paraId="081434AF" w14:textId="77777777" w:rsidR="00F149F4" w:rsidRDefault="0008288D" w:rsidP="00082320">
      <w:pPr>
        <w:spacing w:after="0" w:line="360" w:lineRule="auto"/>
        <w:ind w:left="-5"/>
        <w:jc w:val="left"/>
      </w:pPr>
      <w:r>
        <w:t xml:space="preserve">(ACE) polymorphism and ABO blood groups as factors codetermining plasma ACE activity. Exp. </w:t>
      </w:r>
      <w:proofErr w:type="spellStart"/>
      <w:r>
        <w:t>Hematol</w:t>
      </w:r>
      <w:proofErr w:type="spellEnd"/>
      <w:r>
        <w:t xml:space="preserve">. 24 (7), 790–794. </w:t>
      </w:r>
    </w:p>
    <w:p w14:paraId="0A35D936" w14:textId="77777777" w:rsidR="00F149F4" w:rsidRDefault="0008288D" w:rsidP="00082320">
      <w:pPr>
        <w:spacing w:after="0" w:line="360" w:lineRule="auto"/>
        <w:ind w:left="-5"/>
        <w:jc w:val="left"/>
      </w:pPr>
      <w:proofErr w:type="spellStart"/>
      <w:r>
        <w:t>Cserti</w:t>
      </w:r>
      <w:proofErr w:type="spellEnd"/>
      <w:r>
        <w:t xml:space="preserve">, C. M. and Dzik, W. H. (2007) ‘The ABO blood group system and </w:t>
      </w:r>
    </w:p>
    <w:p w14:paraId="4EDAA750" w14:textId="77777777" w:rsidR="00F149F4" w:rsidRDefault="0008288D" w:rsidP="00082320">
      <w:pPr>
        <w:spacing w:after="0" w:line="360" w:lineRule="auto"/>
        <w:ind w:left="-5"/>
        <w:jc w:val="left"/>
      </w:pPr>
      <w:r>
        <w:t xml:space="preserve">Plasmodium falciparum malaria’, </w:t>
      </w:r>
      <w:r>
        <w:rPr>
          <w:i/>
        </w:rPr>
        <w:t>Blood</w:t>
      </w:r>
      <w:r>
        <w:t xml:space="preserve">, pp. 2250–2258. </w:t>
      </w:r>
      <w:proofErr w:type="spellStart"/>
      <w:r>
        <w:t>doi</w:t>
      </w:r>
      <w:proofErr w:type="spellEnd"/>
      <w:r>
        <w:t xml:space="preserve">: 10.1182/blood-200703-077602. </w:t>
      </w:r>
    </w:p>
    <w:p w14:paraId="355191EE" w14:textId="51CF212B" w:rsidR="00F149F4" w:rsidRDefault="0008288D" w:rsidP="00082320">
      <w:pPr>
        <w:spacing w:after="0" w:line="360" w:lineRule="auto"/>
        <w:ind w:left="-5"/>
        <w:jc w:val="left"/>
      </w:pPr>
      <w:proofErr w:type="spellStart"/>
      <w:r>
        <w:t>Cserti-Gazdewich</w:t>
      </w:r>
      <w:proofErr w:type="spellEnd"/>
      <w:r>
        <w:t xml:space="preserve">, C. M. (2010) ‘Plasmodium falciparum malaria and carbohydrate blood group evolution’, </w:t>
      </w:r>
      <w:r>
        <w:rPr>
          <w:i/>
        </w:rPr>
        <w:t>ISBT Science Series</w:t>
      </w:r>
      <w:r>
        <w:t xml:space="preserve">. </w:t>
      </w:r>
      <w:proofErr w:type="spellStart"/>
      <w:r>
        <w:t>doi</w:t>
      </w:r>
      <w:proofErr w:type="spellEnd"/>
      <w:r>
        <w:t xml:space="preserve">: 10.1111/j.17512824.2010.01380.x. </w:t>
      </w:r>
    </w:p>
    <w:p w14:paraId="16EBE591" w14:textId="51B0C252" w:rsidR="00327ACD" w:rsidRPr="006662DE" w:rsidRDefault="00327ACD" w:rsidP="00327ACD">
      <w:pPr>
        <w:spacing w:after="0" w:line="360" w:lineRule="auto"/>
        <w:ind w:left="0" w:firstLine="0"/>
        <w:jc w:val="left"/>
        <w:rPr>
          <w:lang w:val="de-DE"/>
        </w:rPr>
      </w:pPr>
      <w:r>
        <w:t xml:space="preserve">de Macedo CS, Schwarz RT, Todeschini AR, </w:t>
      </w:r>
      <w:proofErr w:type="spellStart"/>
      <w:r>
        <w:t>Previato</w:t>
      </w:r>
      <w:proofErr w:type="spellEnd"/>
      <w:r>
        <w:t xml:space="preserve"> JO, </w:t>
      </w:r>
      <w:proofErr w:type="spellStart"/>
      <w:r>
        <w:t>Mendonça-Previato</w:t>
      </w:r>
      <w:proofErr w:type="spellEnd"/>
      <w:r>
        <w:t xml:space="preserve"> L. 604 Overlooked post-translational modifications of proteins in Plasmodium falciparum: N- and O605 glycosylation - A review. </w:t>
      </w:r>
      <w:r w:rsidRPr="006662DE">
        <w:rPr>
          <w:lang w:val="de-DE"/>
        </w:rPr>
        <w:t xml:space="preserve">Mem. </w:t>
      </w:r>
      <w:proofErr w:type="spellStart"/>
      <w:r w:rsidRPr="006662DE">
        <w:rPr>
          <w:lang w:val="de-DE"/>
        </w:rPr>
        <w:t>Inst</w:t>
      </w:r>
      <w:proofErr w:type="spellEnd"/>
      <w:r w:rsidRPr="006662DE">
        <w:rPr>
          <w:lang w:val="de-DE"/>
        </w:rPr>
        <w:t>. Oswaldo Cruz. 2010; 105:949–956.</w:t>
      </w:r>
      <w:r w:rsidR="00601CBE" w:rsidRPr="006662DE">
        <w:rPr>
          <w:lang w:val="de-DE"/>
        </w:rPr>
        <w:t xml:space="preserve"> </w:t>
      </w:r>
      <w:r w:rsidRPr="006662DE">
        <w:rPr>
          <w:lang w:val="de-DE"/>
        </w:rPr>
        <w:t>DOI: 10.1590/S0074- 606 02762010000800001.</w:t>
      </w:r>
    </w:p>
    <w:p w14:paraId="155814E8" w14:textId="77777777" w:rsidR="00F149F4" w:rsidRPr="006C678C" w:rsidRDefault="0008288D" w:rsidP="00327ACD">
      <w:pPr>
        <w:spacing w:after="0" w:line="360" w:lineRule="auto"/>
        <w:ind w:left="0" w:firstLine="0"/>
        <w:jc w:val="left"/>
        <w:rPr>
          <w:lang w:val="de-DE"/>
        </w:rPr>
      </w:pPr>
      <w:r w:rsidRPr="006C678C">
        <w:rPr>
          <w:lang w:val="de-DE"/>
        </w:rPr>
        <w:t xml:space="preserve">Dieckmann-Schuppert, A., Bause, E., Schwarz, R.T., 1993. </w:t>
      </w:r>
      <w:r>
        <w:t>Studies on O-glycans of Plasmodium-falciparum-infected human erythrocytes. Evidence for O-</w:t>
      </w:r>
      <w:proofErr w:type="spellStart"/>
      <w:r>
        <w:t>GlcNAc</w:t>
      </w:r>
      <w:proofErr w:type="spellEnd"/>
      <w:r>
        <w:t xml:space="preserve"> and O-</w:t>
      </w:r>
      <w:proofErr w:type="spellStart"/>
      <w:r>
        <w:t>GlcNAc</w:t>
      </w:r>
      <w:proofErr w:type="spellEnd"/>
      <w:r>
        <w:t xml:space="preserve">-transferase in malaria parasites. </w:t>
      </w:r>
      <w:r w:rsidRPr="006C678C">
        <w:rPr>
          <w:lang w:val="de-DE"/>
        </w:rPr>
        <w:t xml:space="preserve">Eur. J. </w:t>
      </w:r>
      <w:proofErr w:type="spellStart"/>
      <w:r w:rsidRPr="006C678C">
        <w:rPr>
          <w:lang w:val="de-DE"/>
        </w:rPr>
        <w:t>Biochem</w:t>
      </w:r>
      <w:proofErr w:type="spellEnd"/>
      <w:r w:rsidRPr="006C678C">
        <w:rPr>
          <w:lang w:val="de-DE"/>
        </w:rPr>
        <w:t xml:space="preserve">. 216 (3), 779–788. https://doi.org/10.1111/j.1432-1033.1993.tb18198.x. </w:t>
      </w:r>
    </w:p>
    <w:p w14:paraId="6F26B9A8" w14:textId="77777777" w:rsidR="00F149F4" w:rsidRDefault="0008288D" w:rsidP="00082320">
      <w:pPr>
        <w:spacing w:after="0" w:line="360" w:lineRule="auto"/>
        <w:ind w:left="-5"/>
        <w:jc w:val="left"/>
      </w:pPr>
      <w:proofErr w:type="spellStart"/>
      <w:r w:rsidRPr="006C678C">
        <w:rPr>
          <w:lang w:val="de-DE"/>
        </w:rPr>
        <w:lastRenderedPageBreak/>
        <w:t>Echenberg</w:t>
      </w:r>
      <w:proofErr w:type="spellEnd"/>
      <w:r w:rsidRPr="006C678C">
        <w:rPr>
          <w:lang w:val="de-DE"/>
        </w:rPr>
        <w:t xml:space="preserve">, M.J., 2011. </w:t>
      </w:r>
      <w:r>
        <w:t xml:space="preserve">Africa in the time of cholera: a history of pandemics from 1815 to the present (African studies). Cambridge: Cambridge University Press. https://doi.org/10.1017/CBO9780511976599. </w:t>
      </w:r>
    </w:p>
    <w:p w14:paraId="43BCEEE9" w14:textId="77777777" w:rsidR="00E731BB" w:rsidRDefault="0008288D" w:rsidP="00082320">
      <w:pPr>
        <w:spacing w:after="0" w:line="360" w:lineRule="auto"/>
        <w:ind w:left="-5"/>
        <w:jc w:val="left"/>
      </w:pPr>
      <w:proofErr w:type="spellStart"/>
      <w:r>
        <w:t>Gassó</w:t>
      </w:r>
      <w:proofErr w:type="spellEnd"/>
      <w:r>
        <w:t>, P., Ritter, M.A., Mas, S., et al., 2014. Influence of ABO genotype and phenotype on angiotensin-converting enzyme plasma activity. –J. Renin-</w:t>
      </w:r>
      <w:proofErr w:type="spellStart"/>
      <w:r>
        <w:t>AngiotensinAldosterone</w:t>
      </w:r>
      <w:proofErr w:type="spellEnd"/>
      <w:r>
        <w:t xml:space="preserve"> Syst. 15 (4), 580–584. https://doi.org/10.1177/1470320313510583. </w:t>
      </w:r>
    </w:p>
    <w:p w14:paraId="6A8EC14D" w14:textId="5AD6693E" w:rsidR="00E731BB" w:rsidRPr="00E731BB" w:rsidRDefault="00E731BB" w:rsidP="00082320">
      <w:pPr>
        <w:autoSpaceDE w:val="0"/>
        <w:autoSpaceDN w:val="0"/>
        <w:adjustRightInd w:val="0"/>
        <w:spacing w:after="0" w:line="360" w:lineRule="auto"/>
        <w:ind w:left="0" w:firstLine="0"/>
        <w:jc w:val="left"/>
        <w:rPr>
          <w:rFonts w:eastAsiaTheme="minorEastAsia"/>
          <w:color w:val="auto"/>
          <w:szCs w:val="28"/>
        </w:rPr>
      </w:pPr>
      <w:r w:rsidRPr="00E731BB">
        <w:rPr>
          <w:rFonts w:eastAsiaTheme="minorEastAsia"/>
          <w:color w:val="auto"/>
          <w:szCs w:val="28"/>
        </w:rPr>
        <w:t>Gill, D. J., H. Clausen, and F. Bard. 2011. Location,</w:t>
      </w:r>
      <w:r>
        <w:rPr>
          <w:rFonts w:eastAsiaTheme="minorEastAsia"/>
          <w:color w:val="auto"/>
          <w:szCs w:val="28"/>
        </w:rPr>
        <w:t xml:space="preserve"> </w:t>
      </w:r>
      <w:r w:rsidRPr="00E731BB">
        <w:rPr>
          <w:rFonts w:eastAsiaTheme="minorEastAsia"/>
          <w:color w:val="auto"/>
          <w:szCs w:val="28"/>
        </w:rPr>
        <w:t>location, location: new insights into O-</w:t>
      </w:r>
      <w:proofErr w:type="spellStart"/>
      <w:r w:rsidRPr="00E731BB">
        <w:rPr>
          <w:rFonts w:eastAsiaTheme="minorEastAsia"/>
          <w:color w:val="auto"/>
          <w:szCs w:val="28"/>
        </w:rPr>
        <w:t>GalNAc</w:t>
      </w:r>
      <w:proofErr w:type="spellEnd"/>
      <w:r>
        <w:rPr>
          <w:rFonts w:eastAsiaTheme="minorEastAsia"/>
          <w:color w:val="auto"/>
          <w:szCs w:val="28"/>
        </w:rPr>
        <w:t xml:space="preserve"> </w:t>
      </w:r>
      <w:r w:rsidRPr="00E731BB">
        <w:rPr>
          <w:rFonts w:eastAsiaTheme="minorEastAsia"/>
          <w:color w:val="auto"/>
          <w:szCs w:val="28"/>
        </w:rPr>
        <w:t>protein</w:t>
      </w:r>
      <w:r>
        <w:rPr>
          <w:rFonts w:eastAsiaTheme="minorEastAsia"/>
          <w:color w:val="auto"/>
          <w:szCs w:val="28"/>
        </w:rPr>
        <w:t xml:space="preserve"> </w:t>
      </w:r>
      <w:r w:rsidRPr="00E731BB">
        <w:rPr>
          <w:rFonts w:eastAsiaTheme="minorEastAsia"/>
          <w:color w:val="auto"/>
          <w:szCs w:val="28"/>
        </w:rPr>
        <w:t>glycosylation. Trends Cell Biol. 21:149–158.</w:t>
      </w:r>
    </w:p>
    <w:p w14:paraId="3BAD56C5" w14:textId="06D952B5" w:rsidR="00F149F4" w:rsidRDefault="0008288D" w:rsidP="00082320">
      <w:pPr>
        <w:spacing w:after="0" w:line="360" w:lineRule="auto"/>
        <w:ind w:left="0" w:firstLine="0"/>
        <w:jc w:val="left"/>
      </w:pPr>
      <w:proofErr w:type="spellStart"/>
      <w:r>
        <w:t>Guillon</w:t>
      </w:r>
      <w:proofErr w:type="spellEnd"/>
      <w:r>
        <w:t xml:space="preserve">, P., Clément, M., </w:t>
      </w:r>
      <w:proofErr w:type="spellStart"/>
      <w:r>
        <w:t>Sébille</w:t>
      </w:r>
      <w:proofErr w:type="spellEnd"/>
      <w:r>
        <w:t>, V., et al., 2008. Inhibition of the interaction between the SARS-</w:t>
      </w:r>
      <w:proofErr w:type="spellStart"/>
      <w:r>
        <w:t>CoV</w:t>
      </w:r>
      <w:proofErr w:type="spellEnd"/>
      <w:r>
        <w:t xml:space="preserve"> Spike protein and its cellular receptor by anti-</w:t>
      </w:r>
      <w:proofErr w:type="spellStart"/>
      <w:r>
        <w:t>histo</w:t>
      </w:r>
      <w:proofErr w:type="spellEnd"/>
      <w:r>
        <w:t xml:space="preserve">-blood group antibodies. Glycobiology 18 (12), 1085–1093. https://doi.org/10.1093/glycob/cwn093. </w:t>
      </w:r>
    </w:p>
    <w:p w14:paraId="03E69D69" w14:textId="77777777" w:rsidR="00F149F4" w:rsidRPr="006C678C" w:rsidRDefault="0008288D" w:rsidP="00082320">
      <w:pPr>
        <w:spacing w:after="0" w:line="360" w:lineRule="auto"/>
        <w:ind w:left="-5"/>
        <w:jc w:val="left"/>
        <w:rPr>
          <w:lang w:val="de-DE"/>
        </w:rPr>
      </w:pPr>
      <w:r>
        <w:t xml:space="preserve">Hart, G.T., </w:t>
      </w:r>
      <w:proofErr w:type="spellStart"/>
      <w:r>
        <w:t>Akkaya</w:t>
      </w:r>
      <w:proofErr w:type="spellEnd"/>
      <w:r>
        <w:t xml:space="preserve">, M., Chida, A.S., et al., 2016. The Regulation of Inherently Autoreactive VH4-34–Expressing B Cells in Individuals Living in a Malaria-Endemic Area of West Africa. </w:t>
      </w:r>
      <w:r w:rsidRPr="006C678C">
        <w:rPr>
          <w:lang w:val="de-DE"/>
        </w:rPr>
        <w:t xml:space="preserve">J. </w:t>
      </w:r>
      <w:proofErr w:type="spellStart"/>
      <w:r w:rsidRPr="006C678C">
        <w:rPr>
          <w:lang w:val="de-DE"/>
        </w:rPr>
        <w:t>Immunol</w:t>
      </w:r>
      <w:proofErr w:type="spellEnd"/>
      <w:r w:rsidRPr="006C678C">
        <w:rPr>
          <w:lang w:val="de-DE"/>
        </w:rPr>
        <w:t xml:space="preserve">. 197 (10), 3841–3849. https://doi.org/10.4049/jimmunol.1600491. </w:t>
      </w:r>
    </w:p>
    <w:p w14:paraId="41317074" w14:textId="77777777" w:rsidR="00F149F4" w:rsidRDefault="0008288D" w:rsidP="00082320">
      <w:pPr>
        <w:spacing w:after="0" w:line="360" w:lineRule="auto"/>
        <w:ind w:left="-5"/>
        <w:jc w:val="left"/>
      </w:pPr>
      <w:r w:rsidRPr="006C678C">
        <w:rPr>
          <w:lang w:val="de-DE"/>
        </w:rPr>
        <w:t xml:space="preserve">Hoffmann, M., Kleine-Weber, H., Schroeder, S., et al., 2020. </w:t>
      </w:r>
      <w:r>
        <w:t xml:space="preserve">SARS-CoV-2 Cell </w:t>
      </w:r>
    </w:p>
    <w:p w14:paraId="315F8EA2" w14:textId="5B642847" w:rsidR="00F149F4" w:rsidRPr="006C678C" w:rsidRDefault="0008288D" w:rsidP="00082320">
      <w:pPr>
        <w:spacing w:after="0" w:line="360" w:lineRule="auto"/>
        <w:ind w:left="-5"/>
        <w:jc w:val="left"/>
        <w:rPr>
          <w:lang w:val="de-DE"/>
        </w:rPr>
      </w:pPr>
      <w:r>
        <w:t xml:space="preserve">Entry Depends on ACE2 and TMPRSS2 and Is Blocked by a Clinically Proven Protease Inhibitor. </w:t>
      </w:r>
      <w:proofErr w:type="spellStart"/>
      <w:r w:rsidRPr="006C678C">
        <w:rPr>
          <w:lang w:val="de-DE"/>
        </w:rPr>
        <w:t>Cell</w:t>
      </w:r>
      <w:proofErr w:type="spellEnd"/>
      <w:r w:rsidRPr="006C678C">
        <w:rPr>
          <w:lang w:val="de-DE"/>
        </w:rPr>
        <w:t xml:space="preserve"> 181 (2), 271–280. https://dx.doi.org/10.1016%2Fj.cell.2020.02.052.  </w:t>
      </w:r>
    </w:p>
    <w:p w14:paraId="39EFA89B" w14:textId="77777777" w:rsidR="00F149F4" w:rsidRDefault="0008288D" w:rsidP="00082320">
      <w:pPr>
        <w:spacing w:after="0" w:line="360" w:lineRule="auto"/>
        <w:ind w:left="-5"/>
        <w:jc w:val="left"/>
      </w:pPr>
      <w:r w:rsidRPr="006C678C">
        <w:rPr>
          <w:lang w:val="de-DE"/>
        </w:rPr>
        <w:t xml:space="preserve">Hofmann, B. T. </w:t>
      </w:r>
      <w:r w:rsidRPr="006C678C">
        <w:rPr>
          <w:i/>
          <w:lang w:val="de-DE"/>
        </w:rPr>
        <w:t xml:space="preserve">et al. </w:t>
      </w:r>
      <w:r>
        <w:t xml:space="preserve">(2014) ‘ABO Blood Group IgM </w:t>
      </w:r>
      <w:proofErr w:type="spellStart"/>
      <w:r>
        <w:t>isoagglutinins</w:t>
      </w:r>
      <w:proofErr w:type="spellEnd"/>
      <w:r>
        <w:t xml:space="preserve"> interact with tumor-associated O-glycan structures in pancreatic cancer’, </w:t>
      </w:r>
      <w:r>
        <w:rPr>
          <w:i/>
        </w:rPr>
        <w:t>Clinical Cancer Research</w:t>
      </w:r>
      <w:r>
        <w:t xml:space="preserve">, 20(23), pp. 6117–6126. </w:t>
      </w:r>
      <w:proofErr w:type="spellStart"/>
      <w:r>
        <w:t>doi</w:t>
      </w:r>
      <w:proofErr w:type="spellEnd"/>
      <w:r>
        <w:t xml:space="preserve">: 10.1158/1078-0432.CCR-14-0716. Hu, F., Zhang, L., Zheng, J., et al., 2012a. Spontaneous Production of Immunoglobulin M in Human Epithelial Cancer Cells. </w:t>
      </w:r>
      <w:proofErr w:type="spellStart"/>
      <w:r>
        <w:t>PLoS</w:t>
      </w:r>
      <w:proofErr w:type="spellEnd"/>
      <w:r>
        <w:t xml:space="preserve"> One 7 (12), e51423. https://doi.org/10.1371/journal.pone.0051423. </w:t>
      </w:r>
    </w:p>
    <w:p w14:paraId="3A240E49" w14:textId="77777777" w:rsidR="00F149F4" w:rsidRDefault="0008288D" w:rsidP="00082320">
      <w:pPr>
        <w:spacing w:after="0" w:line="360" w:lineRule="auto"/>
        <w:ind w:left="-5"/>
        <w:jc w:val="left"/>
      </w:pPr>
      <w:r>
        <w:lastRenderedPageBreak/>
        <w:t xml:space="preserve">Hu, L., Crawford, S.E., </w:t>
      </w:r>
      <w:proofErr w:type="spellStart"/>
      <w:r>
        <w:t>Czako</w:t>
      </w:r>
      <w:proofErr w:type="spellEnd"/>
      <w:r>
        <w:t xml:space="preserve">, R., et al., 2012b. Cell attachment protein VP8* of a human rotavirus specifically interacts with A-type </w:t>
      </w:r>
      <w:proofErr w:type="spellStart"/>
      <w:r>
        <w:t>histo</w:t>
      </w:r>
      <w:proofErr w:type="spellEnd"/>
      <w:r>
        <w:t xml:space="preserve">-blood group antigen. Nature 485 (7397), 256–259. https://doi.org/10.1038/nature10996. </w:t>
      </w:r>
    </w:p>
    <w:p w14:paraId="1444E768" w14:textId="77777777" w:rsidR="00F149F4" w:rsidRDefault="0008288D" w:rsidP="00082320">
      <w:pPr>
        <w:spacing w:after="0" w:line="360" w:lineRule="auto"/>
        <w:ind w:left="-5"/>
        <w:jc w:val="left"/>
      </w:pPr>
      <w:r>
        <w:t xml:space="preserve">Inoue, Y., Tanaka, N., Tanaka, Y., et al., 2007. </w:t>
      </w:r>
      <w:proofErr w:type="spellStart"/>
      <w:r>
        <w:t>Clathrin</w:t>
      </w:r>
      <w:proofErr w:type="spellEnd"/>
      <w:r>
        <w:t xml:space="preserve">-Dependent Entry of Severe Acute Respiratory Syndrome Coronavirus into Target Cells Expressing ACE2 with the Cytoplasmic Tail Deleted. J. </w:t>
      </w:r>
      <w:proofErr w:type="spellStart"/>
      <w:r>
        <w:t>Virol</w:t>
      </w:r>
      <w:proofErr w:type="spellEnd"/>
      <w:r>
        <w:t xml:space="preserve">. 81 (16) 8722–8729. </w:t>
      </w:r>
    </w:p>
    <w:p w14:paraId="3476D8BB" w14:textId="77777777" w:rsidR="00396A4B" w:rsidRDefault="00C4513E" w:rsidP="00082320">
      <w:pPr>
        <w:spacing w:after="0" w:line="360" w:lineRule="auto"/>
        <w:ind w:left="-5"/>
        <w:jc w:val="left"/>
      </w:pPr>
      <w:hyperlink r:id="rId41">
        <w:r w:rsidR="0008288D">
          <w:t>https://doi.org/10.1128/jvi.00253</w:t>
        </w:r>
      </w:hyperlink>
      <w:hyperlink r:id="rId42">
        <w:r w:rsidR="0008288D">
          <w:t>-</w:t>
        </w:r>
      </w:hyperlink>
      <w:hyperlink r:id="rId43">
        <w:r w:rsidR="0008288D">
          <w:t>07.</w:t>
        </w:r>
      </w:hyperlink>
      <w:r w:rsidR="0008288D">
        <w:t xml:space="preserve"> </w:t>
      </w:r>
    </w:p>
    <w:p w14:paraId="14AE6648" w14:textId="4FE72BD3" w:rsidR="00396A4B" w:rsidRDefault="00396A4B" w:rsidP="00082320">
      <w:pPr>
        <w:spacing w:after="0" w:line="360" w:lineRule="auto"/>
        <w:ind w:left="-5"/>
        <w:jc w:val="left"/>
      </w:pPr>
      <w:bookmarkStart w:id="9" w:name="_Hlk69833939"/>
      <w:proofErr w:type="spellStart"/>
      <w:r w:rsidRPr="00396A4B">
        <w:rPr>
          <w:rFonts w:ascii="Minion-Regular" w:eastAsiaTheme="minorEastAsia" w:hAnsi="Minion-Regular" w:cs="Minion-Regular"/>
          <w:color w:val="auto"/>
          <w:szCs w:val="28"/>
        </w:rPr>
        <w:t>Kubagawa</w:t>
      </w:r>
      <w:proofErr w:type="spellEnd"/>
      <w:r w:rsidRPr="00396A4B">
        <w:rPr>
          <w:rFonts w:ascii="Minion-Regular" w:eastAsiaTheme="minorEastAsia" w:hAnsi="Minion-Regular" w:cs="Minion-Regular"/>
          <w:color w:val="auto"/>
          <w:szCs w:val="28"/>
        </w:rPr>
        <w:t xml:space="preserve">, H. </w:t>
      </w:r>
      <w:r w:rsidRPr="00396A4B">
        <w:rPr>
          <w:rFonts w:ascii="Minion-Italic" w:eastAsiaTheme="minorEastAsia" w:hAnsi="Minion-Italic" w:cs="Minion-Italic"/>
          <w:i/>
          <w:iCs/>
          <w:color w:val="auto"/>
          <w:szCs w:val="28"/>
        </w:rPr>
        <w:t xml:space="preserve">et al. </w:t>
      </w:r>
      <w:r w:rsidRPr="00396A4B">
        <w:rPr>
          <w:rFonts w:ascii="Minion-Regular" w:eastAsiaTheme="minorEastAsia" w:hAnsi="Minion-Regular" w:cs="Minion-Regular"/>
          <w:color w:val="auto"/>
          <w:szCs w:val="28"/>
        </w:rPr>
        <w:t>2009</w:t>
      </w:r>
      <w:bookmarkEnd w:id="9"/>
      <w:r w:rsidRPr="00396A4B">
        <w:rPr>
          <w:rFonts w:ascii="Minion-Regular" w:eastAsiaTheme="minorEastAsia" w:hAnsi="Minion-Regular" w:cs="Minion-Regular"/>
          <w:color w:val="auto"/>
          <w:szCs w:val="28"/>
        </w:rPr>
        <w:t>. Identity of the elusive IgM Fc</w:t>
      </w:r>
      <w:r>
        <w:t xml:space="preserve"> </w:t>
      </w:r>
      <w:r w:rsidRPr="00396A4B">
        <w:rPr>
          <w:rFonts w:ascii="Minion-Regular" w:eastAsiaTheme="minorEastAsia" w:hAnsi="Minion-Regular" w:cs="Minion-Regular"/>
          <w:color w:val="auto"/>
          <w:szCs w:val="28"/>
        </w:rPr>
        <w:t>receptor (</w:t>
      </w:r>
      <w:proofErr w:type="spellStart"/>
      <w:r w:rsidRPr="00396A4B">
        <w:rPr>
          <w:rFonts w:ascii="Minion-Regular" w:eastAsiaTheme="minorEastAsia" w:hAnsi="Minion-Regular" w:cs="Minion-Regular"/>
          <w:color w:val="auto"/>
          <w:szCs w:val="28"/>
        </w:rPr>
        <w:t>FcmR</w:t>
      </w:r>
      <w:proofErr w:type="spellEnd"/>
      <w:r w:rsidRPr="00396A4B">
        <w:rPr>
          <w:rFonts w:ascii="Minion-Regular" w:eastAsiaTheme="minorEastAsia" w:hAnsi="Minion-Regular" w:cs="Minion-Regular"/>
          <w:color w:val="auto"/>
          <w:szCs w:val="28"/>
        </w:rPr>
        <w:t xml:space="preserve">) in humans. </w:t>
      </w:r>
      <w:r w:rsidRPr="00396A4B">
        <w:rPr>
          <w:rFonts w:ascii="Minion-Italic" w:eastAsiaTheme="minorEastAsia" w:hAnsi="Minion-Italic" w:cs="Minion-Italic"/>
          <w:i/>
          <w:iCs/>
          <w:color w:val="auto"/>
          <w:szCs w:val="28"/>
        </w:rPr>
        <w:t>J. Exp. Med</w:t>
      </w:r>
      <w:r w:rsidRPr="00396A4B">
        <w:rPr>
          <w:rFonts w:ascii="Minion-Regular" w:eastAsiaTheme="minorEastAsia" w:hAnsi="Minion-Regular" w:cs="Minion-Regular"/>
          <w:color w:val="auto"/>
          <w:szCs w:val="28"/>
        </w:rPr>
        <w:t xml:space="preserve">. </w:t>
      </w:r>
      <w:r w:rsidRPr="00396A4B">
        <w:rPr>
          <w:rFonts w:ascii="Minion-Bold" w:eastAsiaTheme="minorEastAsia" w:hAnsi="Minion-Bold" w:cs="Minion-Bold"/>
          <w:b/>
          <w:bCs/>
          <w:color w:val="auto"/>
          <w:szCs w:val="28"/>
        </w:rPr>
        <w:t>206</w:t>
      </w:r>
      <w:r w:rsidRPr="00396A4B">
        <w:rPr>
          <w:rFonts w:ascii="Minion-Regular" w:eastAsiaTheme="minorEastAsia" w:hAnsi="Minion-Regular" w:cs="Minion-Regular"/>
          <w:color w:val="auto"/>
          <w:szCs w:val="28"/>
        </w:rPr>
        <w:t>: 2779–93.</w:t>
      </w:r>
    </w:p>
    <w:p w14:paraId="480B82D5" w14:textId="77777777" w:rsidR="00F149F4" w:rsidRDefault="0008288D" w:rsidP="00082320">
      <w:pPr>
        <w:spacing w:after="0" w:line="360" w:lineRule="auto"/>
        <w:ind w:left="-5"/>
        <w:jc w:val="left"/>
      </w:pPr>
      <w:r>
        <w:rPr>
          <w:rFonts w:ascii="Cambria" w:eastAsia="Cambria" w:hAnsi="Cambria" w:cs="Cambria"/>
        </w:rPr>
        <w:t>Larkin, J., Porter, C., 2005. Mice are unsuitable for modelling ABO discordance despite strain-speci</w:t>
      </w:r>
      <w:r>
        <w:rPr>
          <w:rFonts w:ascii="Calibri" w:eastAsia="Calibri" w:hAnsi="Calibri" w:cs="Calibri"/>
        </w:rPr>
        <w:t>fi</w:t>
      </w:r>
      <w:r>
        <w:rPr>
          <w:rFonts w:ascii="Cambria" w:eastAsia="Cambria" w:hAnsi="Cambria" w:cs="Cambria"/>
        </w:rPr>
        <w:t xml:space="preserve">c A cross-reactive natural IgM. Br. J. </w:t>
      </w:r>
      <w:proofErr w:type="spellStart"/>
      <w:r>
        <w:rPr>
          <w:rFonts w:ascii="Cambria" w:eastAsia="Cambria" w:hAnsi="Cambria" w:cs="Cambria"/>
        </w:rPr>
        <w:t>Haematol</w:t>
      </w:r>
      <w:proofErr w:type="spellEnd"/>
      <w:r>
        <w:rPr>
          <w:rFonts w:ascii="Cambria" w:eastAsia="Cambria" w:hAnsi="Cambria" w:cs="Cambria"/>
        </w:rPr>
        <w:t xml:space="preserve">. 130 (2), </w:t>
      </w:r>
    </w:p>
    <w:p w14:paraId="7CA6F074" w14:textId="77777777" w:rsidR="00F149F4" w:rsidRDefault="0008288D" w:rsidP="00082320">
      <w:pPr>
        <w:spacing w:after="0" w:line="360" w:lineRule="auto"/>
        <w:ind w:left="-5"/>
        <w:jc w:val="left"/>
      </w:pPr>
      <w:r>
        <w:rPr>
          <w:rFonts w:ascii="Cambria" w:eastAsia="Cambria" w:hAnsi="Cambria" w:cs="Cambria"/>
        </w:rPr>
        <w:t>310</w:t>
      </w:r>
      <w:r>
        <w:rPr>
          <w:rFonts w:ascii="Calibri" w:eastAsia="Calibri" w:hAnsi="Calibri" w:cs="Calibri"/>
        </w:rPr>
        <w:t>–</w:t>
      </w:r>
      <w:r>
        <w:rPr>
          <w:rFonts w:ascii="Cambria" w:eastAsia="Cambria" w:hAnsi="Cambria" w:cs="Cambria"/>
        </w:rPr>
        <w:t xml:space="preserve">317. </w:t>
      </w:r>
    </w:p>
    <w:p w14:paraId="237F251B" w14:textId="77777777" w:rsidR="008E3D80" w:rsidRPr="00E51371" w:rsidRDefault="0008288D" w:rsidP="00082320">
      <w:pPr>
        <w:spacing w:after="0" w:line="360" w:lineRule="auto"/>
        <w:ind w:left="-5"/>
        <w:jc w:val="left"/>
      </w:pPr>
      <w:proofErr w:type="spellStart"/>
      <w:r w:rsidRPr="00E51371">
        <w:t>Latousakis</w:t>
      </w:r>
      <w:proofErr w:type="spellEnd"/>
      <w:r w:rsidRPr="00E51371">
        <w:t xml:space="preserve">, D., </w:t>
      </w:r>
      <w:proofErr w:type="spellStart"/>
      <w:r w:rsidRPr="00E51371">
        <w:t>MacKenzie</w:t>
      </w:r>
      <w:proofErr w:type="spellEnd"/>
      <w:r w:rsidRPr="00E51371">
        <w:t xml:space="preserve">, D.A., </w:t>
      </w:r>
      <w:proofErr w:type="spellStart"/>
      <w:r w:rsidRPr="00E51371">
        <w:t>Telatin</w:t>
      </w:r>
      <w:proofErr w:type="spellEnd"/>
      <w:r w:rsidRPr="00E51371">
        <w:t xml:space="preserve">, A., et al., 2020. </w:t>
      </w:r>
      <w:r>
        <w:t xml:space="preserve">Serine-rich repeat proteins from gut microbes. </w:t>
      </w:r>
      <w:r w:rsidRPr="00E51371">
        <w:t xml:space="preserve">Gut Microbes 11 (1), 102–117. https://doi.org/10.1080/19490976.2019.1602428. </w:t>
      </w:r>
      <w:bookmarkStart w:id="10" w:name="_Hlk65920963"/>
    </w:p>
    <w:p w14:paraId="2ABC117D" w14:textId="77777777" w:rsidR="008E3D80" w:rsidRPr="00E51371" w:rsidRDefault="008E3D80" w:rsidP="00082320">
      <w:pPr>
        <w:spacing w:after="0" w:line="360" w:lineRule="auto"/>
        <w:ind w:left="-5"/>
        <w:jc w:val="left"/>
      </w:pPr>
      <w:r w:rsidRPr="00E51371">
        <w:rPr>
          <w:szCs w:val="28"/>
        </w:rPr>
        <w:t>Lee-</w:t>
      </w:r>
      <w:proofErr w:type="spellStart"/>
      <w:r w:rsidRPr="00E51371">
        <w:rPr>
          <w:szCs w:val="28"/>
        </w:rPr>
        <w:t>Sundlov</w:t>
      </w:r>
      <w:proofErr w:type="spellEnd"/>
      <w:r w:rsidRPr="00E51371">
        <w:rPr>
          <w:szCs w:val="28"/>
        </w:rPr>
        <w:t xml:space="preserve"> MM, </w:t>
      </w:r>
      <w:proofErr w:type="spellStart"/>
      <w:r w:rsidRPr="00E51371">
        <w:rPr>
          <w:szCs w:val="28"/>
        </w:rPr>
        <w:t>Ashline</w:t>
      </w:r>
      <w:proofErr w:type="spellEnd"/>
      <w:r w:rsidRPr="00E51371">
        <w:rPr>
          <w:szCs w:val="28"/>
        </w:rPr>
        <w:t xml:space="preserve"> DJ, </w:t>
      </w:r>
      <w:proofErr w:type="spellStart"/>
      <w:r w:rsidRPr="00E51371">
        <w:rPr>
          <w:szCs w:val="28"/>
        </w:rPr>
        <w:t>Hanneman</w:t>
      </w:r>
      <w:proofErr w:type="spellEnd"/>
      <w:r w:rsidRPr="00E51371">
        <w:rPr>
          <w:szCs w:val="28"/>
        </w:rPr>
        <w:t xml:space="preserve"> AJ, </w:t>
      </w:r>
      <w:proofErr w:type="spellStart"/>
      <w:r w:rsidRPr="00E51371">
        <w:rPr>
          <w:szCs w:val="28"/>
        </w:rPr>
        <w:t>Grozovsky</w:t>
      </w:r>
      <w:proofErr w:type="spellEnd"/>
      <w:r w:rsidRPr="00E51371">
        <w:rPr>
          <w:szCs w:val="28"/>
        </w:rPr>
        <w:t xml:space="preserve"> R, Reinhold VN, Hoffmeister 727 KM, Lau JTY. </w:t>
      </w:r>
      <w:r>
        <w:rPr>
          <w:szCs w:val="28"/>
        </w:rPr>
        <w:t>Circulating blood and platelets supply glycosyltransferases that enable extrinsic 32 728 extracellular glycosylation. Glycobiology. 2017; 27:188–198.DOI: 10.1093/</w:t>
      </w:r>
      <w:proofErr w:type="spellStart"/>
      <w:r>
        <w:rPr>
          <w:szCs w:val="28"/>
        </w:rPr>
        <w:t>glycob</w:t>
      </w:r>
      <w:proofErr w:type="spellEnd"/>
      <w:r>
        <w:rPr>
          <w:szCs w:val="28"/>
        </w:rPr>
        <w:t>/cww108.</w:t>
      </w:r>
      <w:bookmarkEnd w:id="10"/>
      <w:r w:rsidRPr="00E51371">
        <w:t xml:space="preserve"> </w:t>
      </w:r>
    </w:p>
    <w:p w14:paraId="25F7CB75" w14:textId="0A7AF956" w:rsidR="00F149F4" w:rsidRPr="00E51371" w:rsidRDefault="0008288D" w:rsidP="00082320">
      <w:pPr>
        <w:spacing w:after="0" w:line="360" w:lineRule="auto"/>
        <w:ind w:left="-5"/>
        <w:jc w:val="left"/>
      </w:pPr>
      <w:proofErr w:type="spellStart"/>
      <w:r w:rsidRPr="00E51371">
        <w:t>Manochitra</w:t>
      </w:r>
      <w:proofErr w:type="spellEnd"/>
      <w:r w:rsidRPr="00E51371">
        <w:t xml:space="preserve">, K., </w:t>
      </w:r>
      <w:proofErr w:type="spellStart"/>
      <w:r w:rsidRPr="00E51371">
        <w:t>Parija</w:t>
      </w:r>
      <w:proofErr w:type="spellEnd"/>
      <w:r w:rsidRPr="00E51371">
        <w:t xml:space="preserve">, S.C., 2017. </w:t>
      </w:r>
      <w:r>
        <w:rPr>
          <w:i/>
        </w:rPr>
        <w:t>In-silico</w:t>
      </w:r>
      <w:r>
        <w:t xml:space="preserve"> prediction and modeling of the </w:t>
      </w:r>
      <w:r>
        <w:rPr>
          <w:i/>
        </w:rPr>
        <w:t>Entamoeba histolytica</w:t>
      </w:r>
      <w:r>
        <w:t xml:space="preserve"> proteins: Serine-rich </w:t>
      </w:r>
      <w:r>
        <w:rPr>
          <w:i/>
        </w:rPr>
        <w:t>Entamoeba histolytica</w:t>
      </w:r>
      <w:r>
        <w:t xml:space="preserve"> protein and 29 </w:t>
      </w:r>
      <w:proofErr w:type="spellStart"/>
      <w:r>
        <w:t>kDa</w:t>
      </w:r>
      <w:proofErr w:type="spellEnd"/>
      <w:r>
        <w:t xml:space="preserve"> Cysteine-rich protease. </w:t>
      </w:r>
      <w:proofErr w:type="spellStart"/>
      <w:r w:rsidRPr="006C678C">
        <w:rPr>
          <w:lang w:val="de-DE"/>
        </w:rPr>
        <w:t>PeerJ</w:t>
      </w:r>
      <w:proofErr w:type="spellEnd"/>
      <w:r w:rsidRPr="006C678C">
        <w:rPr>
          <w:lang w:val="de-DE"/>
        </w:rPr>
        <w:t xml:space="preserve"> 5, e3160. https://doi.org/10.7717/peerj.3160. Matsui, T., </w:t>
      </w:r>
      <w:proofErr w:type="spellStart"/>
      <w:r w:rsidRPr="006C678C">
        <w:rPr>
          <w:lang w:val="de-DE"/>
        </w:rPr>
        <w:t>Hamako</w:t>
      </w:r>
      <w:proofErr w:type="spellEnd"/>
      <w:r w:rsidRPr="006C678C">
        <w:rPr>
          <w:lang w:val="de-DE"/>
        </w:rPr>
        <w:t xml:space="preserve">, J., </w:t>
      </w:r>
      <w:proofErr w:type="spellStart"/>
      <w:r w:rsidRPr="006C678C">
        <w:rPr>
          <w:lang w:val="de-DE"/>
        </w:rPr>
        <w:t>Ozeki</w:t>
      </w:r>
      <w:proofErr w:type="spellEnd"/>
      <w:r w:rsidRPr="006C678C">
        <w:rPr>
          <w:lang w:val="de-DE"/>
        </w:rPr>
        <w:t xml:space="preserve">, Y., et al., 2001. </w:t>
      </w:r>
      <w:r>
        <w:t xml:space="preserve">Comparative study of blood </w:t>
      </w:r>
      <w:proofErr w:type="spellStart"/>
      <w:r>
        <w:t>grouprecognizing</w:t>
      </w:r>
      <w:proofErr w:type="spellEnd"/>
      <w:r>
        <w:t xml:space="preserve"> lectins toward ABO blood group antigens on neoglycoproteins, glycoproteins and complex-type oligosaccharides. </w:t>
      </w:r>
      <w:proofErr w:type="spellStart"/>
      <w:r>
        <w:t>Biochim</w:t>
      </w:r>
      <w:proofErr w:type="spellEnd"/>
      <w:r>
        <w:t xml:space="preserve">. </w:t>
      </w:r>
      <w:proofErr w:type="spellStart"/>
      <w:r>
        <w:t>Biophys</w:t>
      </w:r>
      <w:proofErr w:type="spellEnd"/>
      <w:r>
        <w:t xml:space="preserve">. Acta Gen. Subj. </w:t>
      </w:r>
    </w:p>
    <w:p w14:paraId="2C308F7C" w14:textId="77777777" w:rsidR="00564D30" w:rsidRDefault="0008288D" w:rsidP="00082320">
      <w:pPr>
        <w:spacing w:after="0" w:line="360" w:lineRule="auto"/>
        <w:ind w:left="-5"/>
        <w:jc w:val="left"/>
      </w:pPr>
      <w:r>
        <w:t xml:space="preserve">1525 (1–2), 50–57. https://doi.org/10.1016/S0304-4165(00)00170-7. </w:t>
      </w:r>
    </w:p>
    <w:p w14:paraId="7295624C" w14:textId="77777777" w:rsidR="00564D30" w:rsidRDefault="00564D30" w:rsidP="00082320">
      <w:pPr>
        <w:spacing w:after="0" w:line="360" w:lineRule="auto"/>
        <w:ind w:left="-5"/>
        <w:jc w:val="left"/>
      </w:pPr>
      <w:r w:rsidRPr="00564D30">
        <w:rPr>
          <w:szCs w:val="28"/>
        </w:rPr>
        <w:lastRenderedPageBreak/>
        <w:t xml:space="preserve">Matsui, T., </w:t>
      </w:r>
      <w:proofErr w:type="spellStart"/>
      <w:r w:rsidRPr="00564D30">
        <w:rPr>
          <w:szCs w:val="28"/>
        </w:rPr>
        <w:t>Hamako</w:t>
      </w:r>
      <w:proofErr w:type="spellEnd"/>
      <w:r w:rsidRPr="00564D30">
        <w:rPr>
          <w:szCs w:val="28"/>
        </w:rPr>
        <w:t xml:space="preserve">, J., Ozeki, Y., et al., 2001. Comparative study of blood </w:t>
      </w:r>
      <w:proofErr w:type="spellStart"/>
      <w:r w:rsidRPr="00564D30">
        <w:rPr>
          <w:szCs w:val="28"/>
        </w:rPr>
        <w:t>grouprecognizing</w:t>
      </w:r>
      <w:proofErr w:type="spellEnd"/>
      <w:r w:rsidRPr="00564D30">
        <w:rPr>
          <w:szCs w:val="28"/>
        </w:rPr>
        <w:t xml:space="preserve"> lectins toward ABO blood group antigens on neoglycoproteins, glycoproteins and complex-type oligosaccharides. </w:t>
      </w:r>
      <w:proofErr w:type="spellStart"/>
      <w:r w:rsidRPr="00564D30">
        <w:rPr>
          <w:szCs w:val="28"/>
        </w:rPr>
        <w:t>Biochim</w:t>
      </w:r>
      <w:proofErr w:type="spellEnd"/>
      <w:r w:rsidRPr="00564D30">
        <w:rPr>
          <w:szCs w:val="28"/>
        </w:rPr>
        <w:t xml:space="preserve">. </w:t>
      </w:r>
      <w:proofErr w:type="spellStart"/>
      <w:r w:rsidRPr="00564D30">
        <w:rPr>
          <w:szCs w:val="28"/>
        </w:rPr>
        <w:t>Biophys</w:t>
      </w:r>
      <w:proofErr w:type="spellEnd"/>
      <w:r w:rsidRPr="00564D30">
        <w:rPr>
          <w:szCs w:val="28"/>
        </w:rPr>
        <w:t>. Acta Gen. Subj. 1525 (1</w:t>
      </w:r>
      <w:r w:rsidRPr="00564D30">
        <w:rPr>
          <w:rFonts w:ascii="STIX" w:hAnsi="STIX" w:cs="STIX"/>
          <w:szCs w:val="28"/>
        </w:rPr>
        <w:t>–</w:t>
      </w:r>
      <w:r w:rsidRPr="00564D30">
        <w:rPr>
          <w:szCs w:val="28"/>
        </w:rPr>
        <w:t>2), 50</w:t>
      </w:r>
      <w:r w:rsidRPr="00564D30">
        <w:rPr>
          <w:rFonts w:ascii="STIX" w:hAnsi="STIX" w:cs="STIX"/>
          <w:szCs w:val="28"/>
        </w:rPr>
        <w:t>–</w:t>
      </w:r>
      <w:r w:rsidRPr="00564D30">
        <w:rPr>
          <w:szCs w:val="28"/>
        </w:rPr>
        <w:t xml:space="preserve">57. </w:t>
      </w:r>
      <w:hyperlink r:id="rId44" w:history="1">
        <w:r w:rsidRPr="00D45D4D">
          <w:rPr>
            <w:rStyle w:val="Hyperlink"/>
            <w:szCs w:val="28"/>
          </w:rPr>
          <w:t>https://doi.org/10.1016/S0304-4165(00)00170-7</w:t>
        </w:r>
      </w:hyperlink>
      <w:r w:rsidRPr="00564D30">
        <w:rPr>
          <w:szCs w:val="28"/>
        </w:rPr>
        <w:t>.</w:t>
      </w:r>
      <w:r>
        <w:t xml:space="preserve"> </w:t>
      </w:r>
    </w:p>
    <w:p w14:paraId="2CDAE19E" w14:textId="4B9A1E9E" w:rsidR="00F149F4" w:rsidRDefault="0008288D" w:rsidP="00082320">
      <w:pPr>
        <w:spacing w:after="0" w:line="360" w:lineRule="auto"/>
        <w:ind w:left="-5"/>
        <w:jc w:val="left"/>
      </w:pPr>
      <w:r>
        <w:t xml:space="preserve">Matsuyama, S., Nagata, N., </w:t>
      </w:r>
      <w:proofErr w:type="spellStart"/>
      <w:r>
        <w:t>Shirato</w:t>
      </w:r>
      <w:proofErr w:type="spellEnd"/>
      <w:r>
        <w:t xml:space="preserve">, K., et al., 2010. Efficient Activation of the Severe Acute Respiratory Syndrome Coronavirus Spike Protein by the Transmembrane Protease TMPRSS2. J. </w:t>
      </w:r>
      <w:proofErr w:type="spellStart"/>
      <w:r>
        <w:t>Virol</w:t>
      </w:r>
      <w:proofErr w:type="spellEnd"/>
      <w:r>
        <w:t xml:space="preserve">. 84 (24), 12658–12664. https://doi.org/10.1128/jvi.01542-10. </w:t>
      </w:r>
    </w:p>
    <w:p w14:paraId="640E2F7B" w14:textId="77777777" w:rsidR="00F149F4" w:rsidRDefault="0008288D" w:rsidP="00082320">
      <w:pPr>
        <w:spacing w:after="0" w:line="360" w:lineRule="auto"/>
        <w:ind w:left="-5"/>
        <w:jc w:val="left"/>
      </w:pPr>
      <w:r>
        <w:t xml:space="preserve">Meyer, D., </w:t>
      </w:r>
      <w:proofErr w:type="spellStart"/>
      <w:r>
        <w:t>Sielaff</w:t>
      </w:r>
      <w:proofErr w:type="spellEnd"/>
      <w:r>
        <w:t xml:space="preserve">, F., </w:t>
      </w:r>
      <w:proofErr w:type="spellStart"/>
      <w:r>
        <w:t>Hammami</w:t>
      </w:r>
      <w:proofErr w:type="spellEnd"/>
      <w:r>
        <w:t xml:space="preserve">, M., et al., 2013. Identification of the first synthetic inhibitors of the type II transmembrane serine protease TMPRSS2 suitable for inhibition of influenza virus activation. </w:t>
      </w:r>
      <w:proofErr w:type="spellStart"/>
      <w:r>
        <w:t>Biochem</w:t>
      </w:r>
      <w:proofErr w:type="spellEnd"/>
      <w:r>
        <w:t xml:space="preserve">. J. 452 (2), 331–343. </w:t>
      </w:r>
      <w:hyperlink r:id="rId45">
        <w:r>
          <w:t>https://doi.org/10.1042/bj20130101</w:t>
        </w:r>
      </w:hyperlink>
      <w:hyperlink r:id="rId46">
        <w:r>
          <w:t>.</w:t>
        </w:r>
      </w:hyperlink>
      <w:r>
        <w:t xml:space="preserve"> </w:t>
      </w:r>
    </w:p>
    <w:p w14:paraId="0F406DA9" w14:textId="77777777" w:rsidR="00F149F4" w:rsidRDefault="0008288D" w:rsidP="00082320">
      <w:pPr>
        <w:spacing w:after="0" w:line="360" w:lineRule="auto"/>
        <w:ind w:left="-5"/>
        <w:jc w:val="left"/>
      </w:pPr>
      <w:r>
        <w:t xml:space="preserve">Moreau R, Dausset J, Bernard J, M. J. (1957) ‘Acquired hemolytic anemia with </w:t>
      </w:r>
      <w:proofErr w:type="spellStart"/>
      <w:r>
        <w:t>polyagglutinability</w:t>
      </w:r>
      <w:proofErr w:type="spellEnd"/>
      <w:r>
        <w:t xml:space="preserve"> of erythrocytes by a new factor present in normal blood (Article in French)’, </w:t>
      </w:r>
      <w:r>
        <w:rPr>
          <w:i/>
        </w:rPr>
        <w:t>Bull Mem Soc Med Hop Paris.</w:t>
      </w:r>
      <w:r>
        <w:t xml:space="preserve">, 73(20–21), pp. 569–87. </w:t>
      </w:r>
    </w:p>
    <w:p w14:paraId="35BB960E" w14:textId="77777777" w:rsidR="00F149F4" w:rsidRDefault="0008288D" w:rsidP="00082320">
      <w:pPr>
        <w:spacing w:after="0" w:line="360" w:lineRule="auto"/>
        <w:ind w:left="-5"/>
        <w:jc w:val="left"/>
      </w:pPr>
      <w:proofErr w:type="spellStart"/>
      <w:r>
        <w:t>Mutreja</w:t>
      </w:r>
      <w:proofErr w:type="spellEnd"/>
      <w:r>
        <w:t xml:space="preserve">, A., Kim, D.W., Thomson, N.R., et al., 2011. Evidence for several waves of global transmission in the seventh cholera pandemic. Nature 477 (7365), 462– 465. https://doi.org/10.1038/nature10392.  </w:t>
      </w:r>
    </w:p>
    <w:p w14:paraId="7878709F" w14:textId="77777777" w:rsidR="00F149F4" w:rsidRDefault="0008288D" w:rsidP="00082320">
      <w:pPr>
        <w:spacing w:after="0" w:line="360" w:lineRule="auto"/>
        <w:ind w:left="-5"/>
        <w:jc w:val="left"/>
      </w:pPr>
      <w:r>
        <w:t xml:space="preserve">Nash, R., Neves, L., </w:t>
      </w:r>
      <w:proofErr w:type="spellStart"/>
      <w:r>
        <w:t>Faast</w:t>
      </w:r>
      <w:proofErr w:type="spellEnd"/>
      <w:r>
        <w:t xml:space="preserve">, R. et al. (2007) ‘The Lectin </w:t>
      </w:r>
      <w:proofErr w:type="spellStart"/>
      <w:r>
        <w:t>Dolichos</w:t>
      </w:r>
      <w:proofErr w:type="spellEnd"/>
      <w:r>
        <w:t xml:space="preserve"> </w:t>
      </w:r>
      <w:proofErr w:type="spellStart"/>
      <w:r>
        <w:t>Biflorus</w:t>
      </w:r>
      <w:proofErr w:type="spellEnd"/>
      <w:r>
        <w:t xml:space="preserve"> </w:t>
      </w:r>
    </w:p>
    <w:p w14:paraId="3F85864A" w14:textId="77777777" w:rsidR="00F149F4" w:rsidRDefault="0008288D" w:rsidP="00082320">
      <w:pPr>
        <w:spacing w:after="0" w:line="360" w:lineRule="auto"/>
        <w:ind w:left="-5"/>
        <w:jc w:val="left"/>
      </w:pPr>
      <w:r>
        <w:t xml:space="preserve">Agglutinin Recognizes Glycan Epitopes on the Surface of Murine Embryonic Stem </w:t>
      </w:r>
    </w:p>
    <w:p w14:paraId="007D888C" w14:textId="77777777" w:rsidR="00894D08" w:rsidRDefault="0008288D" w:rsidP="00082320">
      <w:pPr>
        <w:spacing w:after="0" w:line="360" w:lineRule="auto"/>
        <w:ind w:left="-5"/>
        <w:jc w:val="left"/>
      </w:pPr>
      <w:r>
        <w:t xml:space="preserve">Cells: A New Tool for Characterizing Pluripotent Cells and Early Differentiation’, </w:t>
      </w:r>
      <w:r>
        <w:rPr>
          <w:i/>
        </w:rPr>
        <w:t>Stem Cells</w:t>
      </w:r>
      <w:r>
        <w:t xml:space="preserve">, 25(4), pp. 974–982. </w:t>
      </w:r>
      <w:proofErr w:type="spellStart"/>
      <w:r>
        <w:t>doi</w:t>
      </w:r>
      <w:proofErr w:type="spellEnd"/>
      <w:r>
        <w:t xml:space="preserve">: 10.1634/stemcells.2006-0224. </w:t>
      </w:r>
    </w:p>
    <w:p w14:paraId="6B90EC31" w14:textId="77777777" w:rsidR="008D7F3B" w:rsidRDefault="0008288D" w:rsidP="00082320">
      <w:pPr>
        <w:autoSpaceDE w:val="0"/>
        <w:autoSpaceDN w:val="0"/>
        <w:adjustRightInd w:val="0"/>
        <w:spacing w:after="0" w:line="360" w:lineRule="auto"/>
        <w:ind w:left="0" w:firstLine="0"/>
        <w:jc w:val="left"/>
      </w:pPr>
      <w:proofErr w:type="spellStart"/>
      <w:r w:rsidRPr="007F5708">
        <w:t>Neufurth</w:t>
      </w:r>
      <w:proofErr w:type="spellEnd"/>
      <w:r w:rsidRPr="007F5708">
        <w:t xml:space="preserve"> M, Wang X, </w:t>
      </w:r>
      <w:proofErr w:type="spellStart"/>
      <w:r w:rsidRPr="007F5708">
        <w:t>Tolba</w:t>
      </w:r>
      <w:proofErr w:type="spellEnd"/>
      <w:r w:rsidRPr="007F5708">
        <w:t xml:space="preserve"> E, et al. The inorganic polymer, polyphosphate, blocks binding of SARS-CoV-2 spike protein to ACE2 receptor at physiological concentrations. </w:t>
      </w:r>
      <w:proofErr w:type="spellStart"/>
      <w:r w:rsidRPr="007F5708">
        <w:rPr>
          <w:i/>
        </w:rPr>
        <w:t>Biochem</w:t>
      </w:r>
      <w:proofErr w:type="spellEnd"/>
      <w:r w:rsidRPr="007F5708">
        <w:rPr>
          <w:i/>
        </w:rPr>
        <w:t xml:space="preserve"> </w:t>
      </w:r>
      <w:proofErr w:type="spellStart"/>
      <w:r w:rsidRPr="007F5708">
        <w:rPr>
          <w:i/>
        </w:rPr>
        <w:t>Pharmacol</w:t>
      </w:r>
      <w:proofErr w:type="spellEnd"/>
      <w:r w:rsidRPr="007F5708">
        <w:t xml:space="preserve">. 2020. doi:10.1016/j.bcp.2020.114215 </w:t>
      </w:r>
    </w:p>
    <w:p w14:paraId="15BE3B3B" w14:textId="0FDA5572" w:rsidR="007B7EDF" w:rsidRDefault="007B7EDF" w:rsidP="00082320">
      <w:pPr>
        <w:autoSpaceDE w:val="0"/>
        <w:autoSpaceDN w:val="0"/>
        <w:adjustRightInd w:val="0"/>
        <w:spacing w:after="0" w:line="360" w:lineRule="auto"/>
        <w:ind w:left="0" w:firstLine="0"/>
        <w:jc w:val="left"/>
        <w:rPr>
          <w:rFonts w:eastAsiaTheme="minorEastAsia"/>
          <w:color w:val="auto"/>
          <w:szCs w:val="28"/>
        </w:rPr>
      </w:pPr>
      <w:r w:rsidRPr="007B7EDF">
        <w:rPr>
          <w:rFonts w:eastAsiaTheme="minorEastAsia"/>
          <w:color w:val="auto"/>
          <w:szCs w:val="28"/>
        </w:rPr>
        <w:lastRenderedPageBreak/>
        <w:t>O’Donnell, J. S., T. A. J. McKinnon, J. T. B. Crawley,</w:t>
      </w:r>
      <w:r>
        <w:rPr>
          <w:rFonts w:eastAsiaTheme="minorEastAsia"/>
          <w:color w:val="auto"/>
          <w:szCs w:val="28"/>
        </w:rPr>
        <w:t xml:space="preserve"> </w:t>
      </w:r>
      <w:r w:rsidRPr="007B7EDF">
        <w:rPr>
          <w:rFonts w:eastAsiaTheme="minorEastAsia"/>
          <w:color w:val="auto"/>
          <w:szCs w:val="28"/>
        </w:rPr>
        <w:t>D. A. Lane, and M. A. Laffan. 2005. Bombay phenotype</w:t>
      </w:r>
      <w:r>
        <w:rPr>
          <w:rFonts w:eastAsiaTheme="minorEastAsia"/>
          <w:color w:val="auto"/>
          <w:szCs w:val="28"/>
        </w:rPr>
        <w:t xml:space="preserve"> </w:t>
      </w:r>
      <w:r w:rsidRPr="007B7EDF">
        <w:rPr>
          <w:rFonts w:eastAsiaTheme="minorEastAsia"/>
          <w:color w:val="auto"/>
          <w:szCs w:val="28"/>
        </w:rPr>
        <w:t>is associated with reduced plasma-VWF</w:t>
      </w:r>
      <w:r>
        <w:rPr>
          <w:rFonts w:eastAsiaTheme="minorEastAsia"/>
          <w:color w:val="auto"/>
          <w:szCs w:val="28"/>
        </w:rPr>
        <w:t xml:space="preserve"> </w:t>
      </w:r>
      <w:r w:rsidRPr="007B7EDF">
        <w:rPr>
          <w:rFonts w:eastAsiaTheme="minorEastAsia"/>
          <w:color w:val="auto"/>
          <w:szCs w:val="28"/>
        </w:rPr>
        <w:t>levels and an</w:t>
      </w:r>
      <w:r>
        <w:rPr>
          <w:rFonts w:eastAsiaTheme="minorEastAsia"/>
          <w:color w:val="auto"/>
          <w:szCs w:val="28"/>
        </w:rPr>
        <w:t xml:space="preserve"> </w:t>
      </w:r>
      <w:r w:rsidRPr="007B7EDF">
        <w:rPr>
          <w:rFonts w:eastAsiaTheme="minorEastAsia"/>
          <w:color w:val="auto"/>
          <w:szCs w:val="28"/>
        </w:rPr>
        <w:t>increased susceptibility to ADAMTS13 proteolysis. Blood</w:t>
      </w:r>
      <w:r w:rsidR="00E9534D">
        <w:rPr>
          <w:rFonts w:eastAsiaTheme="minorEastAsia"/>
          <w:color w:val="auto"/>
          <w:szCs w:val="28"/>
        </w:rPr>
        <w:t xml:space="preserve"> </w:t>
      </w:r>
      <w:r w:rsidRPr="007B7EDF">
        <w:rPr>
          <w:rFonts w:eastAsiaTheme="minorEastAsia"/>
          <w:color w:val="auto"/>
          <w:szCs w:val="28"/>
        </w:rPr>
        <w:t>106:1988–1991.</w:t>
      </w:r>
    </w:p>
    <w:p w14:paraId="460CAD30" w14:textId="0B184C0C" w:rsidR="00BD40C5" w:rsidRPr="00E9534D" w:rsidRDefault="00BD40C5" w:rsidP="00082320">
      <w:pPr>
        <w:autoSpaceDE w:val="0"/>
        <w:autoSpaceDN w:val="0"/>
        <w:adjustRightInd w:val="0"/>
        <w:spacing w:after="0" w:line="360" w:lineRule="auto"/>
        <w:ind w:left="0" w:firstLine="0"/>
        <w:jc w:val="left"/>
        <w:rPr>
          <w:rFonts w:eastAsiaTheme="minorEastAsia"/>
          <w:color w:val="auto"/>
          <w:szCs w:val="28"/>
        </w:rPr>
      </w:pPr>
      <w:r w:rsidRPr="00BD40C5">
        <w:rPr>
          <w:rFonts w:eastAsiaTheme="minorEastAsia"/>
          <w:color w:val="auto"/>
          <w:szCs w:val="28"/>
        </w:rPr>
        <w:t>https://ashpublications.org/blood/article/106/6/1988/21605/Bombay-phenotype-is-associated-with-reduced-plasma</w:t>
      </w:r>
      <w:r>
        <w:rPr>
          <w:rFonts w:eastAsiaTheme="minorEastAsia"/>
          <w:color w:val="auto"/>
          <w:szCs w:val="28"/>
        </w:rPr>
        <w:t>.</w:t>
      </w:r>
    </w:p>
    <w:p w14:paraId="26DC2AC7" w14:textId="4B6D1A64" w:rsidR="007F5708" w:rsidRDefault="007F5708" w:rsidP="00082320">
      <w:pPr>
        <w:autoSpaceDE w:val="0"/>
        <w:autoSpaceDN w:val="0"/>
        <w:adjustRightInd w:val="0"/>
        <w:spacing w:after="0" w:line="360" w:lineRule="auto"/>
        <w:ind w:left="0" w:firstLine="0"/>
        <w:jc w:val="left"/>
        <w:rPr>
          <w:rFonts w:eastAsiaTheme="minorEastAsia"/>
          <w:szCs w:val="28"/>
        </w:rPr>
      </w:pPr>
      <w:r w:rsidRPr="007F5708">
        <w:rPr>
          <w:rFonts w:eastAsiaTheme="minorEastAsia"/>
          <w:szCs w:val="28"/>
        </w:rPr>
        <w:t xml:space="preserve">O’Keefe, D.S. &amp; A. </w:t>
      </w:r>
      <w:proofErr w:type="spellStart"/>
      <w:r w:rsidRPr="007F5708">
        <w:rPr>
          <w:rFonts w:eastAsiaTheme="minorEastAsia"/>
          <w:szCs w:val="28"/>
        </w:rPr>
        <w:t>Dobrovic</w:t>
      </w:r>
      <w:proofErr w:type="spellEnd"/>
      <w:r w:rsidRPr="007F5708">
        <w:rPr>
          <w:rFonts w:eastAsiaTheme="minorEastAsia"/>
          <w:szCs w:val="28"/>
        </w:rPr>
        <w:t>. 1996. A rapid and reliable</w:t>
      </w:r>
      <w:r>
        <w:rPr>
          <w:rFonts w:eastAsiaTheme="minorEastAsia"/>
          <w:szCs w:val="28"/>
        </w:rPr>
        <w:t xml:space="preserve"> </w:t>
      </w:r>
      <w:r w:rsidRPr="007F5708">
        <w:rPr>
          <w:rFonts w:eastAsiaTheme="minorEastAsia"/>
          <w:szCs w:val="28"/>
        </w:rPr>
        <w:t>PCR method for genotyping the ABO blood group. II: A2</w:t>
      </w:r>
      <w:r>
        <w:rPr>
          <w:rFonts w:eastAsiaTheme="minorEastAsia"/>
          <w:szCs w:val="28"/>
        </w:rPr>
        <w:t xml:space="preserve"> </w:t>
      </w:r>
      <w:r w:rsidRPr="007F5708">
        <w:rPr>
          <w:rFonts w:eastAsiaTheme="minorEastAsia"/>
          <w:szCs w:val="28"/>
        </w:rPr>
        <w:t xml:space="preserve">and O2 alleles. </w:t>
      </w:r>
      <w:r w:rsidRPr="00A45A0D">
        <w:rPr>
          <w:rFonts w:eastAsiaTheme="minorEastAsia"/>
          <w:i/>
          <w:iCs/>
          <w:szCs w:val="28"/>
        </w:rPr>
        <w:t xml:space="preserve">Hum. </w:t>
      </w:r>
      <w:proofErr w:type="spellStart"/>
      <w:r w:rsidRPr="00A45A0D">
        <w:rPr>
          <w:rFonts w:eastAsiaTheme="minorEastAsia"/>
          <w:i/>
          <w:iCs/>
          <w:szCs w:val="28"/>
        </w:rPr>
        <w:t>Mutat</w:t>
      </w:r>
      <w:proofErr w:type="spellEnd"/>
      <w:r w:rsidRPr="00A45A0D">
        <w:rPr>
          <w:rFonts w:eastAsiaTheme="minorEastAsia"/>
          <w:i/>
          <w:iCs/>
          <w:szCs w:val="28"/>
        </w:rPr>
        <w:t xml:space="preserve">. </w:t>
      </w:r>
      <w:r w:rsidRPr="00A45A0D">
        <w:rPr>
          <w:rFonts w:eastAsiaTheme="minorEastAsia"/>
          <w:b/>
          <w:bCs/>
          <w:szCs w:val="28"/>
        </w:rPr>
        <w:t xml:space="preserve">8: </w:t>
      </w:r>
      <w:r w:rsidRPr="00A45A0D">
        <w:rPr>
          <w:rFonts w:eastAsiaTheme="minorEastAsia"/>
          <w:szCs w:val="28"/>
        </w:rPr>
        <w:t xml:space="preserve">358–361. </w:t>
      </w:r>
      <w:hyperlink r:id="rId47" w:history="1">
        <w:r w:rsidR="006F380A" w:rsidRPr="00E265D3">
          <w:rPr>
            <w:rStyle w:val="Hyperlink"/>
            <w:rFonts w:eastAsiaTheme="minorEastAsia"/>
            <w:szCs w:val="28"/>
          </w:rPr>
          <w:t>https://doi.org/10.1002/humu.1380020112</w:t>
        </w:r>
      </w:hyperlink>
    </w:p>
    <w:p w14:paraId="63EA9CEC" w14:textId="222A16D5" w:rsidR="006F380A" w:rsidRPr="006F380A" w:rsidRDefault="006F380A" w:rsidP="00082320">
      <w:pPr>
        <w:autoSpaceDE w:val="0"/>
        <w:autoSpaceDN w:val="0"/>
        <w:adjustRightInd w:val="0"/>
        <w:spacing w:after="0" w:line="360" w:lineRule="auto"/>
        <w:ind w:left="0" w:firstLine="0"/>
        <w:jc w:val="left"/>
        <w:rPr>
          <w:rFonts w:eastAsiaTheme="minorEastAsia"/>
          <w:color w:val="auto"/>
          <w:szCs w:val="28"/>
        </w:rPr>
      </w:pPr>
      <w:r w:rsidRPr="006F380A">
        <w:rPr>
          <w:rFonts w:eastAsiaTheme="minorEastAsia"/>
          <w:color w:val="auto"/>
          <w:szCs w:val="28"/>
        </w:rPr>
        <w:t>O’Sullivan, J. M., P. V. Jenkins, O. Rawley, et al. 2016.</w:t>
      </w:r>
      <w:r>
        <w:rPr>
          <w:rFonts w:eastAsiaTheme="minorEastAsia"/>
          <w:color w:val="auto"/>
          <w:szCs w:val="28"/>
        </w:rPr>
        <w:t xml:space="preserve"> </w:t>
      </w:r>
      <w:r w:rsidRPr="006F380A">
        <w:rPr>
          <w:rFonts w:eastAsiaTheme="minorEastAsia"/>
          <w:color w:val="auto"/>
          <w:szCs w:val="28"/>
        </w:rPr>
        <w:t>Galectin-1</w:t>
      </w:r>
      <w:r>
        <w:rPr>
          <w:rFonts w:eastAsiaTheme="minorEastAsia"/>
          <w:color w:val="auto"/>
          <w:szCs w:val="28"/>
        </w:rPr>
        <w:t xml:space="preserve"> </w:t>
      </w:r>
      <w:r w:rsidRPr="006F380A">
        <w:rPr>
          <w:rFonts w:eastAsiaTheme="minorEastAsia"/>
          <w:color w:val="auto"/>
          <w:szCs w:val="28"/>
        </w:rPr>
        <w:t>and galectin-3</w:t>
      </w:r>
    </w:p>
    <w:p w14:paraId="32E0512B" w14:textId="6E86F106" w:rsidR="006F380A" w:rsidRPr="006F380A" w:rsidRDefault="006F380A" w:rsidP="00082320">
      <w:pPr>
        <w:autoSpaceDE w:val="0"/>
        <w:autoSpaceDN w:val="0"/>
        <w:adjustRightInd w:val="0"/>
        <w:spacing w:after="0" w:line="360" w:lineRule="auto"/>
        <w:ind w:left="0" w:firstLine="0"/>
        <w:jc w:val="left"/>
        <w:rPr>
          <w:rFonts w:eastAsiaTheme="minorEastAsia"/>
          <w:color w:val="auto"/>
          <w:szCs w:val="28"/>
        </w:rPr>
      </w:pPr>
      <w:r w:rsidRPr="006F380A">
        <w:rPr>
          <w:rFonts w:eastAsiaTheme="minorEastAsia"/>
          <w:color w:val="auto"/>
          <w:szCs w:val="28"/>
        </w:rPr>
        <w:t>constitute novel-binding</w:t>
      </w:r>
      <w:r>
        <w:rPr>
          <w:rFonts w:eastAsiaTheme="minorEastAsia"/>
          <w:color w:val="auto"/>
          <w:szCs w:val="28"/>
        </w:rPr>
        <w:t xml:space="preserve"> </w:t>
      </w:r>
      <w:r w:rsidRPr="006F380A">
        <w:rPr>
          <w:rFonts w:eastAsiaTheme="minorEastAsia"/>
          <w:color w:val="auto"/>
          <w:szCs w:val="28"/>
        </w:rPr>
        <w:t xml:space="preserve">partners for Factor VIII. </w:t>
      </w:r>
      <w:proofErr w:type="spellStart"/>
      <w:r w:rsidRPr="006F380A">
        <w:rPr>
          <w:rFonts w:eastAsiaTheme="minorEastAsia"/>
          <w:color w:val="auto"/>
          <w:szCs w:val="28"/>
        </w:rPr>
        <w:t>Arterioscler</w:t>
      </w:r>
      <w:proofErr w:type="spellEnd"/>
      <w:r w:rsidRPr="006F380A">
        <w:rPr>
          <w:rFonts w:eastAsiaTheme="minorEastAsia"/>
          <w:color w:val="auto"/>
          <w:szCs w:val="28"/>
        </w:rPr>
        <w:t xml:space="preserve">. </w:t>
      </w:r>
      <w:proofErr w:type="spellStart"/>
      <w:r w:rsidRPr="006F380A">
        <w:rPr>
          <w:rFonts w:eastAsiaTheme="minorEastAsia"/>
          <w:color w:val="auto"/>
          <w:szCs w:val="28"/>
        </w:rPr>
        <w:t>Thromb</w:t>
      </w:r>
      <w:proofErr w:type="spellEnd"/>
      <w:r w:rsidRPr="006F380A">
        <w:rPr>
          <w:rFonts w:eastAsiaTheme="minorEastAsia"/>
          <w:color w:val="auto"/>
          <w:szCs w:val="28"/>
        </w:rPr>
        <w:t xml:space="preserve">. </w:t>
      </w:r>
      <w:proofErr w:type="spellStart"/>
      <w:r w:rsidRPr="006F380A">
        <w:rPr>
          <w:rFonts w:eastAsiaTheme="minorEastAsia"/>
          <w:color w:val="auto"/>
          <w:szCs w:val="28"/>
        </w:rPr>
        <w:t>Vasc</w:t>
      </w:r>
      <w:proofErr w:type="spellEnd"/>
      <w:r w:rsidRPr="006F380A">
        <w:rPr>
          <w:rFonts w:eastAsiaTheme="minorEastAsia"/>
          <w:color w:val="auto"/>
          <w:szCs w:val="28"/>
        </w:rPr>
        <w:t>.</w:t>
      </w:r>
    </w:p>
    <w:p w14:paraId="79E7C1FC" w14:textId="343B44DE" w:rsidR="006F380A" w:rsidRPr="006F380A" w:rsidRDefault="006F380A" w:rsidP="00082320">
      <w:pPr>
        <w:autoSpaceDE w:val="0"/>
        <w:autoSpaceDN w:val="0"/>
        <w:adjustRightInd w:val="0"/>
        <w:spacing w:after="0" w:line="360" w:lineRule="auto"/>
        <w:ind w:left="0" w:firstLine="0"/>
        <w:jc w:val="left"/>
        <w:rPr>
          <w:rFonts w:eastAsiaTheme="minorEastAsia"/>
          <w:szCs w:val="28"/>
        </w:rPr>
      </w:pPr>
      <w:r w:rsidRPr="006F380A">
        <w:rPr>
          <w:rFonts w:eastAsiaTheme="minorEastAsia"/>
          <w:color w:val="auto"/>
          <w:szCs w:val="28"/>
        </w:rPr>
        <w:t>Biol. 36:855–863.</w:t>
      </w:r>
      <w:r w:rsidR="000F377D">
        <w:rPr>
          <w:rFonts w:eastAsiaTheme="minorEastAsia"/>
          <w:color w:val="auto"/>
          <w:szCs w:val="28"/>
        </w:rPr>
        <w:t xml:space="preserve"> </w:t>
      </w:r>
      <w:r w:rsidR="000F377D" w:rsidRPr="000F377D">
        <w:rPr>
          <w:rFonts w:eastAsiaTheme="minorEastAsia"/>
          <w:color w:val="auto"/>
          <w:szCs w:val="28"/>
        </w:rPr>
        <w:t>https://www.ahajournals.org/doi/full/10.1161/atvbaha.115.306915</w:t>
      </w:r>
    </w:p>
    <w:p w14:paraId="6AEC1728" w14:textId="28FFD7CA" w:rsidR="00F149F4" w:rsidRDefault="0008288D" w:rsidP="00543429">
      <w:pPr>
        <w:spacing w:after="0" w:line="360" w:lineRule="auto"/>
        <w:ind w:left="0" w:firstLine="0"/>
        <w:jc w:val="left"/>
      </w:pPr>
      <w:proofErr w:type="spellStart"/>
      <w:r w:rsidRPr="007F5708">
        <w:t>Oostra</w:t>
      </w:r>
      <w:proofErr w:type="spellEnd"/>
      <w:r w:rsidRPr="007F5708">
        <w:t xml:space="preserve">, M., de </w:t>
      </w:r>
      <w:proofErr w:type="spellStart"/>
      <w:r w:rsidRPr="007F5708">
        <w:t>Haan</w:t>
      </w:r>
      <w:proofErr w:type="spellEnd"/>
      <w:r w:rsidRPr="007F5708">
        <w:t xml:space="preserve"> C.A., de Groot, R.J., et al., 2006. Glycosylation of the Severe</w:t>
      </w:r>
      <w:r>
        <w:t xml:space="preserve"> Acute Respiratory Syndrome Coronavirus Triple-Spanning Membrane Proteins 3a and M. J. </w:t>
      </w:r>
      <w:proofErr w:type="spellStart"/>
      <w:r>
        <w:t>Virol</w:t>
      </w:r>
      <w:proofErr w:type="spellEnd"/>
      <w:r>
        <w:t xml:space="preserve">. 80 (5), 2326–2336. https://doi.org/10.1128/jvi.80.5.23262336.2006. </w:t>
      </w:r>
    </w:p>
    <w:p w14:paraId="2E3C7DDB" w14:textId="77777777" w:rsidR="00543429" w:rsidRDefault="009607D1" w:rsidP="00543429">
      <w:pPr>
        <w:widowControl w:val="0"/>
        <w:autoSpaceDE w:val="0"/>
        <w:autoSpaceDN w:val="0"/>
        <w:adjustRightInd w:val="0"/>
        <w:spacing w:after="160" w:line="360" w:lineRule="auto"/>
        <w:rPr>
          <w:rFonts w:eastAsiaTheme="minorHAnsi"/>
          <w:noProof/>
          <w:color w:val="auto"/>
          <w:szCs w:val="28"/>
        </w:rPr>
      </w:pPr>
      <w:r w:rsidRPr="009607D1">
        <w:rPr>
          <w:rFonts w:eastAsiaTheme="minorHAnsi"/>
          <w:bCs/>
          <w:noProof/>
          <w:color w:val="auto"/>
          <w:szCs w:val="28"/>
        </w:rPr>
        <w:t>Pauling L</w:t>
      </w:r>
      <w:r w:rsidRPr="009607D1">
        <w:rPr>
          <w:rFonts w:eastAsiaTheme="minorHAnsi"/>
          <w:noProof/>
          <w:color w:val="auto"/>
          <w:szCs w:val="28"/>
        </w:rPr>
        <w:t xml:space="preserve">. A Theory of the Structure and Process of Formation of Antibodies. </w:t>
      </w:r>
      <w:r w:rsidRPr="009607D1">
        <w:rPr>
          <w:rFonts w:eastAsiaTheme="minorHAnsi"/>
          <w:i/>
          <w:iCs/>
          <w:noProof/>
          <w:color w:val="auto"/>
          <w:szCs w:val="28"/>
        </w:rPr>
        <w:t>J. Am. Chem. Soc.</w:t>
      </w:r>
      <w:r w:rsidRPr="009607D1">
        <w:rPr>
          <w:rFonts w:eastAsiaTheme="minorHAnsi"/>
          <w:noProof/>
          <w:color w:val="auto"/>
          <w:szCs w:val="28"/>
        </w:rPr>
        <w:t xml:space="preserve"> 1940; </w:t>
      </w:r>
      <w:r w:rsidRPr="009607D1">
        <w:rPr>
          <w:rFonts w:eastAsiaTheme="minorHAnsi"/>
          <w:bCs/>
          <w:noProof/>
          <w:color w:val="auto"/>
          <w:szCs w:val="28"/>
        </w:rPr>
        <w:t>62</w:t>
      </w:r>
      <w:r w:rsidRPr="009607D1">
        <w:rPr>
          <w:rFonts w:eastAsiaTheme="minorHAnsi"/>
          <w:noProof/>
          <w:color w:val="auto"/>
          <w:szCs w:val="28"/>
        </w:rPr>
        <w:t>:2643–2657. Available at: https://pubs.acs.org/doi/abs/10.1021/ja01867a018 [Accessed April 24, 2021].DOI: 10.1021/ja01867a018.</w:t>
      </w:r>
      <w:r w:rsidR="00543429">
        <w:rPr>
          <w:rFonts w:eastAsiaTheme="minorHAnsi"/>
          <w:noProof/>
          <w:color w:val="auto"/>
          <w:szCs w:val="28"/>
        </w:rPr>
        <w:t xml:space="preserve"> </w:t>
      </w:r>
    </w:p>
    <w:p w14:paraId="376EE139" w14:textId="00573FF0" w:rsidR="00543429" w:rsidRPr="00543429" w:rsidRDefault="00543429" w:rsidP="00543429">
      <w:pPr>
        <w:widowControl w:val="0"/>
        <w:autoSpaceDE w:val="0"/>
        <w:autoSpaceDN w:val="0"/>
        <w:adjustRightInd w:val="0"/>
        <w:spacing w:after="160" w:line="360" w:lineRule="auto"/>
        <w:rPr>
          <w:rFonts w:eastAsiaTheme="minorHAnsi"/>
          <w:noProof/>
          <w:color w:val="auto"/>
          <w:szCs w:val="28"/>
        </w:rPr>
      </w:pPr>
      <w:r w:rsidRPr="00543429">
        <w:rPr>
          <w:rFonts w:eastAsiaTheme="minorHAnsi"/>
          <w:bCs/>
          <w:noProof/>
          <w:color w:val="auto"/>
          <w:szCs w:val="28"/>
        </w:rPr>
        <w:t>Podbielska M</w:t>
      </w:r>
      <w:r w:rsidRPr="00543429">
        <w:rPr>
          <w:rFonts w:eastAsiaTheme="minorHAnsi"/>
          <w:noProof/>
          <w:color w:val="auto"/>
          <w:szCs w:val="28"/>
        </w:rPr>
        <w:t xml:space="preserve">, </w:t>
      </w:r>
      <w:r w:rsidRPr="00543429">
        <w:rPr>
          <w:rFonts w:eastAsiaTheme="minorHAnsi"/>
          <w:bCs/>
          <w:noProof/>
          <w:color w:val="auto"/>
          <w:szCs w:val="28"/>
        </w:rPr>
        <w:t>Krotkiewski H</w:t>
      </w:r>
      <w:r w:rsidRPr="00543429">
        <w:rPr>
          <w:rFonts w:eastAsiaTheme="minorHAnsi"/>
          <w:noProof/>
          <w:color w:val="auto"/>
          <w:szCs w:val="28"/>
        </w:rPr>
        <w:t xml:space="preserve">. Identification of blood group A and B antigens in human glycophorin. </w:t>
      </w:r>
      <w:r w:rsidRPr="00543429">
        <w:rPr>
          <w:rFonts w:eastAsiaTheme="minorHAnsi"/>
          <w:i/>
          <w:iCs/>
          <w:noProof/>
          <w:color w:val="auto"/>
          <w:szCs w:val="28"/>
        </w:rPr>
        <w:t>Arch Immunol Ther Exp</w:t>
      </w:r>
      <w:r w:rsidRPr="00543429">
        <w:rPr>
          <w:rFonts w:eastAsiaTheme="minorHAnsi"/>
          <w:noProof/>
          <w:color w:val="auto"/>
          <w:szCs w:val="28"/>
        </w:rPr>
        <w:t xml:space="preserve">. 2000; </w:t>
      </w:r>
      <w:r w:rsidRPr="00543429">
        <w:rPr>
          <w:rFonts w:eastAsiaTheme="minorHAnsi"/>
          <w:bCs/>
          <w:noProof/>
          <w:color w:val="auto"/>
          <w:szCs w:val="28"/>
        </w:rPr>
        <w:t>48</w:t>
      </w:r>
      <w:r w:rsidRPr="00543429">
        <w:rPr>
          <w:rFonts w:eastAsiaTheme="minorHAnsi"/>
          <w:noProof/>
          <w:color w:val="auto"/>
          <w:szCs w:val="28"/>
        </w:rPr>
        <w:t>:211–221. Available at: http://www.ncbi.nlm.nih.gov/entrez/query.fcgi?cmd=Retrieve&amp;db=PubMed&amp;dopt=Citation&amp;list_uids=10912628.</w:t>
      </w:r>
    </w:p>
    <w:p w14:paraId="7E41517D" w14:textId="77777777" w:rsidR="00F149F4" w:rsidRDefault="0008288D" w:rsidP="00082320">
      <w:pPr>
        <w:spacing w:after="0" w:line="360" w:lineRule="auto"/>
        <w:ind w:left="0" w:firstLine="0"/>
        <w:jc w:val="left"/>
      </w:pPr>
      <w:proofErr w:type="spellStart"/>
      <w:r>
        <w:t>Preece</w:t>
      </w:r>
      <w:proofErr w:type="spellEnd"/>
      <w:r>
        <w:t xml:space="preserve">, A.F., Strahan, K.M., Devitt, J., et al., 2002. Expression of ABO or related antigenic carbohydrates on viral envelopes leads to neutralization in the presence of </w:t>
      </w:r>
      <w:r>
        <w:lastRenderedPageBreak/>
        <w:t xml:space="preserve">serum containing specific natural antibodies and complement. Blood 99 (7), 2477– 2482. https://doi.org/10.1182/blood.v99.7.2477.  </w:t>
      </w:r>
    </w:p>
    <w:p w14:paraId="2AE02CCF" w14:textId="77777777" w:rsidR="00F149F4" w:rsidRDefault="0008288D" w:rsidP="00082320">
      <w:pPr>
        <w:spacing w:after="0" w:line="360" w:lineRule="auto"/>
        <w:ind w:left="-5"/>
        <w:jc w:val="left"/>
      </w:pPr>
      <w:r>
        <w:t xml:space="preserve">Reisner, Y., </w:t>
      </w:r>
      <w:proofErr w:type="spellStart"/>
      <w:r>
        <w:t>Itzicovitch</w:t>
      </w:r>
      <w:proofErr w:type="spellEnd"/>
      <w:r>
        <w:t xml:space="preserve">, L., </w:t>
      </w:r>
      <w:proofErr w:type="spellStart"/>
      <w:r>
        <w:t>Meshorer</w:t>
      </w:r>
      <w:proofErr w:type="spellEnd"/>
      <w:r>
        <w:t xml:space="preserve">, A. &amp; Sharon, N. (1978) ‘Hemopoietic stem cell transplantation using mouse bone marrow and spleen cells fractionated by lectins.’, </w:t>
      </w:r>
      <w:r>
        <w:rPr>
          <w:i/>
        </w:rPr>
        <w:t xml:space="preserve">Proc Natl </w:t>
      </w:r>
      <w:proofErr w:type="spellStart"/>
      <w:r>
        <w:rPr>
          <w:i/>
        </w:rPr>
        <w:t>Acad</w:t>
      </w:r>
      <w:proofErr w:type="spellEnd"/>
      <w:r>
        <w:rPr>
          <w:i/>
        </w:rPr>
        <w:t xml:space="preserve"> Sci U S A</w:t>
      </w:r>
      <w:r>
        <w:t xml:space="preserve">, 75(6), pp. 2933–6. Available at: </w:t>
      </w:r>
    </w:p>
    <w:p w14:paraId="7523D989" w14:textId="77777777" w:rsidR="00F149F4" w:rsidRPr="003D7B57" w:rsidRDefault="0008288D" w:rsidP="00082320">
      <w:pPr>
        <w:spacing w:after="0" w:line="360" w:lineRule="auto"/>
        <w:ind w:left="-5"/>
        <w:jc w:val="left"/>
      </w:pPr>
      <w:r w:rsidRPr="003D7B57">
        <w:t xml:space="preserve">http://www.pubmedcentral.nih.gov/articlerender.fcgi?artid=392680&amp;tool=pmcentr </w:t>
      </w:r>
      <w:proofErr w:type="spellStart"/>
      <w:r w:rsidRPr="003D7B57">
        <w:t>ez&amp;rendertype</w:t>
      </w:r>
      <w:proofErr w:type="spellEnd"/>
      <w:r w:rsidRPr="003D7B57">
        <w:t xml:space="preserve">=abstract. </w:t>
      </w:r>
    </w:p>
    <w:p w14:paraId="5A0064B2" w14:textId="77777777" w:rsidR="00E22A8B" w:rsidRDefault="0008288D" w:rsidP="00082320">
      <w:pPr>
        <w:autoSpaceDE w:val="0"/>
        <w:autoSpaceDN w:val="0"/>
        <w:adjustRightInd w:val="0"/>
        <w:spacing w:after="0" w:line="360" w:lineRule="auto"/>
        <w:ind w:left="0" w:firstLine="0"/>
        <w:jc w:val="left"/>
        <w:rPr>
          <w:rFonts w:eastAsiaTheme="minorEastAsia"/>
          <w:szCs w:val="28"/>
          <w:lang w:val="de-DE"/>
        </w:rPr>
      </w:pPr>
      <w:r w:rsidRPr="003D7B57">
        <w:t xml:space="preserve">Rivera-Correa, J., Guthmiller, J.J., Vijay, R., et al., 2017. Plasmodium DNA-mediated TLR9 activation of T-bet+ B cells contributes to autoimmune </w:t>
      </w:r>
      <w:proofErr w:type="spellStart"/>
      <w:r w:rsidRPr="003D7B57">
        <w:t>anaemia</w:t>
      </w:r>
      <w:proofErr w:type="spellEnd"/>
      <w:r w:rsidRPr="003D7B57">
        <w:t xml:space="preserve"> during malaria. </w:t>
      </w:r>
      <w:r w:rsidRPr="003D7B57">
        <w:rPr>
          <w:lang w:val="de-DE"/>
        </w:rPr>
        <w:t xml:space="preserve">Nat. Commun. 8, 1282. </w:t>
      </w:r>
      <w:hyperlink r:id="rId48">
        <w:r w:rsidRPr="003D7B57">
          <w:rPr>
            <w:lang w:val="de-DE"/>
          </w:rPr>
          <w:t>https://doi.org/10.1038/s41467</w:t>
        </w:r>
      </w:hyperlink>
      <w:hyperlink r:id="rId49">
        <w:r w:rsidRPr="003D7B57">
          <w:rPr>
            <w:lang w:val="de-DE"/>
          </w:rPr>
          <w:t>-</w:t>
        </w:r>
      </w:hyperlink>
      <w:hyperlink r:id="rId50">
        <w:r w:rsidRPr="003D7B57">
          <w:rPr>
            <w:lang w:val="de-DE"/>
          </w:rPr>
          <w:t>017</w:t>
        </w:r>
      </w:hyperlink>
      <w:hyperlink r:id="rId51">
        <w:r w:rsidRPr="003D7B57">
          <w:rPr>
            <w:lang w:val="de-DE"/>
          </w:rPr>
          <w:t>-</w:t>
        </w:r>
      </w:hyperlink>
      <w:hyperlink r:id="rId52">
        <w:r w:rsidRPr="003D7B57">
          <w:rPr>
            <w:lang w:val="de-DE"/>
          </w:rPr>
          <w:t>01476</w:t>
        </w:r>
      </w:hyperlink>
      <w:hyperlink r:id="rId53">
        <w:r w:rsidRPr="003D7B57">
          <w:rPr>
            <w:lang w:val="de-DE"/>
          </w:rPr>
          <w:t>-</w:t>
        </w:r>
      </w:hyperlink>
      <w:r w:rsidR="002F1B61" w:rsidRPr="003D7B57">
        <w:rPr>
          <w:rFonts w:eastAsiaTheme="minorEastAsia"/>
          <w:szCs w:val="28"/>
          <w:lang w:val="de-DE"/>
        </w:rPr>
        <w:t xml:space="preserve"> </w:t>
      </w:r>
    </w:p>
    <w:p w14:paraId="30D414C8" w14:textId="3D21EFFC" w:rsidR="002F1B61" w:rsidRPr="003D7B57" w:rsidRDefault="002F1B61" w:rsidP="00082320">
      <w:pPr>
        <w:autoSpaceDE w:val="0"/>
        <w:autoSpaceDN w:val="0"/>
        <w:adjustRightInd w:val="0"/>
        <w:spacing w:after="0" w:line="360" w:lineRule="auto"/>
        <w:ind w:left="0" w:firstLine="0"/>
        <w:jc w:val="left"/>
        <w:rPr>
          <w:rFonts w:eastAsiaTheme="minorEastAsia"/>
          <w:szCs w:val="28"/>
          <w:lang w:val="de-DE"/>
        </w:rPr>
      </w:pPr>
      <w:r w:rsidRPr="003D7B57">
        <w:rPr>
          <w:rFonts w:eastAsiaTheme="minorEastAsia"/>
          <w:szCs w:val="28"/>
          <w:lang w:val="de-DE"/>
        </w:rPr>
        <w:t xml:space="preserve">Seltsam, A., M. Hallensleben, A. Kollmann &amp; R. </w:t>
      </w:r>
      <w:proofErr w:type="spellStart"/>
      <w:r w:rsidRPr="003D7B57">
        <w:rPr>
          <w:rFonts w:eastAsiaTheme="minorEastAsia"/>
          <w:szCs w:val="28"/>
          <w:lang w:val="de-DE"/>
        </w:rPr>
        <w:t>Blasczyk</w:t>
      </w:r>
      <w:proofErr w:type="spellEnd"/>
      <w:r w:rsidRPr="003D7B57">
        <w:rPr>
          <w:rFonts w:eastAsiaTheme="minorEastAsia"/>
          <w:szCs w:val="28"/>
          <w:lang w:val="de-DE"/>
        </w:rPr>
        <w:t>.</w:t>
      </w:r>
      <w:r w:rsidR="003D7B57">
        <w:rPr>
          <w:rFonts w:eastAsiaTheme="minorEastAsia"/>
          <w:szCs w:val="28"/>
          <w:lang w:val="de-DE"/>
        </w:rPr>
        <w:t xml:space="preserve"> </w:t>
      </w:r>
      <w:r w:rsidRPr="003D7B57">
        <w:rPr>
          <w:rFonts w:eastAsiaTheme="minorEastAsia"/>
          <w:szCs w:val="28"/>
        </w:rPr>
        <w:t xml:space="preserve">2005. </w:t>
      </w:r>
      <w:proofErr w:type="spellStart"/>
      <w:r w:rsidRPr="003D7B57">
        <w:rPr>
          <w:rFonts w:eastAsiaTheme="minorEastAsia"/>
          <w:szCs w:val="28"/>
        </w:rPr>
        <w:t>Nondeletional</w:t>
      </w:r>
      <w:proofErr w:type="spellEnd"/>
      <w:r w:rsidRPr="003D7B57">
        <w:rPr>
          <w:rFonts w:eastAsiaTheme="minorEastAsia"/>
          <w:szCs w:val="28"/>
        </w:rPr>
        <w:t xml:space="preserve"> ABO*O alleles express weak blood</w:t>
      </w:r>
      <w:r w:rsidR="003D7B57" w:rsidRPr="003D7B57">
        <w:rPr>
          <w:rFonts w:eastAsiaTheme="minorEastAsia"/>
          <w:szCs w:val="28"/>
        </w:rPr>
        <w:t xml:space="preserve"> </w:t>
      </w:r>
      <w:r w:rsidRPr="003D7B57">
        <w:rPr>
          <w:rFonts w:eastAsiaTheme="minorEastAsia"/>
          <w:szCs w:val="28"/>
        </w:rPr>
        <w:t xml:space="preserve">group A phenotypes. </w:t>
      </w:r>
      <w:r w:rsidRPr="00A45A0D">
        <w:rPr>
          <w:rFonts w:eastAsiaTheme="minorEastAsia"/>
          <w:i/>
          <w:iCs/>
          <w:szCs w:val="28"/>
          <w:lang w:val="de-DE"/>
        </w:rPr>
        <w:t xml:space="preserve">Transfusion </w:t>
      </w:r>
      <w:r w:rsidRPr="00A45A0D">
        <w:rPr>
          <w:rFonts w:eastAsiaTheme="minorEastAsia"/>
          <w:b/>
          <w:bCs/>
          <w:szCs w:val="28"/>
          <w:lang w:val="de-DE"/>
        </w:rPr>
        <w:t xml:space="preserve">45: </w:t>
      </w:r>
      <w:r w:rsidRPr="00A45A0D">
        <w:rPr>
          <w:rFonts w:eastAsiaTheme="minorEastAsia"/>
          <w:szCs w:val="28"/>
          <w:lang w:val="de-DE"/>
        </w:rPr>
        <w:t>359–365. https://doi.org/10.1111/j.1537-2995.2005.04228.x</w:t>
      </w:r>
    </w:p>
    <w:p w14:paraId="7B5D62E3" w14:textId="6B98DC83" w:rsidR="00F149F4" w:rsidRDefault="0008288D" w:rsidP="00082320">
      <w:pPr>
        <w:spacing w:after="0" w:line="360" w:lineRule="auto"/>
        <w:jc w:val="left"/>
      </w:pPr>
      <w:r w:rsidRPr="00BC6A42">
        <w:rPr>
          <w:lang w:val="de-DE"/>
        </w:rPr>
        <w:t xml:space="preserve">Shao, W., Hu, F., Ma, J., et al., 2016. </w:t>
      </w:r>
      <w:r>
        <w:t xml:space="preserve">Epithelial cells are a source of natural IgM that contribute to innate immune responses. Int. J. </w:t>
      </w:r>
      <w:proofErr w:type="spellStart"/>
      <w:r>
        <w:t>Biochem</w:t>
      </w:r>
      <w:proofErr w:type="spellEnd"/>
      <w:r>
        <w:t xml:space="preserve">. Cell Biol. 73, 19–29. https://doi.org/10.1016/j.biocel.2016.01.017. Bennett, E., Mandel, U., Clausen, H. </w:t>
      </w:r>
    </w:p>
    <w:p w14:paraId="48A7A410" w14:textId="77777777" w:rsidR="00F149F4" w:rsidRDefault="0008288D" w:rsidP="00082320">
      <w:pPr>
        <w:spacing w:after="0" w:line="360" w:lineRule="auto"/>
        <w:ind w:left="-5"/>
        <w:jc w:val="left"/>
      </w:pPr>
      <w:r>
        <w:t xml:space="preserve">et al. (2012) ‘Control of mucin-type O-glycosylation: A classification of the polypeptide </w:t>
      </w:r>
      <w:proofErr w:type="spellStart"/>
      <w:r>
        <w:t>GalNAc</w:t>
      </w:r>
      <w:proofErr w:type="spellEnd"/>
      <w:r>
        <w:t xml:space="preserve">-transferase gene family.’, </w:t>
      </w:r>
      <w:r>
        <w:rPr>
          <w:i/>
        </w:rPr>
        <w:t>Glycobiology</w:t>
      </w:r>
      <w:r>
        <w:t xml:space="preserve">, 22(6), pp. 736–56. </w:t>
      </w:r>
      <w:proofErr w:type="spellStart"/>
      <w:r>
        <w:t>doi</w:t>
      </w:r>
      <w:proofErr w:type="spellEnd"/>
      <w:r>
        <w:t xml:space="preserve">: </w:t>
      </w:r>
      <w:proofErr w:type="spellStart"/>
      <w:r>
        <w:t>doi</w:t>
      </w:r>
      <w:proofErr w:type="spellEnd"/>
      <w:r>
        <w:t>: 10.1093/</w:t>
      </w:r>
      <w:proofErr w:type="spellStart"/>
      <w:r>
        <w:t>glycob</w:t>
      </w:r>
      <w:proofErr w:type="spellEnd"/>
      <w:r>
        <w:t xml:space="preserve">/cwr182. </w:t>
      </w:r>
    </w:p>
    <w:p w14:paraId="624DCE8E" w14:textId="77777777" w:rsidR="00F149F4" w:rsidRDefault="0008288D" w:rsidP="00082320">
      <w:pPr>
        <w:spacing w:after="0" w:line="360" w:lineRule="auto"/>
        <w:ind w:left="-5"/>
        <w:jc w:val="left"/>
      </w:pPr>
      <w:r>
        <w:t xml:space="preserve">Simmons, G., </w:t>
      </w:r>
      <w:proofErr w:type="spellStart"/>
      <w:r>
        <w:t>Gosalia</w:t>
      </w:r>
      <w:proofErr w:type="spellEnd"/>
      <w:r>
        <w:t xml:space="preserve">, D.N., </w:t>
      </w:r>
      <w:proofErr w:type="spellStart"/>
      <w:r>
        <w:t>Rennekamp</w:t>
      </w:r>
      <w:proofErr w:type="spellEnd"/>
      <w:r>
        <w:t xml:space="preserve">, A.J., et al., 2005. Inhibitors of cathepsin L prevent severe acute respiratory syndrome coronavirus entry. Proc. Natl. Acad. </w:t>
      </w:r>
    </w:p>
    <w:p w14:paraId="759B2A42" w14:textId="77777777" w:rsidR="004338D0" w:rsidRDefault="0008288D" w:rsidP="00082320">
      <w:pPr>
        <w:spacing w:after="0" w:line="360" w:lineRule="auto"/>
        <w:ind w:left="-5"/>
        <w:jc w:val="left"/>
      </w:pPr>
      <w:r>
        <w:t>Sci. U. S. A. 102(33):11876–11881.</w:t>
      </w:r>
      <w:hyperlink r:id="rId54">
        <w:r>
          <w:t xml:space="preserve"> </w:t>
        </w:r>
      </w:hyperlink>
      <w:hyperlink r:id="rId55">
        <w:r>
          <w:t>https://doi.org/10.1073/pnas.0505577102</w:t>
        </w:r>
      </w:hyperlink>
      <w:hyperlink r:id="rId56">
        <w:r>
          <w:t>.</w:t>
        </w:r>
      </w:hyperlink>
    </w:p>
    <w:p w14:paraId="5DFA0822" w14:textId="662EDCE3" w:rsidR="00F149F4" w:rsidRPr="00750D81" w:rsidRDefault="0008288D" w:rsidP="00082320">
      <w:pPr>
        <w:spacing w:after="0" w:line="360" w:lineRule="auto"/>
        <w:ind w:left="-5"/>
        <w:jc w:val="left"/>
        <w:rPr>
          <w:szCs w:val="28"/>
        </w:rPr>
      </w:pPr>
      <w:r w:rsidRPr="003A6F61">
        <w:t xml:space="preserve"> </w:t>
      </w:r>
      <w:r w:rsidR="004338D0" w:rsidRPr="00750D81">
        <w:rPr>
          <w:bCs/>
          <w:noProof/>
          <w:szCs w:val="28"/>
          <w:lang w:val="de-DE"/>
        </w:rPr>
        <w:t>Singh A</w:t>
      </w:r>
      <w:r w:rsidR="004338D0" w:rsidRPr="00750D81">
        <w:rPr>
          <w:noProof/>
          <w:szCs w:val="28"/>
          <w:lang w:val="de-DE"/>
        </w:rPr>
        <w:t xml:space="preserve">, </w:t>
      </w:r>
      <w:r w:rsidR="004338D0" w:rsidRPr="00750D81">
        <w:rPr>
          <w:bCs/>
          <w:noProof/>
          <w:szCs w:val="28"/>
          <w:lang w:val="de-DE"/>
        </w:rPr>
        <w:t>Steinkellner G</w:t>
      </w:r>
      <w:r w:rsidR="004338D0" w:rsidRPr="00750D81">
        <w:rPr>
          <w:noProof/>
          <w:szCs w:val="28"/>
          <w:lang w:val="de-DE"/>
        </w:rPr>
        <w:t xml:space="preserve">, </w:t>
      </w:r>
      <w:r w:rsidR="004338D0" w:rsidRPr="00750D81">
        <w:rPr>
          <w:bCs/>
          <w:noProof/>
          <w:szCs w:val="28"/>
          <w:lang w:val="de-DE"/>
        </w:rPr>
        <w:t>Köchl K</w:t>
      </w:r>
      <w:r w:rsidR="004338D0" w:rsidRPr="00750D81">
        <w:rPr>
          <w:noProof/>
          <w:szCs w:val="28"/>
          <w:lang w:val="de-DE"/>
        </w:rPr>
        <w:t xml:space="preserve">, </w:t>
      </w:r>
      <w:r w:rsidR="004338D0" w:rsidRPr="00750D81">
        <w:rPr>
          <w:bCs/>
          <w:noProof/>
          <w:szCs w:val="28"/>
          <w:lang w:val="de-DE"/>
        </w:rPr>
        <w:t>Gruber K</w:t>
      </w:r>
      <w:r w:rsidR="004338D0" w:rsidRPr="00750D81">
        <w:rPr>
          <w:noProof/>
          <w:szCs w:val="28"/>
          <w:lang w:val="de-DE"/>
        </w:rPr>
        <w:t xml:space="preserve">, </w:t>
      </w:r>
      <w:r w:rsidR="004338D0" w:rsidRPr="00750D81">
        <w:rPr>
          <w:bCs/>
          <w:noProof/>
          <w:szCs w:val="28"/>
          <w:lang w:val="de-DE"/>
        </w:rPr>
        <w:t>Gruber CC</w:t>
      </w:r>
      <w:r w:rsidR="004338D0" w:rsidRPr="00750D81">
        <w:rPr>
          <w:noProof/>
          <w:szCs w:val="28"/>
          <w:lang w:val="de-DE"/>
        </w:rPr>
        <w:t xml:space="preserve">. </w:t>
      </w:r>
      <w:r w:rsidR="004338D0" w:rsidRPr="00750D81">
        <w:rPr>
          <w:noProof/>
          <w:szCs w:val="28"/>
        </w:rPr>
        <w:t xml:space="preserve">Serine 477 plays a crucial role in the interaction of the SARS-CoV-2 spike protein with the human receptor ACE2. </w:t>
      </w:r>
      <w:r w:rsidR="004338D0" w:rsidRPr="00750D81">
        <w:rPr>
          <w:i/>
          <w:iCs/>
          <w:noProof/>
          <w:szCs w:val="28"/>
        </w:rPr>
        <w:t>Sci. Rep.</w:t>
      </w:r>
      <w:r w:rsidR="004338D0" w:rsidRPr="00750D81">
        <w:rPr>
          <w:noProof/>
          <w:szCs w:val="28"/>
        </w:rPr>
        <w:t xml:space="preserve"> 2021; </w:t>
      </w:r>
      <w:r w:rsidR="004338D0" w:rsidRPr="00750D81">
        <w:rPr>
          <w:bCs/>
          <w:noProof/>
          <w:szCs w:val="28"/>
        </w:rPr>
        <w:t>11</w:t>
      </w:r>
      <w:r w:rsidR="004338D0" w:rsidRPr="00750D81">
        <w:rPr>
          <w:noProof/>
          <w:szCs w:val="28"/>
        </w:rPr>
        <w:t>:4320. Available at: www.nature.com/scientificreports [Accessed June 4, 2021].DOI: 10.1038/s41598-021-83761-5.</w:t>
      </w:r>
    </w:p>
    <w:p w14:paraId="5C16E56E" w14:textId="77777777" w:rsidR="00F149F4" w:rsidRDefault="0008288D" w:rsidP="00082320">
      <w:pPr>
        <w:spacing w:after="0" w:line="360" w:lineRule="auto"/>
        <w:ind w:left="-5"/>
        <w:jc w:val="left"/>
      </w:pPr>
      <w:r>
        <w:lastRenderedPageBreak/>
        <w:t xml:space="preserve">Springer, G. F. and Wiener, A. S. (1962) ‘Alleged causes of the present-day world distribution of the human abo blood groups’, </w:t>
      </w:r>
      <w:r>
        <w:rPr>
          <w:i/>
        </w:rPr>
        <w:t>Nature</w:t>
      </w:r>
      <w:r>
        <w:t xml:space="preserve">, 193(4814), pp. 444–445. </w:t>
      </w:r>
      <w:proofErr w:type="spellStart"/>
      <w:r>
        <w:t>doi</w:t>
      </w:r>
      <w:proofErr w:type="spellEnd"/>
      <w:r>
        <w:t xml:space="preserve">: </w:t>
      </w:r>
    </w:p>
    <w:p w14:paraId="756C8812" w14:textId="77777777" w:rsidR="00F149F4" w:rsidRDefault="0008288D" w:rsidP="00082320">
      <w:pPr>
        <w:spacing w:after="0" w:line="360" w:lineRule="auto"/>
        <w:ind w:left="-5"/>
        <w:jc w:val="left"/>
      </w:pPr>
      <w:r>
        <w:t xml:space="preserve">10.1038/193444a0. </w:t>
      </w:r>
    </w:p>
    <w:p w14:paraId="5FAD15F2" w14:textId="77777777" w:rsidR="00F149F4" w:rsidRDefault="0008288D" w:rsidP="00082320">
      <w:pPr>
        <w:spacing w:after="0" w:line="360" w:lineRule="auto"/>
        <w:ind w:left="-5"/>
        <w:jc w:val="left"/>
      </w:pPr>
      <w:r>
        <w:t xml:space="preserve">Stanley, S.L., Tian, K., Koester, J.P., et al., 1995. The Serine-rich </w:t>
      </w:r>
      <w:r>
        <w:rPr>
          <w:i/>
        </w:rPr>
        <w:t>Entamoeba histolytica</w:t>
      </w:r>
      <w:r>
        <w:t xml:space="preserve"> Protein Is a Phosphorylated Membrane Protein Containing </w:t>
      </w:r>
      <w:r>
        <w:rPr>
          <w:i/>
        </w:rPr>
        <w:t>O</w:t>
      </w:r>
      <w:r>
        <w:t xml:space="preserve">-Linked Terminal </w:t>
      </w:r>
      <w:r>
        <w:rPr>
          <w:i/>
        </w:rPr>
        <w:t>N</w:t>
      </w:r>
      <w:r>
        <w:t xml:space="preserve">-Acetylglucosamine Residues. J. Biol. Chem. 270 (8), 4121–4126. </w:t>
      </w:r>
    </w:p>
    <w:p w14:paraId="0E2FC50D" w14:textId="5BCF43E8" w:rsidR="00F149F4" w:rsidRDefault="0008288D" w:rsidP="00082320">
      <w:pPr>
        <w:spacing w:after="0" w:line="360" w:lineRule="auto"/>
        <w:ind w:left="-5"/>
        <w:jc w:val="left"/>
      </w:pPr>
      <w:r>
        <w:t xml:space="preserve">http://dx.doi.org/10.1074/jbc.270.8.4121. </w:t>
      </w:r>
    </w:p>
    <w:p w14:paraId="1605F7FF" w14:textId="368A654C" w:rsidR="008C788A" w:rsidRDefault="008C788A" w:rsidP="00082320">
      <w:pPr>
        <w:widowControl w:val="0"/>
        <w:autoSpaceDE w:val="0"/>
        <w:autoSpaceDN w:val="0"/>
        <w:adjustRightInd w:val="0"/>
        <w:spacing w:after="0" w:line="360" w:lineRule="auto"/>
        <w:ind w:left="0" w:firstLine="0"/>
        <w:jc w:val="left"/>
        <w:rPr>
          <w:rFonts w:eastAsiaTheme="minorHAnsi"/>
          <w:noProof/>
          <w:color w:val="auto"/>
          <w:szCs w:val="28"/>
        </w:rPr>
      </w:pPr>
      <w:r w:rsidRPr="008C788A">
        <w:rPr>
          <w:rFonts w:eastAsiaTheme="minorHAnsi"/>
          <w:bCs/>
          <w:noProof/>
          <w:color w:val="auto"/>
          <w:szCs w:val="28"/>
        </w:rPr>
        <w:t>Stefely JA</w:t>
      </w:r>
      <w:r w:rsidRPr="008C788A">
        <w:rPr>
          <w:rFonts w:eastAsiaTheme="minorHAnsi"/>
          <w:noProof/>
          <w:color w:val="auto"/>
          <w:szCs w:val="28"/>
        </w:rPr>
        <w:t xml:space="preserve">, </w:t>
      </w:r>
      <w:r w:rsidRPr="008C788A">
        <w:rPr>
          <w:rFonts w:eastAsiaTheme="minorHAnsi"/>
          <w:bCs/>
          <w:noProof/>
          <w:color w:val="auto"/>
          <w:szCs w:val="28"/>
        </w:rPr>
        <w:t>Christensen BB</w:t>
      </w:r>
      <w:r w:rsidRPr="008C788A">
        <w:rPr>
          <w:rFonts w:eastAsiaTheme="minorHAnsi"/>
          <w:noProof/>
          <w:color w:val="auto"/>
          <w:szCs w:val="28"/>
        </w:rPr>
        <w:t xml:space="preserve">, </w:t>
      </w:r>
      <w:r w:rsidRPr="008C788A">
        <w:rPr>
          <w:rFonts w:eastAsiaTheme="minorHAnsi"/>
          <w:bCs/>
          <w:noProof/>
          <w:color w:val="auto"/>
          <w:szCs w:val="28"/>
        </w:rPr>
        <w:t>Gogakos T</w:t>
      </w:r>
      <w:r w:rsidRPr="008C788A">
        <w:rPr>
          <w:rFonts w:eastAsiaTheme="minorHAnsi"/>
          <w:noProof/>
          <w:color w:val="auto"/>
          <w:szCs w:val="28"/>
        </w:rPr>
        <w:t xml:space="preserve">, </w:t>
      </w:r>
      <w:r w:rsidRPr="008C788A">
        <w:rPr>
          <w:rFonts w:eastAsiaTheme="minorHAnsi"/>
          <w:bCs/>
          <w:noProof/>
          <w:color w:val="auto"/>
          <w:szCs w:val="28"/>
        </w:rPr>
        <w:t>Cone Sullivan JK</w:t>
      </w:r>
      <w:r w:rsidRPr="008C788A">
        <w:rPr>
          <w:rFonts w:eastAsiaTheme="minorHAnsi"/>
          <w:noProof/>
          <w:color w:val="auto"/>
          <w:szCs w:val="28"/>
        </w:rPr>
        <w:t xml:space="preserve">, </w:t>
      </w:r>
      <w:r w:rsidRPr="008C788A">
        <w:rPr>
          <w:rFonts w:eastAsiaTheme="minorHAnsi"/>
          <w:bCs/>
          <w:noProof/>
          <w:color w:val="auto"/>
          <w:szCs w:val="28"/>
        </w:rPr>
        <w:t>Montgomery GG</w:t>
      </w:r>
      <w:r w:rsidRPr="008C788A">
        <w:rPr>
          <w:rFonts w:eastAsiaTheme="minorHAnsi"/>
          <w:noProof/>
          <w:color w:val="auto"/>
          <w:szCs w:val="28"/>
        </w:rPr>
        <w:t xml:space="preserve">, </w:t>
      </w:r>
      <w:r w:rsidRPr="008C788A">
        <w:rPr>
          <w:rFonts w:eastAsiaTheme="minorHAnsi"/>
          <w:bCs/>
          <w:noProof/>
          <w:color w:val="auto"/>
          <w:szCs w:val="28"/>
        </w:rPr>
        <w:t>Barranco JP</w:t>
      </w:r>
      <w:r w:rsidRPr="008C788A">
        <w:rPr>
          <w:rFonts w:eastAsiaTheme="minorHAnsi"/>
          <w:noProof/>
          <w:color w:val="auto"/>
          <w:szCs w:val="28"/>
        </w:rPr>
        <w:t xml:space="preserve">, </w:t>
      </w:r>
      <w:r w:rsidRPr="008C788A">
        <w:rPr>
          <w:rFonts w:eastAsiaTheme="minorHAnsi"/>
          <w:bCs/>
          <w:noProof/>
          <w:color w:val="auto"/>
          <w:szCs w:val="28"/>
        </w:rPr>
        <w:t>Van Cott EM</w:t>
      </w:r>
      <w:r w:rsidRPr="008C788A">
        <w:rPr>
          <w:rFonts w:eastAsiaTheme="minorHAnsi"/>
          <w:noProof/>
          <w:color w:val="auto"/>
          <w:szCs w:val="28"/>
        </w:rPr>
        <w:t xml:space="preserve">. Marked factor V activity elevation in severe COVID-19 is associated with venous thromboembolism. 2020; </w:t>
      </w:r>
      <w:r w:rsidRPr="008C788A">
        <w:rPr>
          <w:rFonts w:eastAsiaTheme="minorHAnsi"/>
          <w:bCs/>
          <w:noProof/>
          <w:color w:val="auto"/>
          <w:szCs w:val="28"/>
        </w:rPr>
        <w:t>95</w:t>
      </w:r>
      <w:r w:rsidRPr="008C788A">
        <w:rPr>
          <w:rFonts w:eastAsiaTheme="minorHAnsi"/>
          <w:noProof/>
          <w:color w:val="auto"/>
          <w:szCs w:val="28"/>
        </w:rPr>
        <w:t>:1522–1530.DOI: 10.1002/ajh.25979.</w:t>
      </w:r>
    </w:p>
    <w:p w14:paraId="35B32491" w14:textId="77777777" w:rsidR="0086382A" w:rsidRPr="0086382A" w:rsidRDefault="0086382A" w:rsidP="0086382A">
      <w:pPr>
        <w:widowControl w:val="0"/>
        <w:autoSpaceDE w:val="0"/>
        <w:autoSpaceDN w:val="0"/>
        <w:adjustRightInd w:val="0"/>
        <w:spacing w:after="0" w:line="360" w:lineRule="auto"/>
        <w:ind w:left="0" w:firstLine="0"/>
        <w:jc w:val="left"/>
        <w:rPr>
          <w:rFonts w:eastAsiaTheme="minorHAnsi"/>
          <w:noProof/>
          <w:color w:val="auto"/>
          <w:szCs w:val="28"/>
        </w:rPr>
      </w:pPr>
      <w:r w:rsidRPr="0086382A">
        <w:rPr>
          <w:rFonts w:eastAsiaTheme="minorHAnsi"/>
          <w:bCs/>
          <w:noProof/>
          <w:color w:val="auto"/>
          <w:szCs w:val="28"/>
        </w:rPr>
        <w:t>Rydzak J</w:t>
      </w:r>
      <w:r w:rsidRPr="0086382A">
        <w:rPr>
          <w:rFonts w:eastAsiaTheme="minorHAnsi"/>
          <w:noProof/>
          <w:color w:val="auto"/>
          <w:szCs w:val="28"/>
        </w:rPr>
        <w:t xml:space="preserve">, </w:t>
      </w:r>
      <w:r w:rsidRPr="0086382A">
        <w:rPr>
          <w:rFonts w:eastAsiaTheme="minorHAnsi"/>
          <w:bCs/>
          <w:noProof/>
          <w:color w:val="auto"/>
          <w:szCs w:val="28"/>
        </w:rPr>
        <w:t>Kmiecik AM</w:t>
      </w:r>
      <w:r w:rsidRPr="0086382A">
        <w:rPr>
          <w:rFonts w:eastAsiaTheme="minorHAnsi"/>
          <w:noProof/>
          <w:color w:val="auto"/>
          <w:szCs w:val="28"/>
        </w:rPr>
        <w:t xml:space="preserve">, </w:t>
      </w:r>
      <w:r w:rsidRPr="0086382A">
        <w:rPr>
          <w:rFonts w:eastAsiaTheme="minorHAnsi"/>
          <w:bCs/>
          <w:noProof/>
          <w:color w:val="auto"/>
          <w:szCs w:val="28"/>
        </w:rPr>
        <w:t>Jaskiewicz E</w:t>
      </w:r>
      <w:r w:rsidRPr="0086382A">
        <w:rPr>
          <w:rFonts w:eastAsiaTheme="minorHAnsi"/>
          <w:noProof/>
          <w:color w:val="auto"/>
          <w:szCs w:val="28"/>
        </w:rPr>
        <w:t xml:space="preserve">. [Human erythrocyte glycophorin C as the receptor for EBA-140 Plasmodium falciparum merozoite ligand]. </w:t>
      </w:r>
      <w:r w:rsidRPr="0086382A">
        <w:rPr>
          <w:rFonts w:eastAsiaTheme="minorHAnsi"/>
          <w:i/>
          <w:iCs/>
          <w:noProof/>
          <w:color w:val="auto"/>
          <w:szCs w:val="28"/>
        </w:rPr>
        <w:t>Postepy Hig. Med. Dosw. (Online)</w:t>
      </w:r>
      <w:r w:rsidRPr="0086382A">
        <w:rPr>
          <w:rFonts w:eastAsiaTheme="minorHAnsi"/>
          <w:noProof/>
          <w:color w:val="auto"/>
          <w:szCs w:val="28"/>
        </w:rPr>
        <w:t xml:space="preserve">. 2013; </w:t>
      </w:r>
      <w:r w:rsidRPr="0086382A">
        <w:rPr>
          <w:rFonts w:eastAsiaTheme="minorHAnsi"/>
          <w:bCs/>
          <w:noProof/>
          <w:color w:val="auto"/>
          <w:szCs w:val="28"/>
        </w:rPr>
        <w:t>67</w:t>
      </w:r>
      <w:r w:rsidRPr="0086382A">
        <w:rPr>
          <w:rFonts w:eastAsiaTheme="minorHAnsi"/>
          <w:noProof/>
          <w:color w:val="auto"/>
          <w:szCs w:val="28"/>
        </w:rPr>
        <w:t>:1331–1339.</w:t>
      </w:r>
    </w:p>
    <w:p w14:paraId="59A738EC" w14:textId="72753883" w:rsidR="00F149F4" w:rsidRPr="008C788A" w:rsidRDefault="0008288D" w:rsidP="0086382A">
      <w:pPr>
        <w:widowControl w:val="0"/>
        <w:autoSpaceDE w:val="0"/>
        <w:autoSpaceDN w:val="0"/>
        <w:adjustRightInd w:val="0"/>
        <w:spacing w:after="0" w:line="360" w:lineRule="auto"/>
        <w:ind w:left="0" w:firstLine="0"/>
        <w:jc w:val="left"/>
        <w:rPr>
          <w:rFonts w:eastAsiaTheme="minorHAnsi"/>
          <w:noProof/>
          <w:color w:val="auto"/>
          <w:szCs w:val="28"/>
        </w:rPr>
      </w:pPr>
      <w:r>
        <w:t xml:space="preserve">Stevenson, L., </w:t>
      </w:r>
      <w:proofErr w:type="spellStart"/>
      <w:r>
        <w:t>Laursen</w:t>
      </w:r>
      <w:proofErr w:type="spellEnd"/>
      <w:r>
        <w:t xml:space="preserve">, E., Cowan, G.J., et al., 2015. α2-Macroglobulin Can Crosslink Multiple </w:t>
      </w:r>
      <w:r>
        <w:rPr>
          <w:i/>
        </w:rPr>
        <w:t xml:space="preserve">Plasmodium </w:t>
      </w:r>
      <w:proofErr w:type="gramStart"/>
      <w:r>
        <w:rPr>
          <w:i/>
        </w:rPr>
        <w:t>falciparum</w:t>
      </w:r>
      <w:proofErr w:type="gramEnd"/>
      <w:r>
        <w:t xml:space="preserve"> Erythrocyte Membrane Protein 1 (PfEMP1) </w:t>
      </w:r>
    </w:p>
    <w:p w14:paraId="7F3F8E39" w14:textId="77777777" w:rsidR="00F149F4" w:rsidRDefault="0008288D" w:rsidP="00082320">
      <w:pPr>
        <w:spacing w:after="0" w:line="360" w:lineRule="auto"/>
        <w:ind w:left="-5"/>
        <w:jc w:val="left"/>
      </w:pPr>
      <w:r>
        <w:t xml:space="preserve">Molecules and May Facilitate Adhesion of Parasitized Erythrocytes. </w:t>
      </w:r>
      <w:proofErr w:type="spellStart"/>
      <w:r>
        <w:t>PLoS</w:t>
      </w:r>
      <w:proofErr w:type="spellEnd"/>
      <w:r>
        <w:t xml:space="preserve"> </w:t>
      </w:r>
      <w:proofErr w:type="spellStart"/>
      <w:r>
        <w:t>Pathog</w:t>
      </w:r>
      <w:proofErr w:type="spellEnd"/>
      <w:r>
        <w:t xml:space="preserve">. 11 (7), e1005022. </w:t>
      </w:r>
      <w:hyperlink r:id="rId57">
        <w:r>
          <w:t>https://doi.org/10.1371/journal.ppat.1005022</w:t>
        </w:r>
      </w:hyperlink>
      <w:hyperlink r:id="rId58">
        <w:r>
          <w:t>.</w:t>
        </w:r>
      </w:hyperlink>
      <w:r>
        <w:t xml:space="preserve"> </w:t>
      </w:r>
    </w:p>
    <w:p w14:paraId="44400E67" w14:textId="77777777" w:rsidR="00F149F4" w:rsidRDefault="0008288D" w:rsidP="00082320">
      <w:pPr>
        <w:spacing w:after="0" w:line="360" w:lineRule="auto"/>
        <w:ind w:left="-5"/>
        <w:jc w:val="left"/>
      </w:pPr>
      <w:proofErr w:type="spellStart"/>
      <w:r>
        <w:t>Stussi</w:t>
      </w:r>
      <w:proofErr w:type="spellEnd"/>
      <w:r>
        <w:t xml:space="preserve">, G., K. </w:t>
      </w:r>
      <w:proofErr w:type="spellStart"/>
      <w:r>
        <w:t>Huggel</w:t>
      </w:r>
      <w:proofErr w:type="spellEnd"/>
      <w:r>
        <w:t xml:space="preserve">, H. U. Lutz, U. </w:t>
      </w:r>
      <w:proofErr w:type="spellStart"/>
      <w:r>
        <w:t>Schanz</w:t>
      </w:r>
      <w:proofErr w:type="spellEnd"/>
      <w:r>
        <w:t xml:space="preserve">, R. </w:t>
      </w:r>
      <w:proofErr w:type="spellStart"/>
      <w:r>
        <w:t>Rieben</w:t>
      </w:r>
      <w:proofErr w:type="spellEnd"/>
      <w:r>
        <w:t xml:space="preserve">, and J. D. </w:t>
      </w:r>
      <w:proofErr w:type="spellStart"/>
      <w:r>
        <w:t>Seebach</w:t>
      </w:r>
      <w:proofErr w:type="spellEnd"/>
      <w:r>
        <w:t xml:space="preserve">, “Isotype-specific detection of ABO blood group antibodies using a novel flow cytometric method,” </w:t>
      </w:r>
      <w:r>
        <w:rPr>
          <w:i/>
        </w:rPr>
        <w:t xml:space="preserve">Br. J. </w:t>
      </w:r>
      <w:proofErr w:type="spellStart"/>
      <w:r>
        <w:rPr>
          <w:i/>
        </w:rPr>
        <w:t>Haematol</w:t>
      </w:r>
      <w:proofErr w:type="spellEnd"/>
      <w:r>
        <w:rPr>
          <w:i/>
        </w:rPr>
        <w:t>.</w:t>
      </w:r>
      <w:r>
        <w:t xml:space="preserve">, vol. 130, no. 6, pp. 954–963, 2005, </w:t>
      </w:r>
      <w:proofErr w:type="spellStart"/>
      <w:r>
        <w:t>doi</w:t>
      </w:r>
      <w:proofErr w:type="spellEnd"/>
      <w:r>
        <w:t xml:space="preserve">: </w:t>
      </w:r>
    </w:p>
    <w:p w14:paraId="68755C42" w14:textId="77777777" w:rsidR="00F149F4" w:rsidRDefault="0008288D" w:rsidP="00082320">
      <w:pPr>
        <w:spacing w:after="0" w:line="360" w:lineRule="auto"/>
        <w:ind w:left="-5"/>
        <w:jc w:val="left"/>
      </w:pPr>
      <w:r>
        <w:t xml:space="preserve">10.1111/j.1365-2141.2005.05705.x. </w:t>
      </w:r>
    </w:p>
    <w:p w14:paraId="43C4A6F5" w14:textId="5F5CDD7C" w:rsidR="00E22A8B" w:rsidRDefault="00E22A8B" w:rsidP="00082320">
      <w:pPr>
        <w:spacing w:after="0" w:line="360" w:lineRule="auto"/>
        <w:ind w:left="-5"/>
        <w:jc w:val="left"/>
      </w:pPr>
      <w:r>
        <w:t xml:space="preserve">Templeton, T.J., </w:t>
      </w:r>
      <w:proofErr w:type="spellStart"/>
      <w:r>
        <w:t>Iyer</w:t>
      </w:r>
      <w:proofErr w:type="spellEnd"/>
      <w:r>
        <w:t xml:space="preserve">, L.M., </w:t>
      </w:r>
      <w:proofErr w:type="spellStart"/>
      <w:r>
        <w:t>Anantharaman</w:t>
      </w:r>
      <w:proofErr w:type="spellEnd"/>
      <w:r>
        <w:t xml:space="preserve">, V., et al., 2004. Comparative analysis of </w:t>
      </w:r>
      <w:proofErr w:type="spellStart"/>
      <w:r>
        <w:t>apicomplexa</w:t>
      </w:r>
      <w:proofErr w:type="spellEnd"/>
      <w:r>
        <w:t xml:space="preserve"> and genomic diversity in eukaryotes. Genome Res. 14 (9), 1686– 1695. https://dx.doi.org/10.1101%2Fgr.2615304. </w:t>
      </w:r>
    </w:p>
    <w:p w14:paraId="228D8612" w14:textId="77777777" w:rsidR="00F149F4" w:rsidRDefault="0008288D" w:rsidP="00082320">
      <w:pPr>
        <w:spacing w:after="0" w:line="360" w:lineRule="auto"/>
        <w:ind w:left="0" w:firstLine="0"/>
        <w:jc w:val="left"/>
      </w:pPr>
      <w:proofErr w:type="spellStart"/>
      <w:r w:rsidRPr="00076BE0">
        <w:t>Terao</w:t>
      </w:r>
      <w:proofErr w:type="spellEnd"/>
      <w:r w:rsidRPr="00076BE0">
        <w:t xml:space="preserve">, C., </w:t>
      </w:r>
      <w:proofErr w:type="spellStart"/>
      <w:r w:rsidRPr="00076BE0">
        <w:t>Bayoumi</w:t>
      </w:r>
      <w:proofErr w:type="spellEnd"/>
      <w:r w:rsidRPr="00076BE0">
        <w:t xml:space="preserve">, N., McKenzie, C.A., et al., 2013. </w:t>
      </w:r>
      <w:r>
        <w:t xml:space="preserve">Quantitative variation in plasma angiotensin-I converting enzyme activity shows allelic heterogeneity in the </w:t>
      </w:r>
      <w:r>
        <w:lastRenderedPageBreak/>
        <w:t xml:space="preserve">ABO blood group locus. Ann. Hum. Genet. 77(6):465–471. https://doi.org/10.1111/ahg.12034. </w:t>
      </w:r>
    </w:p>
    <w:p w14:paraId="62D30F77" w14:textId="77777777" w:rsidR="00E51371" w:rsidRDefault="0008288D" w:rsidP="00082320">
      <w:pPr>
        <w:spacing w:after="0" w:line="360" w:lineRule="auto"/>
        <w:ind w:left="-5"/>
        <w:jc w:val="left"/>
      </w:pPr>
      <w:proofErr w:type="spellStart"/>
      <w:r>
        <w:t>Vitiazeva</w:t>
      </w:r>
      <w:proofErr w:type="spellEnd"/>
      <w:r>
        <w:t xml:space="preserve">, V., </w:t>
      </w:r>
      <w:proofErr w:type="spellStart"/>
      <w:r>
        <w:t>Kattla</w:t>
      </w:r>
      <w:proofErr w:type="spellEnd"/>
      <w:r>
        <w:t xml:space="preserve">, J.J., Flowers, S.A., et al., 2015. The </w:t>
      </w:r>
      <w:r>
        <w:rPr>
          <w:i/>
        </w:rPr>
        <w:t>O</w:t>
      </w:r>
      <w:r>
        <w:t xml:space="preserve">-linked </w:t>
      </w:r>
      <w:proofErr w:type="spellStart"/>
      <w:r>
        <w:t>glycome</w:t>
      </w:r>
      <w:proofErr w:type="spellEnd"/>
      <w:r>
        <w:t xml:space="preserve"> and blood group antigens ABO on mucin-type glycoproteins in mucinous and serous epithelial ovarian tumors. </w:t>
      </w:r>
      <w:proofErr w:type="spellStart"/>
      <w:r>
        <w:t>PLoS</w:t>
      </w:r>
      <w:proofErr w:type="spellEnd"/>
      <w:r>
        <w:t xml:space="preserve"> One 10 (6), e0130197. https://doi.org/10.1371/journal.pone.0130197. </w:t>
      </w:r>
    </w:p>
    <w:p w14:paraId="7D9FE68E" w14:textId="77777777" w:rsidR="00E51371" w:rsidRDefault="00E51371" w:rsidP="00082320">
      <w:pPr>
        <w:spacing w:after="0" w:line="360" w:lineRule="auto"/>
        <w:ind w:left="-5"/>
        <w:jc w:val="left"/>
      </w:pPr>
      <w:proofErr w:type="spellStart"/>
      <w:r w:rsidRPr="00477CC6">
        <w:rPr>
          <w:szCs w:val="28"/>
        </w:rPr>
        <w:t>Wandall</w:t>
      </w:r>
      <w:proofErr w:type="spellEnd"/>
      <w:r w:rsidRPr="00477CC6">
        <w:rPr>
          <w:szCs w:val="28"/>
        </w:rPr>
        <w:t xml:space="preserve"> HH, </w:t>
      </w:r>
      <w:proofErr w:type="spellStart"/>
      <w:r w:rsidRPr="00477CC6">
        <w:rPr>
          <w:szCs w:val="28"/>
        </w:rPr>
        <w:t>Rumjantseva</w:t>
      </w:r>
      <w:proofErr w:type="spellEnd"/>
      <w:r w:rsidRPr="00477CC6">
        <w:rPr>
          <w:szCs w:val="28"/>
        </w:rPr>
        <w:t xml:space="preserve"> V, </w:t>
      </w:r>
      <w:proofErr w:type="spellStart"/>
      <w:r w:rsidRPr="00477CC6">
        <w:rPr>
          <w:szCs w:val="28"/>
        </w:rPr>
        <w:t>Sørensen</w:t>
      </w:r>
      <w:proofErr w:type="spellEnd"/>
      <w:r w:rsidRPr="00477CC6">
        <w:rPr>
          <w:szCs w:val="28"/>
        </w:rPr>
        <w:t xml:space="preserve"> ALT, Patel-</w:t>
      </w:r>
      <w:proofErr w:type="spellStart"/>
      <w:r w:rsidRPr="00477CC6">
        <w:rPr>
          <w:szCs w:val="28"/>
        </w:rPr>
        <w:t>Hett</w:t>
      </w:r>
      <w:proofErr w:type="spellEnd"/>
      <w:r w:rsidRPr="00477CC6">
        <w:rPr>
          <w:szCs w:val="28"/>
        </w:rPr>
        <w:t xml:space="preserve"> S, </w:t>
      </w:r>
      <w:proofErr w:type="spellStart"/>
      <w:r w:rsidRPr="00477CC6">
        <w:rPr>
          <w:szCs w:val="28"/>
        </w:rPr>
        <w:t>Josefsson</w:t>
      </w:r>
      <w:proofErr w:type="spellEnd"/>
      <w:r w:rsidRPr="00477CC6">
        <w:rPr>
          <w:szCs w:val="28"/>
        </w:rPr>
        <w:t xml:space="preserve"> EC, Bennett EP, 724 </w:t>
      </w:r>
      <w:proofErr w:type="spellStart"/>
      <w:r w:rsidRPr="00477CC6">
        <w:rPr>
          <w:szCs w:val="28"/>
        </w:rPr>
        <w:t>Italiano</w:t>
      </w:r>
      <w:proofErr w:type="spellEnd"/>
      <w:r w:rsidRPr="00477CC6">
        <w:rPr>
          <w:szCs w:val="28"/>
        </w:rPr>
        <w:t xml:space="preserve"> JE, et al. The origin and function of platelet glycosyltransferases. Blood. 2012.DOI: 725 10.1182/blood-2012-02-409235. 726 44.</w:t>
      </w:r>
      <w:r>
        <w:t xml:space="preserve"> </w:t>
      </w:r>
    </w:p>
    <w:p w14:paraId="519BDAB1" w14:textId="3A44D4AE" w:rsidR="00F149F4" w:rsidRDefault="0008288D" w:rsidP="00082320">
      <w:pPr>
        <w:spacing w:after="0" w:line="360" w:lineRule="auto"/>
        <w:ind w:left="-5"/>
        <w:jc w:val="left"/>
      </w:pPr>
      <w:r w:rsidRPr="00C63800">
        <w:t xml:space="preserve">Wang, H., Yang, P., Liu, K., et al., 2008. </w:t>
      </w:r>
      <w:r>
        <w:t xml:space="preserve">SARS coronavirus entry into host cells through a novel </w:t>
      </w:r>
      <w:proofErr w:type="spellStart"/>
      <w:r>
        <w:t>clathrin</w:t>
      </w:r>
      <w:proofErr w:type="spellEnd"/>
      <w:r>
        <w:t xml:space="preserve">- and caveolae-independent endocytic pathway. Cell Res. </w:t>
      </w:r>
    </w:p>
    <w:p w14:paraId="632192BD" w14:textId="77777777" w:rsidR="00F149F4" w:rsidRDefault="0008288D" w:rsidP="00082320">
      <w:pPr>
        <w:spacing w:after="0" w:line="360" w:lineRule="auto"/>
        <w:ind w:left="-5"/>
        <w:jc w:val="left"/>
      </w:pPr>
      <w:r>
        <w:t xml:space="preserve">18 (2), 290–301. </w:t>
      </w:r>
      <w:hyperlink r:id="rId59">
        <w:r>
          <w:t>https://doi.org/10.1038/cr.2008.15</w:t>
        </w:r>
      </w:hyperlink>
      <w:hyperlink r:id="rId60">
        <w:r>
          <w:t>.</w:t>
        </w:r>
      </w:hyperlink>
      <w:r>
        <w:t xml:space="preserve"> </w:t>
      </w:r>
    </w:p>
    <w:p w14:paraId="1A073FB8" w14:textId="77777777" w:rsidR="00F149F4" w:rsidRDefault="0008288D" w:rsidP="00082320">
      <w:pPr>
        <w:spacing w:after="0" w:line="360" w:lineRule="auto"/>
        <w:ind w:left="-5"/>
        <w:jc w:val="left"/>
      </w:pPr>
      <w:r>
        <w:t xml:space="preserve">Wang, H., </w:t>
      </w:r>
      <w:proofErr w:type="spellStart"/>
      <w:r>
        <w:t>Coligan</w:t>
      </w:r>
      <w:proofErr w:type="spellEnd"/>
      <w:r>
        <w:t xml:space="preserve">, J. E. and Morse, H. C. (2016) ‘Emerging functions of natural IgM and its Fc receptor FCMR in immune homeostasis’, </w:t>
      </w:r>
      <w:r>
        <w:rPr>
          <w:i/>
        </w:rPr>
        <w:t>Frontiers in Immunology</w:t>
      </w:r>
      <w:r>
        <w:t xml:space="preserve">. </w:t>
      </w:r>
      <w:proofErr w:type="spellStart"/>
      <w:r>
        <w:t>doi</w:t>
      </w:r>
      <w:proofErr w:type="spellEnd"/>
      <w:r>
        <w:t xml:space="preserve">: 10.3389/fimmu.2016.00099. </w:t>
      </w:r>
    </w:p>
    <w:p w14:paraId="23242E44" w14:textId="77777777" w:rsidR="00F149F4" w:rsidRDefault="0008288D" w:rsidP="00082320">
      <w:pPr>
        <w:spacing w:after="0" w:line="360" w:lineRule="auto"/>
        <w:ind w:left="-5"/>
        <w:jc w:val="left"/>
      </w:pPr>
      <w:r w:rsidRPr="006C678C">
        <w:rPr>
          <w:lang w:val="de-DE"/>
        </w:rPr>
        <w:t xml:space="preserve">Wang, X., </w:t>
      </w:r>
      <w:proofErr w:type="spellStart"/>
      <w:r w:rsidRPr="006C678C">
        <w:rPr>
          <w:lang w:val="de-DE"/>
        </w:rPr>
        <w:t>Dhindsa</w:t>
      </w:r>
      <w:proofErr w:type="spellEnd"/>
      <w:r w:rsidRPr="006C678C">
        <w:rPr>
          <w:lang w:val="de-DE"/>
        </w:rPr>
        <w:t xml:space="preserve">, R., </w:t>
      </w:r>
      <w:proofErr w:type="spellStart"/>
      <w:r w:rsidRPr="006C678C">
        <w:rPr>
          <w:lang w:val="de-DE"/>
        </w:rPr>
        <w:t>Povysil</w:t>
      </w:r>
      <w:proofErr w:type="spellEnd"/>
      <w:r w:rsidRPr="006C678C">
        <w:rPr>
          <w:lang w:val="de-DE"/>
        </w:rPr>
        <w:t xml:space="preserve">, G., et al., 2020. </w:t>
      </w:r>
      <w:r>
        <w:t xml:space="preserve">Transcriptional inhibition of host viral entry proteins as a therapeutic strategy for SARS-CoV-2. Preprints. https://doi.org/10.20944/preprints202003.0360.v1. </w:t>
      </w:r>
    </w:p>
    <w:p w14:paraId="3E0FB7ED" w14:textId="77777777" w:rsidR="00F149F4" w:rsidRDefault="0008288D" w:rsidP="00082320">
      <w:pPr>
        <w:spacing w:after="0" w:line="360" w:lineRule="auto"/>
        <w:ind w:left="-5"/>
        <w:jc w:val="left"/>
      </w:pPr>
      <w:r>
        <w:t xml:space="preserve">Watanabe, Y., Bowden, T.A., Wilson, I.A., et al., 2019. Exploitation of glycosylation in enveloped virus pathobiology. </w:t>
      </w:r>
      <w:proofErr w:type="spellStart"/>
      <w:r>
        <w:t>Biochim</w:t>
      </w:r>
      <w:proofErr w:type="spellEnd"/>
      <w:r>
        <w:t xml:space="preserve">. </w:t>
      </w:r>
      <w:proofErr w:type="spellStart"/>
      <w:r>
        <w:t>Biophys</w:t>
      </w:r>
      <w:proofErr w:type="spellEnd"/>
      <w:r>
        <w:t xml:space="preserve">. Acta Gen. Subj. 1863 </w:t>
      </w:r>
    </w:p>
    <w:p w14:paraId="7C0FD509" w14:textId="77777777" w:rsidR="00F149F4" w:rsidRDefault="0008288D" w:rsidP="00082320">
      <w:pPr>
        <w:spacing w:after="0" w:line="360" w:lineRule="auto"/>
        <w:ind w:left="-5"/>
        <w:jc w:val="left"/>
      </w:pPr>
      <w:r>
        <w:t xml:space="preserve">(10), 1480–1497. </w:t>
      </w:r>
      <w:hyperlink r:id="rId61">
        <w:r>
          <w:t>https://doi.org/10.1016/j.bbagen.2019.</w:t>
        </w:r>
      </w:hyperlink>
      <w:hyperlink r:id="rId62">
        <w:r>
          <w:t>05.012.</w:t>
        </w:r>
      </w:hyperlink>
      <w:r>
        <w:t xml:space="preserve"> </w:t>
      </w:r>
    </w:p>
    <w:p w14:paraId="066CC797" w14:textId="77777777" w:rsidR="00F149F4" w:rsidRDefault="0008288D" w:rsidP="00082320">
      <w:pPr>
        <w:spacing w:after="0" w:line="360" w:lineRule="auto"/>
        <w:ind w:left="-5"/>
        <w:jc w:val="left"/>
      </w:pPr>
      <w:r>
        <w:t xml:space="preserve">Willis JR1, </w:t>
      </w:r>
      <w:proofErr w:type="spellStart"/>
      <w:r>
        <w:t>Briney</w:t>
      </w:r>
      <w:proofErr w:type="spellEnd"/>
      <w:r>
        <w:t xml:space="preserve"> BS, DeLuca SL, Crowe JE Jr, M. J. (2013) ‘Human Germline Antibody Gene Segments Encode </w:t>
      </w:r>
      <w:proofErr w:type="spellStart"/>
      <w:r>
        <w:t>Polyspecific</w:t>
      </w:r>
      <w:proofErr w:type="spellEnd"/>
      <w:r>
        <w:t xml:space="preserve"> Antibodies’, </w:t>
      </w:r>
      <w:proofErr w:type="spellStart"/>
      <w:r>
        <w:rPr>
          <w:i/>
        </w:rPr>
        <w:t>PLoS</w:t>
      </w:r>
      <w:proofErr w:type="spellEnd"/>
      <w:r>
        <w:rPr>
          <w:i/>
        </w:rPr>
        <w:t xml:space="preserve"> Computational Biology</w:t>
      </w:r>
      <w:r>
        <w:t xml:space="preserve">, (9(4):e1003045.). </w:t>
      </w:r>
      <w:proofErr w:type="spellStart"/>
      <w:r>
        <w:t>doi</w:t>
      </w:r>
      <w:proofErr w:type="spellEnd"/>
      <w:r>
        <w:t xml:space="preserve">: 10.1371/journal.pcbi.1003045. </w:t>
      </w:r>
    </w:p>
    <w:p w14:paraId="29133CA9" w14:textId="78559FA3" w:rsidR="00AB7A31" w:rsidRDefault="0008288D" w:rsidP="00082320">
      <w:pPr>
        <w:spacing w:after="0" w:line="360" w:lineRule="auto"/>
        <w:ind w:left="-5"/>
        <w:jc w:val="left"/>
      </w:pPr>
      <w:r w:rsidRPr="009A5A9C">
        <w:t xml:space="preserve">Wu, K., Chen, L., Peng, G., et al., 2011. </w:t>
      </w:r>
      <w:r>
        <w:t xml:space="preserve">A Virus-Binding Hot Spot on Human Angiotensin-Converting Enzyme 2 Is Critical for Binding of Two Different Coronaviruses. J. </w:t>
      </w:r>
      <w:proofErr w:type="spellStart"/>
      <w:r>
        <w:t>Virol</w:t>
      </w:r>
      <w:proofErr w:type="spellEnd"/>
      <w:r>
        <w:t xml:space="preserve">. 85 (11) 5331–5337. </w:t>
      </w:r>
      <w:hyperlink r:id="rId63" w:history="1">
        <w:r w:rsidR="00AB7A31" w:rsidRPr="00204181">
          <w:rPr>
            <w:rStyle w:val="Hyperlink"/>
          </w:rPr>
          <w:t>https://doi.org/10.1128/JVI.02274-10</w:t>
        </w:r>
      </w:hyperlink>
      <w:r>
        <w:t xml:space="preserve">. </w:t>
      </w:r>
    </w:p>
    <w:p w14:paraId="16318F26" w14:textId="618792AF" w:rsidR="00F149F4" w:rsidRDefault="0008288D" w:rsidP="00082320">
      <w:pPr>
        <w:spacing w:after="0" w:line="360" w:lineRule="auto"/>
        <w:ind w:left="-5"/>
        <w:jc w:val="left"/>
      </w:pPr>
      <w:r>
        <w:lastRenderedPageBreak/>
        <w:t xml:space="preserve">Zhang, T., </w:t>
      </w:r>
      <w:proofErr w:type="spellStart"/>
      <w:r>
        <w:t>Cieslak</w:t>
      </w:r>
      <w:proofErr w:type="spellEnd"/>
      <w:r>
        <w:t xml:space="preserve">, P.R., Foster, L., et al., 1994. Antibodies to the serine rich Entamoeba histolytica protein (SREHP) prevent amoebic liver abscess in severe combined immunodeficient (SCID) mice. Parasite Immunol. 16 (5), 225–230. https://doi.org/10.1111/j.1365-3024.1994.tb00344.x. </w:t>
      </w:r>
    </w:p>
    <w:p w14:paraId="064D6D7D" w14:textId="77777777" w:rsidR="00F149F4" w:rsidRDefault="0008288D" w:rsidP="00082320">
      <w:pPr>
        <w:spacing w:after="0" w:line="360" w:lineRule="auto"/>
        <w:ind w:left="-5"/>
        <w:jc w:val="left"/>
      </w:pPr>
      <w:r>
        <w:t xml:space="preserve">Zhao, J., Yang, Y., Huang, H., et al., 2020. Relationship between the ABO Blood Group and the COVID-19 Susceptibility. </w:t>
      </w:r>
      <w:proofErr w:type="spellStart"/>
      <w:r>
        <w:t>medRxiv</w:t>
      </w:r>
      <w:proofErr w:type="spellEnd"/>
      <w:r>
        <w:t xml:space="preserve">. https://doi.org/10.1101/2020.03.11.20031096. </w:t>
      </w:r>
    </w:p>
    <w:p w14:paraId="636E0F3A" w14:textId="77777777" w:rsidR="00F149F4" w:rsidRDefault="0008288D" w:rsidP="00082320">
      <w:pPr>
        <w:spacing w:after="0" w:line="360" w:lineRule="auto"/>
        <w:ind w:left="-5"/>
        <w:jc w:val="left"/>
      </w:pPr>
      <w:r w:rsidRPr="006C678C">
        <w:rPr>
          <w:lang w:val="de-DE"/>
        </w:rPr>
        <w:t xml:space="preserve">Zhou, P., Yang, X., Wang, X., et al., 2020. </w:t>
      </w:r>
      <w:r>
        <w:t xml:space="preserve">A pneumonia outbreak associated with a new coronavirus of probable bat origin. Nature 579, 270–273. https://doi.org/10.1038/s41586-020-2012-7. </w:t>
      </w:r>
    </w:p>
    <w:p w14:paraId="104B1477" w14:textId="77777777" w:rsidR="00F149F4" w:rsidRDefault="0008288D" w:rsidP="00082320">
      <w:pPr>
        <w:spacing w:after="0" w:line="360" w:lineRule="auto"/>
        <w:ind w:left="-5"/>
        <w:jc w:val="left"/>
      </w:pPr>
      <w:r>
        <w:t xml:space="preserve">Zhou, R., O’Hara, S.P., Chen, X.M., 2011. MicroRNA regulation of innate immune responses in epithelial cells. Cell. Mol. Immunol. 8 (5), 371–379. https://doi.org/10.1038/cmi.2011.19. </w:t>
      </w:r>
    </w:p>
    <w:p w14:paraId="2B5CDE64" w14:textId="77777777" w:rsidR="00F149F4" w:rsidRDefault="0008288D" w:rsidP="00082320">
      <w:pPr>
        <w:spacing w:after="0" w:line="360" w:lineRule="auto"/>
        <w:ind w:left="0" w:firstLine="0"/>
        <w:jc w:val="left"/>
      </w:pPr>
      <w:r>
        <w:t xml:space="preserve"> </w:t>
      </w:r>
    </w:p>
    <w:p w14:paraId="24CC6EE8" w14:textId="77777777" w:rsidR="00F149F4" w:rsidRDefault="0008288D" w:rsidP="00082320">
      <w:pPr>
        <w:spacing w:after="0" w:line="360" w:lineRule="auto"/>
        <w:ind w:left="0" w:firstLine="0"/>
        <w:jc w:val="left"/>
      </w:pPr>
      <w:r>
        <w:t xml:space="preserve"> </w:t>
      </w:r>
    </w:p>
    <w:p w14:paraId="51C7862F" w14:textId="77777777" w:rsidR="00F149F4" w:rsidRDefault="0008288D" w:rsidP="00082320">
      <w:pPr>
        <w:spacing w:after="0" w:line="360" w:lineRule="auto"/>
        <w:ind w:left="0" w:firstLine="0"/>
        <w:jc w:val="left"/>
      </w:pPr>
      <w:r>
        <w:t xml:space="preserve"> </w:t>
      </w:r>
    </w:p>
    <w:sectPr w:rsidR="00F149F4">
      <w:pgSz w:w="12240" w:h="15840"/>
      <w:pgMar w:top="1428" w:right="1412" w:bottom="1473" w:left="1416" w:header="717"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B020EB7" w14:textId="77777777" w:rsidR="00C4513E" w:rsidRDefault="00C4513E">
      <w:pPr>
        <w:spacing w:after="0" w:line="240" w:lineRule="auto"/>
      </w:pPr>
      <w:r>
        <w:separator/>
      </w:r>
    </w:p>
  </w:endnote>
  <w:endnote w:type="continuationSeparator" w:id="0">
    <w:p w14:paraId="4DDAE9EB" w14:textId="77777777" w:rsidR="00C4513E" w:rsidRDefault="00C451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inion-Regular">
    <w:altName w:val="Cambria"/>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inion-Italic">
    <w:altName w:val="Cambria"/>
    <w:panose1 w:val="00000000000000000000"/>
    <w:charset w:val="00"/>
    <w:family w:val="roman"/>
    <w:notTrueType/>
    <w:pitch w:val="default"/>
    <w:sig w:usb0="00000003" w:usb1="00000000" w:usb2="00000000" w:usb3="00000000" w:csb0="00000001" w:csb1="00000000"/>
  </w:font>
  <w:font w:name="Minion-Bold">
    <w:altName w:val="Cambria"/>
    <w:panose1 w:val="00000000000000000000"/>
    <w:charset w:val="00"/>
    <w:family w:val="roman"/>
    <w:notTrueType/>
    <w:pitch w:val="default"/>
    <w:sig w:usb0="00000003" w:usb1="00000000" w:usb2="00000000" w:usb3="00000000" w:csb0="00000001" w:csb1="00000000"/>
  </w:font>
  <w:font w:name="STIX">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E0F3638" w14:textId="77777777" w:rsidR="00C4513E" w:rsidRDefault="00C4513E">
      <w:pPr>
        <w:spacing w:after="0" w:line="240" w:lineRule="auto"/>
      </w:pPr>
      <w:r>
        <w:separator/>
      </w:r>
    </w:p>
  </w:footnote>
  <w:footnote w:type="continuationSeparator" w:id="0">
    <w:p w14:paraId="1BEDB970" w14:textId="77777777" w:rsidR="00C4513E" w:rsidRDefault="00C451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A67EA0" w14:textId="77777777" w:rsidR="00F149F4" w:rsidRDefault="00F149F4">
    <w:pPr>
      <w:spacing w:after="160" w:line="259" w:lineRule="auto"/>
      <w:ind w:left="0"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0A6337" w14:textId="77777777" w:rsidR="00F149F4" w:rsidRDefault="0008288D">
    <w:pPr>
      <w:spacing w:after="0" w:line="259" w:lineRule="auto"/>
      <w:ind w:left="0" w:right="459" w:firstLine="0"/>
      <w:jc w:val="right"/>
    </w:pPr>
    <w:r>
      <w:fldChar w:fldCharType="begin"/>
    </w:r>
    <w:r>
      <w:instrText xml:space="preserve"> PAGE   \* MERGEFORMAT </w:instrText>
    </w:r>
    <w:r>
      <w:fldChar w:fldCharType="separate"/>
    </w:r>
    <w:r>
      <w:rPr>
        <w:sz w:val="24"/>
      </w:rPr>
      <w:t>3</w:t>
    </w:r>
    <w:r>
      <w:rPr>
        <w:sz w:val="24"/>
      </w:rPr>
      <w:fldChar w:fldCharType="end"/>
    </w:r>
    <w:r>
      <w:rPr>
        <w:sz w:val="24"/>
      </w:rPr>
      <w:t xml:space="preserve"> </w:t>
    </w:r>
  </w:p>
  <w:p w14:paraId="678D1FAD" w14:textId="77777777" w:rsidR="00F149F4" w:rsidRDefault="0008288D">
    <w:pPr>
      <w:spacing w:after="0" w:line="259" w:lineRule="auto"/>
      <w:ind w:left="0" w:firstLine="0"/>
      <w:jc w:val="left"/>
    </w:pPr>
    <w:r>
      <w:rPr>
        <w:sz w:val="24"/>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174B28" w14:textId="77777777" w:rsidR="00F149F4" w:rsidRDefault="00F149F4">
    <w:pPr>
      <w:spacing w:after="160" w:line="259" w:lineRule="auto"/>
      <w:ind w:lef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11302B" w14:textId="77777777" w:rsidR="00F149F4" w:rsidRDefault="0008288D">
    <w:pPr>
      <w:spacing w:after="0" w:line="259" w:lineRule="auto"/>
      <w:ind w:left="0" w:right="1195" w:firstLine="0"/>
      <w:jc w:val="right"/>
    </w:pPr>
    <w:r>
      <w:fldChar w:fldCharType="begin"/>
    </w:r>
    <w:r>
      <w:instrText xml:space="preserve"> PAGE   \* MERGEFORMAT </w:instrText>
    </w:r>
    <w:r>
      <w:fldChar w:fldCharType="separate"/>
    </w:r>
    <w:r>
      <w:rPr>
        <w:sz w:val="24"/>
      </w:rPr>
      <w:t>3</w:t>
    </w:r>
    <w:r>
      <w:rPr>
        <w:sz w:val="24"/>
      </w:rPr>
      <w:fldChar w:fldCharType="end"/>
    </w:r>
    <w:r>
      <w:rPr>
        <w:sz w:val="24"/>
      </w:rPr>
      <w:t xml:space="preserve"> </w:t>
    </w:r>
  </w:p>
  <w:p w14:paraId="5871B35E" w14:textId="77777777" w:rsidR="00F149F4" w:rsidRDefault="0008288D">
    <w:pPr>
      <w:spacing w:after="0" w:line="259" w:lineRule="auto"/>
      <w:ind w:left="1208" w:firstLine="0"/>
      <w:jc w:val="left"/>
    </w:pPr>
    <w:r>
      <w:rPr>
        <w:sz w:val="24"/>
      </w:rP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DC2E54" w14:textId="77777777" w:rsidR="00F149F4" w:rsidRDefault="0008288D">
    <w:pPr>
      <w:spacing w:after="0" w:line="259" w:lineRule="auto"/>
      <w:ind w:left="0" w:right="1195" w:firstLine="0"/>
      <w:jc w:val="right"/>
    </w:pPr>
    <w:r>
      <w:fldChar w:fldCharType="begin"/>
    </w:r>
    <w:r>
      <w:instrText xml:space="preserve"> PAGE   \* MERGEFORMAT </w:instrText>
    </w:r>
    <w:r>
      <w:fldChar w:fldCharType="separate"/>
    </w:r>
    <w:r>
      <w:rPr>
        <w:sz w:val="24"/>
      </w:rPr>
      <w:t>3</w:t>
    </w:r>
    <w:r>
      <w:rPr>
        <w:sz w:val="24"/>
      </w:rPr>
      <w:fldChar w:fldCharType="end"/>
    </w:r>
    <w:r>
      <w:rPr>
        <w:sz w:val="24"/>
      </w:rPr>
      <w:t xml:space="preserve"> </w:t>
    </w:r>
  </w:p>
  <w:p w14:paraId="10EA3F02" w14:textId="77777777" w:rsidR="00F149F4" w:rsidRDefault="0008288D">
    <w:pPr>
      <w:spacing w:after="0" w:line="259" w:lineRule="auto"/>
      <w:ind w:left="1208" w:firstLine="0"/>
      <w:jc w:val="left"/>
    </w:pPr>
    <w:r>
      <w:rPr>
        <w:sz w:val="24"/>
      </w:rP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60EF5B" w14:textId="77777777" w:rsidR="00F149F4" w:rsidRDefault="0008288D">
    <w:pPr>
      <w:spacing w:after="0" w:line="259" w:lineRule="auto"/>
      <w:ind w:left="0" w:right="1195" w:firstLine="0"/>
      <w:jc w:val="right"/>
    </w:pPr>
    <w:r>
      <w:fldChar w:fldCharType="begin"/>
    </w:r>
    <w:r>
      <w:instrText xml:space="preserve"> PAGE   \* MERGEFORMAT </w:instrText>
    </w:r>
    <w:r>
      <w:fldChar w:fldCharType="separate"/>
    </w:r>
    <w:r>
      <w:rPr>
        <w:sz w:val="24"/>
      </w:rPr>
      <w:t>3</w:t>
    </w:r>
    <w:r>
      <w:rPr>
        <w:sz w:val="24"/>
      </w:rPr>
      <w:fldChar w:fldCharType="end"/>
    </w:r>
    <w:r>
      <w:rPr>
        <w:sz w:val="24"/>
      </w:rPr>
      <w:t xml:space="preserve"> </w:t>
    </w:r>
  </w:p>
  <w:p w14:paraId="36CB2617" w14:textId="77777777" w:rsidR="00F149F4" w:rsidRDefault="0008288D">
    <w:pPr>
      <w:spacing w:after="0" w:line="259" w:lineRule="auto"/>
      <w:ind w:left="1208" w:firstLine="0"/>
      <w:jc w:val="left"/>
    </w:pPr>
    <w:r>
      <w:rPr>
        <w:sz w:val="24"/>
      </w:rPr>
      <w:t xml:space="preserv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924779" w14:textId="77777777" w:rsidR="00F149F4" w:rsidRDefault="0008288D">
    <w:pPr>
      <w:spacing w:after="0" w:line="259" w:lineRule="auto"/>
      <w:ind w:left="0" w:right="5" w:firstLine="0"/>
      <w:jc w:val="right"/>
    </w:pPr>
    <w:r>
      <w:fldChar w:fldCharType="begin"/>
    </w:r>
    <w:r>
      <w:instrText xml:space="preserve"> PAGE   \* MERGEFORMAT </w:instrText>
    </w:r>
    <w:r>
      <w:fldChar w:fldCharType="separate"/>
    </w:r>
    <w:r>
      <w:rPr>
        <w:sz w:val="24"/>
      </w:rPr>
      <w:t>19</w:t>
    </w:r>
    <w:r>
      <w:rPr>
        <w:sz w:val="24"/>
      </w:rPr>
      <w:fldChar w:fldCharType="end"/>
    </w:r>
    <w:r>
      <w:rPr>
        <w:sz w:val="24"/>
      </w:rPr>
      <w:t xml:space="preserve"> </w:t>
    </w:r>
  </w:p>
  <w:p w14:paraId="30CCA9F3" w14:textId="77777777" w:rsidR="00F149F4" w:rsidRDefault="0008288D">
    <w:pPr>
      <w:spacing w:after="0" w:line="259" w:lineRule="auto"/>
      <w:ind w:left="0" w:firstLine="0"/>
      <w:jc w:val="left"/>
    </w:pPr>
    <w:r>
      <w:rPr>
        <w:sz w:val="24"/>
      </w:rPr>
      <w:t xml:space="preserve">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AFFF24" w14:textId="77777777" w:rsidR="00F149F4" w:rsidRDefault="0008288D">
    <w:pPr>
      <w:spacing w:after="0" w:line="259" w:lineRule="auto"/>
      <w:ind w:left="0" w:right="5" w:firstLine="0"/>
      <w:jc w:val="right"/>
    </w:pPr>
    <w:r>
      <w:fldChar w:fldCharType="begin"/>
    </w:r>
    <w:r>
      <w:instrText xml:space="preserve"> PAGE   \* MERGEFORMAT </w:instrText>
    </w:r>
    <w:r>
      <w:fldChar w:fldCharType="separate"/>
    </w:r>
    <w:r>
      <w:rPr>
        <w:sz w:val="24"/>
      </w:rPr>
      <w:t>19</w:t>
    </w:r>
    <w:r>
      <w:rPr>
        <w:sz w:val="24"/>
      </w:rPr>
      <w:fldChar w:fldCharType="end"/>
    </w:r>
    <w:r>
      <w:rPr>
        <w:sz w:val="24"/>
      </w:rPr>
      <w:t xml:space="preserve"> </w:t>
    </w:r>
  </w:p>
  <w:p w14:paraId="39DBDF85" w14:textId="77777777" w:rsidR="00F149F4" w:rsidRDefault="0008288D">
    <w:pPr>
      <w:spacing w:after="0" w:line="259" w:lineRule="auto"/>
      <w:ind w:left="0" w:firstLine="0"/>
      <w:jc w:val="left"/>
    </w:pPr>
    <w:r>
      <w:rPr>
        <w:sz w:val="24"/>
      </w:rPr>
      <w:t xml:space="preserve">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CB30E2" w14:textId="77777777" w:rsidR="00F149F4" w:rsidRDefault="0008288D">
    <w:pPr>
      <w:spacing w:after="0" w:line="259" w:lineRule="auto"/>
      <w:ind w:left="0" w:right="5" w:firstLine="0"/>
      <w:jc w:val="right"/>
    </w:pPr>
    <w:r>
      <w:fldChar w:fldCharType="begin"/>
    </w:r>
    <w:r>
      <w:instrText xml:space="preserve"> PAGE   \* MERGEFORMAT </w:instrText>
    </w:r>
    <w:r>
      <w:fldChar w:fldCharType="separate"/>
    </w:r>
    <w:r>
      <w:rPr>
        <w:sz w:val="24"/>
      </w:rPr>
      <w:t>19</w:t>
    </w:r>
    <w:r>
      <w:rPr>
        <w:sz w:val="24"/>
      </w:rPr>
      <w:fldChar w:fldCharType="end"/>
    </w:r>
    <w:r>
      <w:rPr>
        <w:sz w:val="24"/>
      </w:rPr>
      <w:t xml:space="preserve"> </w:t>
    </w:r>
  </w:p>
  <w:p w14:paraId="0F1F36B4" w14:textId="77777777" w:rsidR="00F149F4" w:rsidRDefault="0008288D">
    <w:pPr>
      <w:spacing w:after="0" w:line="259" w:lineRule="auto"/>
      <w:ind w:left="0" w:firstLine="0"/>
      <w:jc w:val="left"/>
    </w:pPr>
    <w:r>
      <w:rPr>
        <w:sz w:val="24"/>
      </w:rPr>
      <w:t xml:space="preserve">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autoHyphenation/>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149F4"/>
    <w:rsid w:val="000000A8"/>
    <w:rsid w:val="00002BFD"/>
    <w:rsid w:val="00003AC1"/>
    <w:rsid w:val="0000530C"/>
    <w:rsid w:val="00007740"/>
    <w:rsid w:val="00020167"/>
    <w:rsid w:val="0002347F"/>
    <w:rsid w:val="00024797"/>
    <w:rsid w:val="00026AA9"/>
    <w:rsid w:val="000314B1"/>
    <w:rsid w:val="00033A42"/>
    <w:rsid w:val="000360C0"/>
    <w:rsid w:val="00040074"/>
    <w:rsid w:val="00050642"/>
    <w:rsid w:val="00050BA6"/>
    <w:rsid w:val="0005142D"/>
    <w:rsid w:val="000547C5"/>
    <w:rsid w:val="0005572C"/>
    <w:rsid w:val="00056F51"/>
    <w:rsid w:val="00060660"/>
    <w:rsid w:val="0006094B"/>
    <w:rsid w:val="00062565"/>
    <w:rsid w:val="000645E8"/>
    <w:rsid w:val="000652B9"/>
    <w:rsid w:val="0006599B"/>
    <w:rsid w:val="00071E3C"/>
    <w:rsid w:val="00074E62"/>
    <w:rsid w:val="00076BE0"/>
    <w:rsid w:val="00082320"/>
    <w:rsid w:val="0008288D"/>
    <w:rsid w:val="000834CB"/>
    <w:rsid w:val="00084527"/>
    <w:rsid w:val="00084F30"/>
    <w:rsid w:val="00086B41"/>
    <w:rsid w:val="000905BE"/>
    <w:rsid w:val="0009137E"/>
    <w:rsid w:val="000933FB"/>
    <w:rsid w:val="00093A00"/>
    <w:rsid w:val="00094A44"/>
    <w:rsid w:val="00096236"/>
    <w:rsid w:val="00096CE2"/>
    <w:rsid w:val="00096D56"/>
    <w:rsid w:val="00096FBC"/>
    <w:rsid w:val="000A36A4"/>
    <w:rsid w:val="000B096E"/>
    <w:rsid w:val="000B5A73"/>
    <w:rsid w:val="000B6F12"/>
    <w:rsid w:val="000C5B7A"/>
    <w:rsid w:val="000C61E4"/>
    <w:rsid w:val="000D36E7"/>
    <w:rsid w:val="000D4E23"/>
    <w:rsid w:val="000F1999"/>
    <w:rsid w:val="000F377D"/>
    <w:rsid w:val="000F5BD0"/>
    <w:rsid w:val="000F697C"/>
    <w:rsid w:val="00100CEB"/>
    <w:rsid w:val="00114EED"/>
    <w:rsid w:val="00117B62"/>
    <w:rsid w:val="00120D69"/>
    <w:rsid w:val="001240D2"/>
    <w:rsid w:val="00131C4E"/>
    <w:rsid w:val="001321E1"/>
    <w:rsid w:val="00146CCB"/>
    <w:rsid w:val="00151F91"/>
    <w:rsid w:val="00154818"/>
    <w:rsid w:val="00156085"/>
    <w:rsid w:val="00161E08"/>
    <w:rsid w:val="001632CF"/>
    <w:rsid w:val="00170980"/>
    <w:rsid w:val="001730E6"/>
    <w:rsid w:val="0017445E"/>
    <w:rsid w:val="00176E6D"/>
    <w:rsid w:val="00177D80"/>
    <w:rsid w:val="00180C7F"/>
    <w:rsid w:val="00181A9D"/>
    <w:rsid w:val="00184383"/>
    <w:rsid w:val="0018508B"/>
    <w:rsid w:val="00185C5F"/>
    <w:rsid w:val="001875F7"/>
    <w:rsid w:val="00194304"/>
    <w:rsid w:val="00195729"/>
    <w:rsid w:val="001962E7"/>
    <w:rsid w:val="001A0CFB"/>
    <w:rsid w:val="001A2AE2"/>
    <w:rsid w:val="001A4D46"/>
    <w:rsid w:val="001B021E"/>
    <w:rsid w:val="001C222C"/>
    <w:rsid w:val="001C28C4"/>
    <w:rsid w:val="001C5DFB"/>
    <w:rsid w:val="001D3843"/>
    <w:rsid w:val="001D44E5"/>
    <w:rsid w:val="001D5997"/>
    <w:rsid w:val="001D62E6"/>
    <w:rsid w:val="001F2FBE"/>
    <w:rsid w:val="001F388B"/>
    <w:rsid w:val="002005EE"/>
    <w:rsid w:val="0020392E"/>
    <w:rsid w:val="00203CD5"/>
    <w:rsid w:val="0020443E"/>
    <w:rsid w:val="00204727"/>
    <w:rsid w:val="0020642F"/>
    <w:rsid w:val="00207A0E"/>
    <w:rsid w:val="0021015E"/>
    <w:rsid w:val="002207AB"/>
    <w:rsid w:val="002224CC"/>
    <w:rsid w:val="00231BE6"/>
    <w:rsid w:val="002413CE"/>
    <w:rsid w:val="0024177B"/>
    <w:rsid w:val="002470B2"/>
    <w:rsid w:val="002477DD"/>
    <w:rsid w:val="002505DE"/>
    <w:rsid w:val="002557A3"/>
    <w:rsid w:val="00261547"/>
    <w:rsid w:val="00272503"/>
    <w:rsid w:val="00276553"/>
    <w:rsid w:val="00280F17"/>
    <w:rsid w:val="00283DDD"/>
    <w:rsid w:val="00284509"/>
    <w:rsid w:val="002847D1"/>
    <w:rsid w:val="00292D05"/>
    <w:rsid w:val="00293A75"/>
    <w:rsid w:val="00296601"/>
    <w:rsid w:val="002A2701"/>
    <w:rsid w:val="002A3265"/>
    <w:rsid w:val="002A4FBD"/>
    <w:rsid w:val="002B266F"/>
    <w:rsid w:val="002B2F81"/>
    <w:rsid w:val="002B544B"/>
    <w:rsid w:val="002B6D4B"/>
    <w:rsid w:val="002B70E5"/>
    <w:rsid w:val="002B77A8"/>
    <w:rsid w:val="002C37FE"/>
    <w:rsid w:val="002D5F5E"/>
    <w:rsid w:val="002E3EB1"/>
    <w:rsid w:val="002E706F"/>
    <w:rsid w:val="002E7DEE"/>
    <w:rsid w:val="002F0386"/>
    <w:rsid w:val="002F1B61"/>
    <w:rsid w:val="00300324"/>
    <w:rsid w:val="00301588"/>
    <w:rsid w:val="0030614B"/>
    <w:rsid w:val="00312D1B"/>
    <w:rsid w:val="00316150"/>
    <w:rsid w:val="00320103"/>
    <w:rsid w:val="00320911"/>
    <w:rsid w:val="003244FE"/>
    <w:rsid w:val="00325591"/>
    <w:rsid w:val="00325C55"/>
    <w:rsid w:val="00326414"/>
    <w:rsid w:val="00326CDC"/>
    <w:rsid w:val="00327ACD"/>
    <w:rsid w:val="00331B2C"/>
    <w:rsid w:val="00335BA1"/>
    <w:rsid w:val="00336B67"/>
    <w:rsid w:val="00344A0E"/>
    <w:rsid w:val="00345A4F"/>
    <w:rsid w:val="00347E42"/>
    <w:rsid w:val="00353BED"/>
    <w:rsid w:val="00356C11"/>
    <w:rsid w:val="00360DEF"/>
    <w:rsid w:val="00363CA1"/>
    <w:rsid w:val="00365901"/>
    <w:rsid w:val="00366C58"/>
    <w:rsid w:val="00373E8E"/>
    <w:rsid w:val="0038103F"/>
    <w:rsid w:val="00384093"/>
    <w:rsid w:val="00387608"/>
    <w:rsid w:val="00393495"/>
    <w:rsid w:val="00393BA1"/>
    <w:rsid w:val="00395411"/>
    <w:rsid w:val="00395992"/>
    <w:rsid w:val="00396A4B"/>
    <w:rsid w:val="00397CFE"/>
    <w:rsid w:val="003A4383"/>
    <w:rsid w:val="003A65DA"/>
    <w:rsid w:val="003A6F61"/>
    <w:rsid w:val="003A7909"/>
    <w:rsid w:val="003B0F39"/>
    <w:rsid w:val="003B1EA4"/>
    <w:rsid w:val="003B3E52"/>
    <w:rsid w:val="003B586A"/>
    <w:rsid w:val="003B74C2"/>
    <w:rsid w:val="003C2BB8"/>
    <w:rsid w:val="003C59A2"/>
    <w:rsid w:val="003D0876"/>
    <w:rsid w:val="003D4398"/>
    <w:rsid w:val="003D621B"/>
    <w:rsid w:val="003D7B57"/>
    <w:rsid w:val="003E1EAB"/>
    <w:rsid w:val="003E34CE"/>
    <w:rsid w:val="003E4B2A"/>
    <w:rsid w:val="003E57D0"/>
    <w:rsid w:val="003E70B9"/>
    <w:rsid w:val="003E7ABF"/>
    <w:rsid w:val="003F1A42"/>
    <w:rsid w:val="003F34D7"/>
    <w:rsid w:val="003F5B81"/>
    <w:rsid w:val="003F68D7"/>
    <w:rsid w:val="00406C6E"/>
    <w:rsid w:val="0040714B"/>
    <w:rsid w:val="00411036"/>
    <w:rsid w:val="00413EF4"/>
    <w:rsid w:val="00414A6F"/>
    <w:rsid w:val="004231A0"/>
    <w:rsid w:val="004236BD"/>
    <w:rsid w:val="00432ADB"/>
    <w:rsid w:val="004338D0"/>
    <w:rsid w:val="00436B9F"/>
    <w:rsid w:val="00437C11"/>
    <w:rsid w:val="0044075C"/>
    <w:rsid w:val="004468A0"/>
    <w:rsid w:val="00451E33"/>
    <w:rsid w:val="00454926"/>
    <w:rsid w:val="00456584"/>
    <w:rsid w:val="00463474"/>
    <w:rsid w:val="00466845"/>
    <w:rsid w:val="00466F48"/>
    <w:rsid w:val="00467D85"/>
    <w:rsid w:val="0047156F"/>
    <w:rsid w:val="004718B0"/>
    <w:rsid w:val="004751F5"/>
    <w:rsid w:val="00477B4F"/>
    <w:rsid w:val="004824D0"/>
    <w:rsid w:val="00482624"/>
    <w:rsid w:val="00485968"/>
    <w:rsid w:val="00486093"/>
    <w:rsid w:val="004865A5"/>
    <w:rsid w:val="00494F49"/>
    <w:rsid w:val="00497A52"/>
    <w:rsid w:val="004A3DC5"/>
    <w:rsid w:val="004B0DDB"/>
    <w:rsid w:val="004B55F2"/>
    <w:rsid w:val="004B5BE2"/>
    <w:rsid w:val="004B5E2E"/>
    <w:rsid w:val="004B6B45"/>
    <w:rsid w:val="004C07D5"/>
    <w:rsid w:val="004C4B78"/>
    <w:rsid w:val="004C5D83"/>
    <w:rsid w:val="004C7022"/>
    <w:rsid w:val="004D0E00"/>
    <w:rsid w:val="004D3396"/>
    <w:rsid w:val="004D45CA"/>
    <w:rsid w:val="004D4693"/>
    <w:rsid w:val="004D5FAB"/>
    <w:rsid w:val="004D6ECB"/>
    <w:rsid w:val="004E4FEF"/>
    <w:rsid w:val="004E7C31"/>
    <w:rsid w:val="004F560F"/>
    <w:rsid w:val="004F6B3D"/>
    <w:rsid w:val="0050250F"/>
    <w:rsid w:val="00502D1B"/>
    <w:rsid w:val="00504B05"/>
    <w:rsid w:val="00506AF5"/>
    <w:rsid w:val="00513661"/>
    <w:rsid w:val="00516F75"/>
    <w:rsid w:val="00520072"/>
    <w:rsid w:val="0052025D"/>
    <w:rsid w:val="00521ACA"/>
    <w:rsid w:val="00522CEA"/>
    <w:rsid w:val="00525547"/>
    <w:rsid w:val="00525D4D"/>
    <w:rsid w:val="00526F5B"/>
    <w:rsid w:val="00530205"/>
    <w:rsid w:val="00531E37"/>
    <w:rsid w:val="005332DC"/>
    <w:rsid w:val="00533358"/>
    <w:rsid w:val="005359C3"/>
    <w:rsid w:val="00542DE1"/>
    <w:rsid w:val="00543429"/>
    <w:rsid w:val="0054659F"/>
    <w:rsid w:val="00564D30"/>
    <w:rsid w:val="005663BF"/>
    <w:rsid w:val="005712FF"/>
    <w:rsid w:val="005754DD"/>
    <w:rsid w:val="0057602B"/>
    <w:rsid w:val="005809FB"/>
    <w:rsid w:val="00580F8A"/>
    <w:rsid w:val="00582153"/>
    <w:rsid w:val="005875AA"/>
    <w:rsid w:val="0059073C"/>
    <w:rsid w:val="00593E7C"/>
    <w:rsid w:val="005A1A4D"/>
    <w:rsid w:val="005B293B"/>
    <w:rsid w:val="005B2B94"/>
    <w:rsid w:val="005B5589"/>
    <w:rsid w:val="005B71F3"/>
    <w:rsid w:val="005C5385"/>
    <w:rsid w:val="005C7F7F"/>
    <w:rsid w:val="005D0AC5"/>
    <w:rsid w:val="005D332F"/>
    <w:rsid w:val="005D3CA4"/>
    <w:rsid w:val="005D6CF3"/>
    <w:rsid w:val="005D702B"/>
    <w:rsid w:val="005E3DA8"/>
    <w:rsid w:val="005F0058"/>
    <w:rsid w:val="005F3BD6"/>
    <w:rsid w:val="005F482E"/>
    <w:rsid w:val="00600EB0"/>
    <w:rsid w:val="00601CBE"/>
    <w:rsid w:val="006030BA"/>
    <w:rsid w:val="00604E0F"/>
    <w:rsid w:val="006119F0"/>
    <w:rsid w:val="00611EDD"/>
    <w:rsid w:val="0061321E"/>
    <w:rsid w:val="00625335"/>
    <w:rsid w:val="00625AF3"/>
    <w:rsid w:val="00631006"/>
    <w:rsid w:val="00631F5F"/>
    <w:rsid w:val="00631FFC"/>
    <w:rsid w:val="006323C8"/>
    <w:rsid w:val="00633152"/>
    <w:rsid w:val="0063376E"/>
    <w:rsid w:val="00633F07"/>
    <w:rsid w:val="0064040C"/>
    <w:rsid w:val="00641DF4"/>
    <w:rsid w:val="00642695"/>
    <w:rsid w:val="00643DBC"/>
    <w:rsid w:val="0064470E"/>
    <w:rsid w:val="00651407"/>
    <w:rsid w:val="006529BD"/>
    <w:rsid w:val="00654723"/>
    <w:rsid w:val="00654DA7"/>
    <w:rsid w:val="0065719E"/>
    <w:rsid w:val="00657812"/>
    <w:rsid w:val="0066004A"/>
    <w:rsid w:val="006632E4"/>
    <w:rsid w:val="006662DE"/>
    <w:rsid w:val="00673D78"/>
    <w:rsid w:val="0068204B"/>
    <w:rsid w:val="006840AD"/>
    <w:rsid w:val="006854E2"/>
    <w:rsid w:val="00685E3D"/>
    <w:rsid w:val="00685EEF"/>
    <w:rsid w:val="006863A4"/>
    <w:rsid w:val="00693DF2"/>
    <w:rsid w:val="0069467F"/>
    <w:rsid w:val="00694A46"/>
    <w:rsid w:val="006958DE"/>
    <w:rsid w:val="006A023B"/>
    <w:rsid w:val="006A0405"/>
    <w:rsid w:val="006A2654"/>
    <w:rsid w:val="006A3143"/>
    <w:rsid w:val="006A43DB"/>
    <w:rsid w:val="006A6EEF"/>
    <w:rsid w:val="006B495E"/>
    <w:rsid w:val="006C0A34"/>
    <w:rsid w:val="006C1AD5"/>
    <w:rsid w:val="006C21B2"/>
    <w:rsid w:val="006C678C"/>
    <w:rsid w:val="006D2325"/>
    <w:rsid w:val="006D2EB8"/>
    <w:rsid w:val="006D3F51"/>
    <w:rsid w:val="006D411F"/>
    <w:rsid w:val="006D6762"/>
    <w:rsid w:val="006D792A"/>
    <w:rsid w:val="006E0450"/>
    <w:rsid w:val="006E1807"/>
    <w:rsid w:val="006E46B1"/>
    <w:rsid w:val="006E5F93"/>
    <w:rsid w:val="006E68AA"/>
    <w:rsid w:val="006E6EDC"/>
    <w:rsid w:val="006F3641"/>
    <w:rsid w:val="006F380A"/>
    <w:rsid w:val="006F3AA7"/>
    <w:rsid w:val="006F3F6C"/>
    <w:rsid w:val="00705BEB"/>
    <w:rsid w:val="0071099C"/>
    <w:rsid w:val="00710C4D"/>
    <w:rsid w:val="00713C04"/>
    <w:rsid w:val="007149EC"/>
    <w:rsid w:val="00714BDB"/>
    <w:rsid w:val="00715299"/>
    <w:rsid w:val="00715CA6"/>
    <w:rsid w:val="0071670C"/>
    <w:rsid w:val="00723FA9"/>
    <w:rsid w:val="007257A1"/>
    <w:rsid w:val="00725F33"/>
    <w:rsid w:val="007304ED"/>
    <w:rsid w:val="007329A7"/>
    <w:rsid w:val="00740043"/>
    <w:rsid w:val="007509FF"/>
    <w:rsid w:val="00750D81"/>
    <w:rsid w:val="00755748"/>
    <w:rsid w:val="0076142C"/>
    <w:rsid w:val="00762973"/>
    <w:rsid w:val="00770ED2"/>
    <w:rsid w:val="007712A6"/>
    <w:rsid w:val="00771F38"/>
    <w:rsid w:val="0077443D"/>
    <w:rsid w:val="00776B50"/>
    <w:rsid w:val="00782E30"/>
    <w:rsid w:val="007918EB"/>
    <w:rsid w:val="00792D1E"/>
    <w:rsid w:val="007A0762"/>
    <w:rsid w:val="007A1F57"/>
    <w:rsid w:val="007A2B6C"/>
    <w:rsid w:val="007A493F"/>
    <w:rsid w:val="007A7059"/>
    <w:rsid w:val="007A72B5"/>
    <w:rsid w:val="007B7082"/>
    <w:rsid w:val="007B7C49"/>
    <w:rsid w:val="007B7EDF"/>
    <w:rsid w:val="007C0816"/>
    <w:rsid w:val="007C308E"/>
    <w:rsid w:val="007C4BAB"/>
    <w:rsid w:val="007C4C2F"/>
    <w:rsid w:val="007C565A"/>
    <w:rsid w:val="007D15CC"/>
    <w:rsid w:val="007D6F3C"/>
    <w:rsid w:val="007E038D"/>
    <w:rsid w:val="007E0A2D"/>
    <w:rsid w:val="007E0DFD"/>
    <w:rsid w:val="007E1384"/>
    <w:rsid w:val="007E1B9F"/>
    <w:rsid w:val="007E4683"/>
    <w:rsid w:val="007E4BF6"/>
    <w:rsid w:val="007E63C6"/>
    <w:rsid w:val="007F4162"/>
    <w:rsid w:val="007F49EE"/>
    <w:rsid w:val="007F557A"/>
    <w:rsid w:val="007F5708"/>
    <w:rsid w:val="00800F64"/>
    <w:rsid w:val="00801E8F"/>
    <w:rsid w:val="008061D5"/>
    <w:rsid w:val="00810B81"/>
    <w:rsid w:val="00815A42"/>
    <w:rsid w:val="00815D3E"/>
    <w:rsid w:val="008162D7"/>
    <w:rsid w:val="00820468"/>
    <w:rsid w:val="00820DD7"/>
    <w:rsid w:val="00822F0D"/>
    <w:rsid w:val="0082443F"/>
    <w:rsid w:val="00825848"/>
    <w:rsid w:val="00825E6F"/>
    <w:rsid w:val="00830902"/>
    <w:rsid w:val="008309F3"/>
    <w:rsid w:val="00832117"/>
    <w:rsid w:val="008324B1"/>
    <w:rsid w:val="00832D96"/>
    <w:rsid w:val="00834BDB"/>
    <w:rsid w:val="00835125"/>
    <w:rsid w:val="008408A8"/>
    <w:rsid w:val="00843CB7"/>
    <w:rsid w:val="00843F0A"/>
    <w:rsid w:val="0084436C"/>
    <w:rsid w:val="00846E03"/>
    <w:rsid w:val="00850E16"/>
    <w:rsid w:val="0085141C"/>
    <w:rsid w:val="0085363D"/>
    <w:rsid w:val="00860BFF"/>
    <w:rsid w:val="0086382A"/>
    <w:rsid w:val="008652FF"/>
    <w:rsid w:val="00870951"/>
    <w:rsid w:val="00880937"/>
    <w:rsid w:val="008926C1"/>
    <w:rsid w:val="0089315C"/>
    <w:rsid w:val="00893B52"/>
    <w:rsid w:val="00894D08"/>
    <w:rsid w:val="00897ADA"/>
    <w:rsid w:val="008A041A"/>
    <w:rsid w:val="008A1864"/>
    <w:rsid w:val="008A641D"/>
    <w:rsid w:val="008B2176"/>
    <w:rsid w:val="008B2F14"/>
    <w:rsid w:val="008C06EB"/>
    <w:rsid w:val="008C3EFA"/>
    <w:rsid w:val="008C788A"/>
    <w:rsid w:val="008D2A98"/>
    <w:rsid w:val="008D35B6"/>
    <w:rsid w:val="008D7F3B"/>
    <w:rsid w:val="008E08E1"/>
    <w:rsid w:val="008E0E85"/>
    <w:rsid w:val="008E3D80"/>
    <w:rsid w:val="008E5A22"/>
    <w:rsid w:val="008F1DBE"/>
    <w:rsid w:val="008F595D"/>
    <w:rsid w:val="008F6284"/>
    <w:rsid w:val="008F755B"/>
    <w:rsid w:val="00900654"/>
    <w:rsid w:val="00902688"/>
    <w:rsid w:val="00902D04"/>
    <w:rsid w:val="009030E7"/>
    <w:rsid w:val="00904232"/>
    <w:rsid w:val="0091005A"/>
    <w:rsid w:val="00910A4A"/>
    <w:rsid w:val="00912B4A"/>
    <w:rsid w:val="00912FFB"/>
    <w:rsid w:val="00915533"/>
    <w:rsid w:val="0092725E"/>
    <w:rsid w:val="0093157A"/>
    <w:rsid w:val="009334A2"/>
    <w:rsid w:val="009339AE"/>
    <w:rsid w:val="00937118"/>
    <w:rsid w:val="0094109F"/>
    <w:rsid w:val="009417EE"/>
    <w:rsid w:val="00941AB0"/>
    <w:rsid w:val="00941B69"/>
    <w:rsid w:val="009450C0"/>
    <w:rsid w:val="00950C0F"/>
    <w:rsid w:val="00956EA9"/>
    <w:rsid w:val="009607D1"/>
    <w:rsid w:val="00961399"/>
    <w:rsid w:val="009631C0"/>
    <w:rsid w:val="00963788"/>
    <w:rsid w:val="00964908"/>
    <w:rsid w:val="00970D44"/>
    <w:rsid w:val="00971650"/>
    <w:rsid w:val="00974F54"/>
    <w:rsid w:val="0097641C"/>
    <w:rsid w:val="00986402"/>
    <w:rsid w:val="00986972"/>
    <w:rsid w:val="0099378B"/>
    <w:rsid w:val="0099646B"/>
    <w:rsid w:val="009A04F5"/>
    <w:rsid w:val="009A5A9C"/>
    <w:rsid w:val="009A69F8"/>
    <w:rsid w:val="009B26FD"/>
    <w:rsid w:val="009B3D61"/>
    <w:rsid w:val="009B4B75"/>
    <w:rsid w:val="009B4ED5"/>
    <w:rsid w:val="009B7D4D"/>
    <w:rsid w:val="009C093A"/>
    <w:rsid w:val="009C1BCE"/>
    <w:rsid w:val="009C49EA"/>
    <w:rsid w:val="009D26DC"/>
    <w:rsid w:val="009D2FB2"/>
    <w:rsid w:val="009D3CC7"/>
    <w:rsid w:val="009D7588"/>
    <w:rsid w:val="009D76C2"/>
    <w:rsid w:val="009E0F64"/>
    <w:rsid w:val="009F5CEB"/>
    <w:rsid w:val="00A01D60"/>
    <w:rsid w:val="00A05BF7"/>
    <w:rsid w:val="00A07B71"/>
    <w:rsid w:val="00A108CC"/>
    <w:rsid w:val="00A23C56"/>
    <w:rsid w:val="00A3012D"/>
    <w:rsid w:val="00A378A3"/>
    <w:rsid w:val="00A37C91"/>
    <w:rsid w:val="00A411D9"/>
    <w:rsid w:val="00A45A0D"/>
    <w:rsid w:val="00A46601"/>
    <w:rsid w:val="00A50485"/>
    <w:rsid w:val="00A50D67"/>
    <w:rsid w:val="00A51693"/>
    <w:rsid w:val="00A54541"/>
    <w:rsid w:val="00A60C96"/>
    <w:rsid w:val="00A64987"/>
    <w:rsid w:val="00A715A6"/>
    <w:rsid w:val="00A7471B"/>
    <w:rsid w:val="00A761E5"/>
    <w:rsid w:val="00A777C6"/>
    <w:rsid w:val="00A77882"/>
    <w:rsid w:val="00A82459"/>
    <w:rsid w:val="00A824B9"/>
    <w:rsid w:val="00A82C42"/>
    <w:rsid w:val="00A86EB1"/>
    <w:rsid w:val="00A87FA8"/>
    <w:rsid w:val="00A9605D"/>
    <w:rsid w:val="00AA08ED"/>
    <w:rsid w:val="00AA0AC6"/>
    <w:rsid w:val="00AA1A0F"/>
    <w:rsid w:val="00AA3562"/>
    <w:rsid w:val="00AA5A1A"/>
    <w:rsid w:val="00AA7BBF"/>
    <w:rsid w:val="00AB2BAE"/>
    <w:rsid w:val="00AB2F49"/>
    <w:rsid w:val="00AB50B7"/>
    <w:rsid w:val="00AB6C0E"/>
    <w:rsid w:val="00AB7A31"/>
    <w:rsid w:val="00AC1A26"/>
    <w:rsid w:val="00AC37D9"/>
    <w:rsid w:val="00AD0ADF"/>
    <w:rsid w:val="00AD1DC1"/>
    <w:rsid w:val="00AD30F9"/>
    <w:rsid w:val="00AD645A"/>
    <w:rsid w:val="00AE2942"/>
    <w:rsid w:val="00AE42CE"/>
    <w:rsid w:val="00AF1023"/>
    <w:rsid w:val="00AF1BD6"/>
    <w:rsid w:val="00AF642B"/>
    <w:rsid w:val="00AF7E02"/>
    <w:rsid w:val="00B03699"/>
    <w:rsid w:val="00B04A03"/>
    <w:rsid w:val="00B0742E"/>
    <w:rsid w:val="00B128F2"/>
    <w:rsid w:val="00B15396"/>
    <w:rsid w:val="00B156C6"/>
    <w:rsid w:val="00B16290"/>
    <w:rsid w:val="00B16D68"/>
    <w:rsid w:val="00B24556"/>
    <w:rsid w:val="00B25BB0"/>
    <w:rsid w:val="00B35F1F"/>
    <w:rsid w:val="00B362D8"/>
    <w:rsid w:val="00B3723C"/>
    <w:rsid w:val="00B375DB"/>
    <w:rsid w:val="00B407BC"/>
    <w:rsid w:val="00B40FED"/>
    <w:rsid w:val="00B50C51"/>
    <w:rsid w:val="00B5164D"/>
    <w:rsid w:val="00B5292F"/>
    <w:rsid w:val="00B56A79"/>
    <w:rsid w:val="00B630F0"/>
    <w:rsid w:val="00B634C4"/>
    <w:rsid w:val="00B662F7"/>
    <w:rsid w:val="00B66743"/>
    <w:rsid w:val="00B756DA"/>
    <w:rsid w:val="00B81555"/>
    <w:rsid w:val="00B827FA"/>
    <w:rsid w:val="00B82964"/>
    <w:rsid w:val="00B84B36"/>
    <w:rsid w:val="00B86025"/>
    <w:rsid w:val="00B93F51"/>
    <w:rsid w:val="00B97571"/>
    <w:rsid w:val="00BA14C8"/>
    <w:rsid w:val="00BA5083"/>
    <w:rsid w:val="00BA6B02"/>
    <w:rsid w:val="00BA6EB7"/>
    <w:rsid w:val="00BA78A0"/>
    <w:rsid w:val="00BB322C"/>
    <w:rsid w:val="00BB43A7"/>
    <w:rsid w:val="00BB5050"/>
    <w:rsid w:val="00BB59D0"/>
    <w:rsid w:val="00BB7025"/>
    <w:rsid w:val="00BC4172"/>
    <w:rsid w:val="00BC46B4"/>
    <w:rsid w:val="00BC6A42"/>
    <w:rsid w:val="00BD224B"/>
    <w:rsid w:val="00BD40C5"/>
    <w:rsid w:val="00BE2E71"/>
    <w:rsid w:val="00BE6F46"/>
    <w:rsid w:val="00BF325C"/>
    <w:rsid w:val="00BF3799"/>
    <w:rsid w:val="00BF475A"/>
    <w:rsid w:val="00BF59EA"/>
    <w:rsid w:val="00BF7F57"/>
    <w:rsid w:val="00C0056E"/>
    <w:rsid w:val="00C01C6B"/>
    <w:rsid w:val="00C029BC"/>
    <w:rsid w:val="00C0411A"/>
    <w:rsid w:val="00C04A08"/>
    <w:rsid w:val="00C04C2B"/>
    <w:rsid w:val="00C05640"/>
    <w:rsid w:val="00C11993"/>
    <w:rsid w:val="00C121BE"/>
    <w:rsid w:val="00C13058"/>
    <w:rsid w:val="00C13566"/>
    <w:rsid w:val="00C137BC"/>
    <w:rsid w:val="00C1663C"/>
    <w:rsid w:val="00C16BE6"/>
    <w:rsid w:val="00C17274"/>
    <w:rsid w:val="00C17451"/>
    <w:rsid w:val="00C242F8"/>
    <w:rsid w:val="00C2783B"/>
    <w:rsid w:val="00C3090D"/>
    <w:rsid w:val="00C315B6"/>
    <w:rsid w:val="00C34CE3"/>
    <w:rsid w:val="00C34FA4"/>
    <w:rsid w:val="00C36A9B"/>
    <w:rsid w:val="00C40A79"/>
    <w:rsid w:val="00C41A3B"/>
    <w:rsid w:val="00C4513E"/>
    <w:rsid w:val="00C4592B"/>
    <w:rsid w:val="00C5548D"/>
    <w:rsid w:val="00C60AAD"/>
    <w:rsid w:val="00C63800"/>
    <w:rsid w:val="00C649FA"/>
    <w:rsid w:val="00C7071F"/>
    <w:rsid w:val="00C71732"/>
    <w:rsid w:val="00C71B1E"/>
    <w:rsid w:val="00C71CA8"/>
    <w:rsid w:val="00C72A40"/>
    <w:rsid w:val="00C73551"/>
    <w:rsid w:val="00C83773"/>
    <w:rsid w:val="00C83E04"/>
    <w:rsid w:val="00C87A36"/>
    <w:rsid w:val="00C91F9B"/>
    <w:rsid w:val="00C923A4"/>
    <w:rsid w:val="00C935B8"/>
    <w:rsid w:val="00C937AB"/>
    <w:rsid w:val="00C95144"/>
    <w:rsid w:val="00CA154C"/>
    <w:rsid w:val="00CA2E47"/>
    <w:rsid w:val="00CA349D"/>
    <w:rsid w:val="00CA5D78"/>
    <w:rsid w:val="00CB3D70"/>
    <w:rsid w:val="00CB3F20"/>
    <w:rsid w:val="00CB6C0E"/>
    <w:rsid w:val="00CB6D45"/>
    <w:rsid w:val="00CC5255"/>
    <w:rsid w:val="00CC596A"/>
    <w:rsid w:val="00CD5056"/>
    <w:rsid w:val="00CE01AC"/>
    <w:rsid w:val="00CE7EEC"/>
    <w:rsid w:val="00CF1399"/>
    <w:rsid w:val="00CF2678"/>
    <w:rsid w:val="00D04EEA"/>
    <w:rsid w:val="00D050A9"/>
    <w:rsid w:val="00D07FCB"/>
    <w:rsid w:val="00D13423"/>
    <w:rsid w:val="00D1366E"/>
    <w:rsid w:val="00D13B8E"/>
    <w:rsid w:val="00D15614"/>
    <w:rsid w:val="00D16CDF"/>
    <w:rsid w:val="00D213AF"/>
    <w:rsid w:val="00D243D1"/>
    <w:rsid w:val="00D244FB"/>
    <w:rsid w:val="00D30138"/>
    <w:rsid w:val="00D3126A"/>
    <w:rsid w:val="00D31741"/>
    <w:rsid w:val="00D37157"/>
    <w:rsid w:val="00D416DA"/>
    <w:rsid w:val="00D41878"/>
    <w:rsid w:val="00D423A5"/>
    <w:rsid w:val="00D45201"/>
    <w:rsid w:val="00D45EE7"/>
    <w:rsid w:val="00D53965"/>
    <w:rsid w:val="00D5441E"/>
    <w:rsid w:val="00D70694"/>
    <w:rsid w:val="00D725E7"/>
    <w:rsid w:val="00D753DF"/>
    <w:rsid w:val="00D81074"/>
    <w:rsid w:val="00D81A7E"/>
    <w:rsid w:val="00D830D0"/>
    <w:rsid w:val="00D83512"/>
    <w:rsid w:val="00D90396"/>
    <w:rsid w:val="00D90DB4"/>
    <w:rsid w:val="00D92978"/>
    <w:rsid w:val="00D93216"/>
    <w:rsid w:val="00D94B45"/>
    <w:rsid w:val="00DA10AD"/>
    <w:rsid w:val="00DA2456"/>
    <w:rsid w:val="00DA2A24"/>
    <w:rsid w:val="00DA2FDE"/>
    <w:rsid w:val="00DA4E34"/>
    <w:rsid w:val="00DA70E9"/>
    <w:rsid w:val="00DB4618"/>
    <w:rsid w:val="00DC103F"/>
    <w:rsid w:val="00DC15E2"/>
    <w:rsid w:val="00DC1808"/>
    <w:rsid w:val="00DC314E"/>
    <w:rsid w:val="00DC4C1D"/>
    <w:rsid w:val="00DC4CA7"/>
    <w:rsid w:val="00DD15B7"/>
    <w:rsid w:val="00DD2445"/>
    <w:rsid w:val="00DD27C0"/>
    <w:rsid w:val="00DD37AB"/>
    <w:rsid w:val="00DD5B6E"/>
    <w:rsid w:val="00DD6C16"/>
    <w:rsid w:val="00DE53B6"/>
    <w:rsid w:val="00DE54C0"/>
    <w:rsid w:val="00DE602B"/>
    <w:rsid w:val="00DE6E01"/>
    <w:rsid w:val="00DF1085"/>
    <w:rsid w:val="00DF2454"/>
    <w:rsid w:val="00DF27E6"/>
    <w:rsid w:val="00DF427C"/>
    <w:rsid w:val="00DF4B6F"/>
    <w:rsid w:val="00DF5D8A"/>
    <w:rsid w:val="00DF6864"/>
    <w:rsid w:val="00DF69C5"/>
    <w:rsid w:val="00DF7008"/>
    <w:rsid w:val="00E0002F"/>
    <w:rsid w:val="00E02027"/>
    <w:rsid w:val="00E02391"/>
    <w:rsid w:val="00E0333F"/>
    <w:rsid w:val="00E04BA0"/>
    <w:rsid w:val="00E05801"/>
    <w:rsid w:val="00E058CA"/>
    <w:rsid w:val="00E14EA6"/>
    <w:rsid w:val="00E20656"/>
    <w:rsid w:val="00E22A8B"/>
    <w:rsid w:val="00E24E58"/>
    <w:rsid w:val="00E256CF"/>
    <w:rsid w:val="00E271A2"/>
    <w:rsid w:val="00E313AF"/>
    <w:rsid w:val="00E31BEB"/>
    <w:rsid w:val="00E35103"/>
    <w:rsid w:val="00E35675"/>
    <w:rsid w:val="00E415B4"/>
    <w:rsid w:val="00E42DEE"/>
    <w:rsid w:val="00E51371"/>
    <w:rsid w:val="00E51A23"/>
    <w:rsid w:val="00E57685"/>
    <w:rsid w:val="00E64287"/>
    <w:rsid w:val="00E65DF0"/>
    <w:rsid w:val="00E71783"/>
    <w:rsid w:val="00E721AB"/>
    <w:rsid w:val="00E72C34"/>
    <w:rsid w:val="00E731BB"/>
    <w:rsid w:val="00E74195"/>
    <w:rsid w:val="00E85270"/>
    <w:rsid w:val="00E860AC"/>
    <w:rsid w:val="00E927FD"/>
    <w:rsid w:val="00E9534D"/>
    <w:rsid w:val="00E96BFA"/>
    <w:rsid w:val="00EB0197"/>
    <w:rsid w:val="00EB0698"/>
    <w:rsid w:val="00EB1220"/>
    <w:rsid w:val="00EB1DB1"/>
    <w:rsid w:val="00EB2CC4"/>
    <w:rsid w:val="00EB3068"/>
    <w:rsid w:val="00EB621B"/>
    <w:rsid w:val="00EB74BA"/>
    <w:rsid w:val="00EC2F67"/>
    <w:rsid w:val="00EC305D"/>
    <w:rsid w:val="00EC4E1F"/>
    <w:rsid w:val="00EC5A2C"/>
    <w:rsid w:val="00EC72FE"/>
    <w:rsid w:val="00ED219D"/>
    <w:rsid w:val="00ED2364"/>
    <w:rsid w:val="00ED6044"/>
    <w:rsid w:val="00ED618A"/>
    <w:rsid w:val="00EE2729"/>
    <w:rsid w:val="00EE441C"/>
    <w:rsid w:val="00EE5982"/>
    <w:rsid w:val="00EE6AF9"/>
    <w:rsid w:val="00EF00E0"/>
    <w:rsid w:val="00EF1F6D"/>
    <w:rsid w:val="00F019EA"/>
    <w:rsid w:val="00F06FAB"/>
    <w:rsid w:val="00F07A10"/>
    <w:rsid w:val="00F10CA8"/>
    <w:rsid w:val="00F129E5"/>
    <w:rsid w:val="00F12B7B"/>
    <w:rsid w:val="00F13412"/>
    <w:rsid w:val="00F149F4"/>
    <w:rsid w:val="00F1667D"/>
    <w:rsid w:val="00F16DF1"/>
    <w:rsid w:val="00F173B4"/>
    <w:rsid w:val="00F20851"/>
    <w:rsid w:val="00F312A6"/>
    <w:rsid w:val="00F41FE1"/>
    <w:rsid w:val="00F422A7"/>
    <w:rsid w:val="00F429FD"/>
    <w:rsid w:val="00F450DB"/>
    <w:rsid w:val="00F47401"/>
    <w:rsid w:val="00F509B5"/>
    <w:rsid w:val="00F54C64"/>
    <w:rsid w:val="00F63825"/>
    <w:rsid w:val="00F6485E"/>
    <w:rsid w:val="00F772F0"/>
    <w:rsid w:val="00F80EB9"/>
    <w:rsid w:val="00F8155B"/>
    <w:rsid w:val="00F84773"/>
    <w:rsid w:val="00F867C3"/>
    <w:rsid w:val="00F86D80"/>
    <w:rsid w:val="00F920FF"/>
    <w:rsid w:val="00FA0853"/>
    <w:rsid w:val="00FA3B2D"/>
    <w:rsid w:val="00FA4C21"/>
    <w:rsid w:val="00FB2A4F"/>
    <w:rsid w:val="00FC2832"/>
    <w:rsid w:val="00FC4A74"/>
    <w:rsid w:val="00FC6B19"/>
    <w:rsid w:val="00FC7175"/>
    <w:rsid w:val="00FD01E5"/>
    <w:rsid w:val="00FD267C"/>
    <w:rsid w:val="00FD2944"/>
    <w:rsid w:val="00FD5C12"/>
    <w:rsid w:val="00FE1C75"/>
    <w:rsid w:val="00FE67AF"/>
    <w:rsid w:val="00FE7334"/>
    <w:rsid w:val="00FF040B"/>
    <w:rsid w:val="00FF11C0"/>
    <w:rsid w:val="00FF1461"/>
    <w:rsid w:val="00FF1C3E"/>
    <w:rsid w:val="00FF31C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61E508"/>
  <w15:docId w15:val="{8C4053AC-31A9-4869-AB4B-F8F05D64E4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pPr>
      <w:spacing w:after="3" w:line="357" w:lineRule="auto"/>
      <w:ind w:left="10" w:hanging="10"/>
      <w:jc w:val="both"/>
    </w:pPr>
    <w:rPr>
      <w:rFonts w:ascii="Times New Roman" w:eastAsia="Times New Roman" w:hAnsi="Times New Roman" w:cs="Times New Roman"/>
      <w:color w:val="000000"/>
      <w:sz w:val="28"/>
    </w:rPr>
  </w:style>
  <w:style w:type="paragraph" w:styleId="berschrift1">
    <w:name w:val="heading 1"/>
    <w:next w:val="Standard"/>
    <w:link w:val="berschrift1Zchn"/>
    <w:uiPriority w:val="9"/>
    <w:qFormat/>
    <w:pPr>
      <w:keepNext/>
      <w:keepLines/>
      <w:spacing w:after="134"/>
      <w:ind w:left="10" w:hanging="10"/>
      <w:outlineLvl w:val="0"/>
    </w:pPr>
    <w:rPr>
      <w:rFonts w:ascii="Times New Roman" w:eastAsia="Times New Roman" w:hAnsi="Times New Roman" w:cs="Times New Roman"/>
      <w:b/>
      <w:color w:val="000000"/>
      <w:sz w:val="2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rPr>
      <w:rFonts w:ascii="Times New Roman" w:eastAsia="Times New Roman" w:hAnsi="Times New Roman" w:cs="Times New Roman"/>
      <w:b/>
      <w:color w:val="000000"/>
      <w:sz w:val="28"/>
    </w:rPr>
  </w:style>
  <w:style w:type="paragraph" w:styleId="Sprechblasentext">
    <w:name w:val="Balloon Text"/>
    <w:basedOn w:val="Standard"/>
    <w:link w:val="SprechblasentextZchn"/>
    <w:uiPriority w:val="99"/>
    <w:semiHidden/>
    <w:unhideWhenUsed/>
    <w:rsid w:val="007E1B9F"/>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7E1B9F"/>
    <w:rPr>
      <w:rFonts w:ascii="Segoe UI" w:eastAsia="Times New Roman" w:hAnsi="Segoe UI" w:cs="Segoe UI"/>
      <w:color w:val="000000"/>
      <w:sz w:val="18"/>
      <w:szCs w:val="18"/>
    </w:rPr>
  </w:style>
  <w:style w:type="character" w:styleId="Hyperlink">
    <w:name w:val="Hyperlink"/>
    <w:basedOn w:val="Absatz-Standardschriftart"/>
    <w:uiPriority w:val="99"/>
    <w:unhideWhenUsed/>
    <w:rsid w:val="00564D30"/>
    <w:rPr>
      <w:color w:val="0563C1" w:themeColor="hyperlink"/>
      <w:u w:val="single"/>
    </w:rPr>
  </w:style>
  <w:style w:type="character" w:styleId="NichtaufgelsteErwhnung">
    <w:name w:val="Unresolved Mention"/>
    <w:basedOn w:val="Absatz-Standardschriftart"/>
    <w:uiPriority w:val="99"/>
    <w:semiHidden/>
    <w:unhideWhenUsed/>
    <w:rsid w:val="00564D3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0761762">
      <w:bodyDiv w:val="1"/>
      <w:marLeft w:val="0"/>
      <w:marRight w:val="0"/>
      <w:marTop w:val="0"/>
      <w:marBottom w:val="0"/>
      <w:divBdr>
        <w:top w:val="none" w:sz="0" w:space="0" w:color="auto"/>
        <w:left w:val="none" w:sz="0" w:space="0" w:color="auto"/>
        <w:bottom w:val="none" w:sz="0" w:space="0" w:color="auto"/>
        <w:right w:val="none" w:sz="0" w:space="0" w:color="auto"/>
      </w:divBdr>
    </w:div>
    <w:div w:id="688484670">
      <w:bodyDiv w:val="1"/>
      <w:marLeft w:val="0"/>
      <w:marRight w:val="0"/>
      <w:marTop w:val="0"/>
      <w:marBottom w:val="0"/>
      <w:divBdr>
        <w:top w:val="none" w:sz="0" w:space="0" w:color="auto"/>
        <w:left w:val="none" w:sz="0" w:space="0" w:color="auto"/>
        <w:bottom w:val="none" w:sz="0" w:space="0" w:color="auto"/>
        <w:right w:val="none" w:sz="0" w:space="0" w:color="auto"/>
      </w:divBdr>
    </w:div>
    <w:div w:id="1577279189">
      <w:bodyDiv w:val="1"/>
      <w:marLeft w:val="0"/>
      <w:marRight w:val="0"/>
      <w:marTop w:val="0"/>
      <w:marBottom w:val="0"/>
      <w:divBdr>
        <w:top w:val="none" w:sz="0" w:space="0" w:color="auto"/>
        <w:left w:val="none" w:sz="0" w:space="0" w:color="auto"/>
        <w:bottom w:val="none" w:sz="0" w:space="0" w:color="auto"/>
        <w:right w:val="none" w:sz="0" w:space="0" w:color="auto"/>
      </w:divBdr>
    </w:div>
    <w:div w:id="158148040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i.org/10.6084/m9.figshare.12019035.v108" TargetMode="External"/><Relationship Id="rId21" Type="http://schemas.openxmlformats.org/officeDocument/2006/relationships/hyperlink" Target="https://doi.org/10.1074/jbc.m207145200" TargetMode="External"/><Relationship Id="rId34" Type="http://schemas.openxmlformats.org/officeDocument/2006/relationships/hyperlink" Target="https://doi.org/10.1016/s0145-305x(99)00018-x" TargetMode="External"/><Relationship Id="rId42" Type="http://schemas.openxmlformats.org/officeDocument/2006/relationships/hyperlink" Target="https://doi.org/10.1128/jvi.00253-07" TargetMode="External"/><Relationship Id="rId47" Type="http://schemas.openxmlformats.org/officeDocument/2006/relationships/hyperlink" Target="https://doi.org/10.1002/humu.1380020112" TargetMode="External"/><Relationship Id="rId50" Type="http://schemas.openxmlformats.org/officeDocument/2006/relationships/hyperlink" Target="https://doi.org/10.1038/s41467-017-01476-6" TargetMode="External"/><Relationship Id="rId55" Type="http://schemas.openxmlformats.org/officeDocument/2006/relationships/hyperlink" Target="https://doi.org/10.1073/pnas.0505577102" TargetMode="External"/><Relationship Id="rId63" Type="http://schemas.openxmlformats.org/officeDocument/2006/relationships/hyperlink" Target="https://doi.org/10.1128/JVI.02274-10" TargetMode="External"/><Relationship Id="rId7" Type="http://schemas.openxmlformats.org/officeDocument/2006/relationships/image" Target="media/image1.tiff"/><Relationship Id="rId2" Type="http://schemas.openxmlformats.org/officeDocument/2006/relationships/styles" Target="styles.xml"/><Relationship Id="rId16" Type="http://schemas.openxmlformats.org/officeDocument/2006/relationships/image" Target="media/image4.jpg"/><Relationship Id="rId29" Type="http://schemas.openxmlformats.org/officeDocument/2006/relationships/hyperlink" Target="https://doi.org/10.1016/s0145-305x(99)00018-x" TargetMode="External"/><Relationship Id="rId11" Type="http://schemas.openxmlformats.org/officeDocument/2006/relationships/image" Target="media/image2.tiff"/><Relationship Id="rId24" Type="http://schemas.openxmlformats.org/officeDocument/2006/relationships/hyperlink" Target="https://doi.org/10.1016/j.imbio.2018.07.015" TargetMode="External"/><Relationship Id="rId32" Type="http://schemas.openxmlformats.org/officeDocument/2006/relationships/hyperlink" Target="https://doi.org/10.1016/s0145-305x(99)00018-x" TargetMode="External"/><Relationship Id="rId37" Type="http://schemas.openxmlformats.org/officeDocument/2006/relationships/hyperlink" Target="https://pubmed.ncbi.nlm.nih.gov/?term=C%C3%ADdl+K&amp;cauthor_id=8647229" TargetMode="External"/><Relationship Id="rId40" Type="http://schemas.openxmlformats.org/officeDocument/2006/relationships/hyperlink" Target="https://pubmed.ncbi.nlm.nih.gov/?term=Znojil+V&amp;cauthor_id=8647229" TargetMode="External"/><Relationship Id="rId45" Type="http://schemas.openxmlformats.org/officeDocument/2006/relationships/hyperlink" Target="https://doi.org/10.1042/bj20130101" TargetMode="External"/><Relationship Id="rId53" Type="http://schemas.openxmlformats.org/officeDocument/2006/relationships/hyperlink" Target="https://doi.org/10.1038/s41467-017-01476-6" TargetMode="External"/><Relationship Id="rId58" Type="http://schemas.openxmlformats.org/officeDocument/2006/relationships/hyperlink" Target="https://doi.org/10.1371/journal.ppat.1005022" TargetMode="External"/><Relationship Id="rId5" Type="http://schemas.openxmlformats.org/officeDocument/2006/relationships/footnotes" Target="footnotes.xml"/><Relationship Id="rId61" Type="http://schemas.openxmlformats.org/officeDocument/2006/relationships/hyperlink" Target="https://doi.org/10.1016/j.bbagen.2019.05.012" TargetMode="External"/><Relationship Id="rId19" Type="http://schemas.openxmlformats.org/officeDocument/2006/relationships/header" Target="header9.xml"/><Relationship Id="rId14" Type="http://schemas.openxmlformats.org/officeDocument/2006/relationships/header" Target="header5.xml"/><Relationship Id="rId22" Type="http://schemas.openxmlformats.org/officeDocument/2006/relationships/hyperlink" Target="https://doi.org/10.1111/nyas.13694" TargetMode="External"/><Relationship Id="rId27" Type="http://schemas.openxmlformats.org/officeDocument/2006/relationships/hyperlink" Target="https://doi.org/10.6084/m9.figshare.8208689.v120" TargetMode="External"/><Relationship Id="rId30" Type="http://schemas.openxmlformats.org/officeDocument/2006/relationships/hyperlink" Target="https://doi.org/10.1016/s0145-305x(99)00018-x" TargetMode="External"/><Relationship Id="rId35" Type="http://schemas.openxmlformats.org/officeDocument/2006/relationships/hyperlink" Target="http://www.ncbi.nlm.nih.gov/pubmed/8005636" TargetMode="External"/><Relationship Id="rId43" Type="http://schemas.openxmlformats.org/officeDocument/2006/relationships/hyperlink" Target="https://doi.org/10.1128/jvi.00253-07" TargetMode="External"/><Relationship Id="rId48" Type="http://schemas.openxmlformats.org/officeDocument/2006/relationships/hyperlink" Target="https://doi.org/10.1038/s41467-017-01476-6" TargetMode="External"/><Relationship Id="rId56" Type="http://schemas.openxmlformats.org/officeDocument/2006/relationships/hyperlink" Target="https://doi.org/10.1073/pnas.0505577102" TargetMode="External"/><Relationship Id="rId64"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hyperlink" Target="https://doi.org/10.1038/s41467-017-01476-6" TargetMode="External"/><Relationship Id="rId3" Type="http://schemas.openxmlformats.org/officeDocument/2006/relationships/settings" Target="settings.xml"/><Relationship Id="rId12" Type="http://schemas.openxmlformats.org/officeDocument/2006/relationships/image" Target="media/image3.tiff"/><Relationship Id="rId17" Type="http://schemas.openxmlformats.org/officeDocument/2006/relationships/header" Target="header7.xml"/><Relationship Id="rId25" Type="http://schemas.openxmlformats.org/officeDocument/2006/relationships/hyperlink" Target="https://doi.org/10.1016/j.imbio.2018.07.015" TargetMode="External"/><Relationship Id="rId33" Type="http://schemas.openxmlformats.org/officeDocument/2006/relationships/hyperlink" Target="https://doi.org/10.1016/s0145-305x(99)00018-x" TargetMode="External"/><Relationship Id="rId38" Type="http://schemas.openxmlformats.org/officeDocument/2006/relationships/hyperlink" Target="https://pubmed.ncbi.nlm.nih.gov/?term=C%C3%ADdl+K&amp;cauthor_id=8647229" TargetMode="External"/><Relationship Id="rId46" Type="http://schemas.openxmlformats.org/officeDocument/2006/relationships/hyperlink" Target="https://doi.org/10.1042/bj20130101" TargetMode="External"/><Relationship Id="rId59" Type="http://schemas.openxmlformats.org/officeDocument/2006/relationships/hyperlink" Target="https://doi.org/10.1038/cr.2008.15" TargetMode="External"/><Relationship Id="rId20" Type="http://schemas.openxmlformats.org/officeDocument/2006/relationships/hyperlink" Target="https://doi.org/10.1074/jbc.m207145200" TargetMode="External"/><Relationship Id="rId41" Type="http://schemas.openxmlformats.org/officeDocument/2006/relationships/hyperlink" Target="https://doi.org/10.1128/jvi.00253-07" TargetMode="External"/><Relationship Id="rId54" Type="http://schemas.openxmlformats.org/officeDocument/2006/relationships/hyperlink" Target="https://doi.org/10.1073/pnas.0505577102" TargetMode="External"/><Relationship Id="rId62" Type="http://schemas.openxmlformats.org/officeDocument/2006/relationships/hyperlink" Target="https://doi.org/10.1016/j.bbagen.2019.05.012" TargetMode="Externa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header" Target="header6.xml"/><Relationship Id="rId23" Type="http://schemas.openxmlformats.org/officeDocument/2006/relationships/hyperlink" Target="https://doi.org/10.1111/nyas.13694" TargetMode="External"/><Relationship Id="rId28" Type="http://schemas.openxmlformats.org/officeDocument/2006/relationships/hyperlink" Target="https://doi.org/10.6084/m9.figshare.8208689.v120" TargetMode="External"/><Relationship Id="rId36" Type="http://schemas.openxmlformats.org/officeDocument/2006/relationships/hyperlink" Target="https://pubmed.ncbi.nlm.nih.gov/?term=C%C3%ADdl+K&amp;cauthor_id=8647229" TargetMode="External"/><Relationship Id="rId49" Type="http://schemas.openxmlformats.org/officeDocument/2006/relationships/hyperlink" Target="https://doi.org/10.1038/s41467-017-01476-6" TargetMode="External"/><Relationship Id="rId57" Type="http://schemas.openxmlformats.org/officeDocument/2006/relationships/hyperlink" Target="https://doi.org/10.1371/journal.ppat.1005022" TargetMode="External"/><Relationship Id="rId10" Type="http://schemas.openxmlformats.org/officeDocument/2006/relationships/header" Target="header3.xml"/><Relationship Id="rId31" Type="http://schemas.openxmlformats.org/officeDocument/2006/relationships/hyperlink" Target="https://doi.org/10.1016/s0145-305x(99)00018-x" TargetMode="External"/><Relationship Id="rId44" Type="http://schemas.openxmlformats.org/officeDocument/2006/relationships/hyperlink" Target="https://doi.org/10.1016/S0304-4165(00)00170-7" TargetMode="External"/><Relationship Id="rId52" Type="http://schemas.openxmlformats.org/officeDocument/2006/relationships/hyperlink" Target="https://doi.org/10.1038/s41467-017-01476-6" TargetMode="External"/><Relationship Id="rId60" Type="http://schemas.openxmlformats.org/officeDocument/2006/relationships/hyperlink" Target="https://doi.org/10.1038/cr.2008.15" TargetMode="External"/><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eader" Target="header2.xml"/><Relationship Id="rId13" Type="http://schemas.openxmlformats.org/officeDocument/2006/relationships/header" Target="header4.xml"/><Relationship Id="rId18" Type="http://schemas.openxmlformats.org/officeDocument/2006/relationships/header" Target="header8.xml"/><Relationship Id="rId39" Type="http://schemas.openxmlformats.org/officeDocument/2006/relationships/hyperlink" Target="https://pubmed.ncbi.nlm.nih.gov/?term=Strelcov%C3%A1+L&amp;cauthor_id=8647229"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4CAC95-A42F-4B28-8A21-2AC9C555F9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39</Pages>
  <Words>10889</Words>
  <Characters>62073</Characters>
  <Application>Microsoft Office Word</Application>
  <DocSecurity>0</DocSecurity>
  <Lines>517</Lines>
  <Paragraphs>145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72817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Arend</dc:creator>
  <cp:keywords/>
  <cp:lastModifiedBy>Arend</cp:lastModifiedBy>
  <cp:revision>2</cp:revision>
  <cp:lastPrinted>2021-06-29T14:05:00Z</cp:lastPrinted>
  <dcterms:created xsi:type="dcterms:W3CDTF">2021-12-19T09:45:00Z</dcterms:created>
  <dcterms:modified xsi:type="dcterms:W3CDTF">2021-12-19T09:45:00Z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4a6603d0-c491-37fa-a1bd-fd85d25c4a50</vt:lpwstr>
  </property>
  <property fmtid="{D5CDD505-2E9C-101B-9397-08002B2CF9AE}" pid="4" name="Mendeley Citation Style_1">
    <vt:lpwstr>http://www.zotero.org/styles/harvard1</vt:lpwstr>
  </property>
</Properties>
</file>