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2BA3" w14:textId="6F7D21D5" w:rsidR="00D1476D" w:rsidRDefault="00D1476D" w:rsidP="002D728B">
      <w:pPr>
        <w:rPr>
          <w:rFonts w:ascii="Century Gothic" w:hAnsi="Century Gothic"/>
          <w:b/>
          <w:bCs/>
          <w:sz w:val="22"/>
          <w:szCs w:val="22"/>
        </w:rPr>
      </w:pPr>
      <w:r>
        <w:rPr>
          <w:rFonts w:ascii="Century Gothic" w:hAnsi="Century Gothic"/>
          <w:b/>
          <w:bCs/>
          <w:sz w:val="22"/>
          <w:szCs w:val="22"/>
        </w:rPr>
        <w:t>SUPPLEMENTARY TEXT</w:t>
      </w:r>
    </w:p>
    <w:p w14:paraId="2E87E510" w14:textId="2E6B53E1" w:rsidR="00D1476D" w:rsidRDefault="00D1476D" w:rsidP="002D728B">
      <w:pPr>
        <w:rPr>
          <w:rFonts w:ascii="Century Gothic" w:hAnsi="Century Gothic"/>
          <w:b/>
          <w:bCs/>
          <w:sz w:val="22"/>
          <w:szCs w:val="22"/>
        </w:rPr>
      </w:pPr>
    </w:p>
    <w:p w14:paraId="667DBA00" w14:textId="75F6A9E3" w:rsidR="00D1476D" w:rsidRPr="00D1476D" w:rsidRDefault="00D1476D" w:rsidP="002D728B">
      <w:pPr>
        <w:rPr>
          <w:rFonts w:ascii="Century Gothic" w:hAnsi="Century Gothic"/>
          <w:b/>
          <w:bCs/>
          <w:sz w:val="22"/>
          <w:szCs w:val="22"/>
        </w:rPr>
      </w:pPr>
      <w:r>
        <w:rPr>
          <w:rFonts w:ascii="Century Gothic" w:hAnsi="Century Gothic"/>
          <w:b/>
          <w:bCs/>
          <w:sz w:val="22"/>
          <w:szCs w:val="22"/>
        </w:rPr>
        <w:t xml:space="preserve">The </w:t>
      </w:r>
      <w:r w:rsidR="003C5403">
        <w:rPr>
          <w:rFonts w:ascii="Century Gothic" w:hAnsi="Century Gothic"/>
          <w:b/>
          <w:bCs/>
          <w:sz w:val="22"/>
          <w:szCs w:val="22"/>
        </w:rPr>
        <w:t>I</w:t>
      </w:r>
      <w:r w:rsidR="00E41498">
        <w:rPr>
          <w:rFonts w:ascii="Century Gothic" w:hAnsi="Century Gothic"/>
          <w:b/>
          <w:bCs/>
          <w:sz w:val="22"/>
          <w:szCs w:val="22"/>
        </w:rPr>
        <w:t>M</w:t>
      </w:r>
      <w:r>
        <w:rPr>
          <w:rFonts w:ascii="Century Gothic" w:hAnsi="Century Gothic"/>
          <w:b/>
          <w:bCs/>
          <w:sz w:val="22"/>
          <w:szCs w:val="22"/>
        </w:rPr>
        <w:t>ADJIN</w:t>
      </w:r>
      <w:r w:rsidRPr="00B736E8">
        <w:rPr>
          <w:rFonts w:ascii="Century Gothic" w:hAnsi="Century Gothic"/>
          <w:b/>
          <w:bCs/>
          <w:sz w:val="22"/>
          <w:szCs w:val="22"/>
          <w:vertAlign w:val="superscript"/>
        </w:rPr>
        <w:t>®</w:t>
      </w:r>
      <w:r>
        <w:rPr>
          <w:rFonts w:ascii="Century Gothic" w:hAnsi="Century Gothic"/>
          <w:b/>
          <w:bCs/>
          <w:sz w:val="22"/>
          <w:szCs w:val="22"/>
        </w:rPr>
        <w:t xml:space="preserve"> Program</w:t>
      </w:r>
      <w:r w:rsidR="00E41498">
        <w:rPr>
          <w:rFonts w:ascii="Century Gothic" w:hAnsi="Century Gothic"/>
          <w:b/>
          <w:bCs/>
          <w:sz w:val="22"/>
          <w:szCs w:val="22"/>
        </w:rPr>
        <w:t xml:space="preserve">: </w:t>
      </w:r>
      <w:r>
        <w:rPr>
          <w:rFonts w:ascii="Century Gothic" w:hAnsi="Century Gothic"/>
          <w:b/>
          <w:bCs/>
          <w:sz w:val="22"/>
          <w:szCs w:val="22"/>
        </w:rPr>
        <w:t>Patient Enrolment Criteria</w:t>
      </w:r>
      <w:r w:rsidR="00E41498">
        <w:rPr>
          <w:rFonts w:ascii="Century Gothic" w:hAnsi="Century Gothic"/>
          <w:b/>
          <w:bCs/>
          <w:sz w:val="22"/>
          <w:szCs w:val="22"/>
        </w:rPr>
        <w:t xml:space="preserve"> and Data Collection</w:t>
      </w:r>
    </w:p>
    <w:p w14:paraId="246457CF" w14:textId="586C1CDF" w:rsidR="00E33B77" w:rsidRDefault="002D728B" w:rsidP="002D728B">
      <w:pPr>
        <w:rPr>
          <w:rFonts w:ascii="Century Gothic" w:hAnsi="Century Gothic"/>
          <w:sz w:val="22"/>
          <w:szCs w:val="22"/>
        </w:rPr>
      </w:pPr>
      <w:r w:rsidRPr="002D728B">
        <w:rPr>
          <w:rFonts w:ascii="Century Gothic" w:hAnsi="Century Gothic"/>
          <w:sz w:val="22"/>
          <w:szCs w:val="22"/>
        </w:rPr>
        <w:t>IMADJIN</w:t>
      </w:r>
      <w:r w:rsidRPr="002D728B">
        <w:rPr>
          <w:rFonts w:ascii="Century Gothic" w:hAnsi="Century Gothic"/>
          <w:sz w:val="22"/>
          <w:szCs w:val="22"/>
          <w:vertAlign w:val="superscript"/>
        </w:rPr>
        <w:t>®</w:t>
      </w:r>
      <w:r w:rsidRPr="002D728B">
        <w:rPr>
          <w:rFonts w:ascii="Century Gothic" w:hAnsi="Century Gothic"/>
          <w:sz w:val="22"/>
          <w:szCs w:val="22"/>
        </w:rPr>
        <w:t xml:space="preserve"> was established as a program to enable controlled supply of tolvaptan to every patient in Australia who was issued with a valid prescription for tolvaptan.</w:t>
      </w:r>
      <w:r>
        <w:rPr>
          <w:rFonts w:ascii="Century Gothic" w:hAnsi="Century Gothic"/>
          <w:sz w:val="22"/>
          <w:szCs w:val="22"/>
        </w:rPr>
        <w:t xml:space="preserve"> </w:t>
      </w:r>
      <w:r w:rsidRPr="002D728B">
        <w:rPr>
          <w:rFonts w:ascii="Century Gothic" w:hAnsi="Century Gothic"/>
          <w:sz w:val="22"/>
          <w:szCs w:val="22"/>
        </w:rPr>
        <w:t xml:space="preserve">While patients could self-fund their treatment and be supplied through the program, all patients in the program who went on to start tolvaptan treatment received treatment </w:t>
      </w:r>
      <w:r>
        <w:rPr>
          <w:rFonts w:ascii="Century Gothic" w:hAnsi="Century Gothic"/>
          <w:sz w:val="22"/>
          <w:szCs w:val="22"/>
        </w:rPr>
        <w:t xml:space="preserve">via the Pharmaceutical Benefits Scheme (PBS), Australia’s </w:t>
      </w:r>
      <w:r w:rsidRPr="002D728B">
        <w:rPr>
          <w:rFonts w:ascii="Century Gothic" w:hAnsi="Century Gothic"/>
          <w:sz w:val="22"/>
          <w:szCs w:val="22"/>
        </w:rPr>
        <w:t>national medicines reimbursement scheme</w:t>
      </w:r>
      <w:r w:rsidR="003C5403">
        <w:rPr>
          <w:rFonts w:ascii="Century Gothic" w:hAnsi="Century Gothic"/>
          <w:sz w:val="22"/>
          <w:szCs w:val="22"/>
        </w:rPr>
        <w:t xml:space="preserve"> (</w:t>
      </w:r>
      <w:r w:rsidR="003C5403" w:rsidRPr="003C5403">
        <w:rPr>
          <w:rFonts w:ascii="Century Gothic" w:hAnsi="Century Gothic"/>
          <w:sz w:val="22"/>
          <w:szCs w:val="22"/>
        </w:rPr>
        <w:t>https://www.pbs.gov.au/</w:t>
      </w:r>
      <w:r w:rsidR="003C5403">
        <w:rPr>
          <w:rFonts w:ascii="Century Gothic" w:hAnsi="Century Gothic"/>
          <w:sz w:val="22"/>
          <w:szCs w:val="22"/>
        </w:rPr>
        <w:t>)</w:t>
      </w:r>
      <w:r>
        <w:rPr>
          <w:rFonts w:ascii="Century Gothic" w:hAnsi="Century Gothic"/>
          <w:sz w:val="22"/>
          <w:szCs w:val="22"/>
        </w:rPr>
        <w:t xml:space="preserve">. </w:t>
      </w:r>
    </w:p>
    <w:p w14:paraId="0916919B" w14:textId="77777777" w:rsidR="00E33B77" w:rsidRPr="002D728B" w:rsidRDefault="00E33B77" w:rsidP="002D728B">
      <w:pPr>
        <w:rPr>
          <w:rFonts w:ascii="Century Gothic" w:hAnsi="Century Gothic"/>
          <w:sz w:val="22"/>
          <w:szCs w:val="22"/>
        </w:rPr>
      </w:pPr>
    </w:p>
    <w:p w14:paraId="7A717736" w14:textId="77777777" w:rsidR="002D728B" w:rsidRPr="00E33B77" w:rsidRDefault="002D728B" w:rsidP="00E33B77">
      <w:pPr>
        <w:rPr>
          <w:rFonts w:ascii="Century Gothic" w:hAnsi="Century Gothic"/>
          <w:sz w:val="22"/>
          <w:szCs w:val="22"/>
        </w:rPr>
      </w:pPr>
      <w:r w:rsidRPr="00E33B77">
        <w:rPr>
          <w:rFonts w:ascii="Century Gothic" w:hAnsi="Century Gothic"/>
          <w:sz w:val="22"/>
          <w:szCs w:val="22"/>
        </w:rPr>
        <w:t>In Australia to be eligible for subsidised treatment with tolvaptan the patient’s condition must fulfil the following criteria:</w:t>
      </w:r>
    </w:p>
    <w:p w14:paraId="6DF75B5C" w14:textId="5DDDD9AE" w:rsidR="002D728B" w:rsidRPr="002D728B" w:rsidRDefault="002D728B" w:rsidP="00D1476D">
      <w:pPr>
        <w:pStyle w:val="NormalWeb"/>
        <w:numPr>
          <w:ilvl w:val="0"/>
          <w:numId w:val="6"/>
        </w:numPr>
        <w:rPr>
          <w:rFonts w:ascii="Century Gothic" w:hAnsi="Century Gothic" w:cstheme="minorHAnsi"/>
          <w:sz w:val="22"/>
          <w:szCs w:val="22"/>
        </w:rPr>
      </w:pPr>
      <w:r w:rsidRPr="002D728B">
        <w:rPr>
          <w:rFonts w:ascii="Century Gothic" w:hAnsi="Century Gothic" w:cstheme="minorHAnsi"/>
          <w:sz w:val="22"/>
          <w:szCs w:val="22"/>
          <w:lang w:eastAsia="en-US"/>
        </w:rPr>
        <w:t xml:space="preserve">They must be diagnosed with </w:t>
      </w:r>
      <w:r w:rsidR="00E33B77">
        <w:rPr>
          <w:rFonts w:ascii="Century Gothic" w:hAnsi="Century Gothic" w:cstheme="minorHAnsi"/>
          <w:sz w:val="22"/>
          <w:szCs w:val="22"/>
        </w:rPr>
        <w:t>a</w:t>
      </w:r>
      <w:r w:rsidRPr="002D728B">
        <w:rPr>
          <w:rFonts w:ascii="Century Gothic" w:hAnsi="Century Gothic" w:cstheme="minorHAnsi"/>
          <w:sz w:val="22"/>
          <w:szCs w:val="22"/>
        </w:rPr>
        <w:t>utosomal dominant polycystic kidney disease (ADPKD)</w:t>
      </w:r>
    </w:p>
    <w:p w14:paraId="4535A53D" w14:textId="77777777" w:rsidR="002D728B" w:rsidRPr="002D728B" w:rsidRDefault="002D728B" w:rsidP="002D728B">
      <w:pPr>
        <w:pStyle w:val="NormalWeb"/>
        <w:ind w:left="360"/>
        <w:rPr>
          <w:rFonts w:ascii="Century Gothic" w:hAnsi="Century Gothic" w:cstheme="minorHAnsi"/>
          <w:sz w:val="22"/>
          <w:szCs w:val="22"/>
        </w:rPr>
      </w:pPr>
      <w:r w:rsidRPr="002D728B">
        <w:rPr>
          <w:rFonts w:ascii="Century Gothic" w:hAnsi="Century Gothic" w:cstheme="minorHAnsi"/>
          <w:b/>
          <w:bCs/>
          <w:sz w:val="22"/>
          <w:szCs w:val="22"/>
        </w:rPr>
        <w:t>Treatment criteria:</w:t>
      </w:r>
    </w:p>
    <w:p w14:paraId="3610EA94" w14:textId="77777777" w:rsidR="002D728B" w:rsidRPr="002D728B" w:rsidRDefault="002D728B" w:rsidP="002D728B">
      <w:pPr>
        <w:pStyle w:val="NormalWeb"/>
        <w:numPr>
          <w:ilvl w:val="0"/>
          <w:numId w:val="2"/>
        </w:numPr>
        <w:tabs>
          <w:tab w:val="clear" w:pos="720"/>
          <w:tab w:val="num" w:pos="1080"/>
        </w:tabs>
        <w:ind w:left="1080"/>
        <w:rPr>
          <w:rFonts w:ascii="Century Gothic" w:hAnsi="Century Gothic" w:cstheme="minorHAnsi"/>
          <w:sz w:val="22"/>
          <w:szCs w:val="22"/>
        </w:rPr>
      </w:pPr>
      <w:r w:rsidRPr="002D728B">
        <w:rPr>
          <w:rFonts w:ascii="Century Gothic" w:hAnsi="Century Gothic" w:cstheme="minorHAnsi"/>
          <w:sz w:val="22"/>
          <w:szCs w:val="22"/>
        </w:rPr>
        <w:t>Must be treated by a nephrologist.</w:t>
      </w:r>
    </w:p>
    <w:p w14:paraId="42040C4D" w14:textId="77777777" w:rsidR="002D728B" w:rsidRPr="002D728B" w:rsidRDefault="002D728B" w:rsidP="002D728B">
      <w:pPr>
        <w:pStyle w:val="NormalWeb"/>
        <w:ind w:left="360"/>
        <w:rPr>
          <w:rFonts w:ascii="Century Gothic" w:hAnsi="Century Gothic" w:cstheme="minorHAnsi"/>
          <w:sz w:val="22"/>
          <w:szCs w:val="22"/>
        </w:rPr>
      </w:pPr>
      <w:r w:rsidRPr="002D728B">
        <w:rPr>
          <w:rFonts w:ascii="Century Gothic" w:hAnsi="Century Gothic" w:cstheme="minorHAnsi"/>
          <w:b/>
          <w:bCs/>
          <w:sz w:val="22"/>
          <w:szCs w:val="22"/>
        </w:rPr>
        <w:t>Clinical criteria:</w:t>
      </w:r>
    </w:p>
    <w:p w14:paraId="3058CC53" w14:textId="01F7B937" w:rsidR="002D728B" w:rsidRPr="002D728B" w:rsidRDefault="00E33B77" w:rsidP="002D728B">
      <w:pPr>
        <w:pStyle w:val="NormalWeb"/>
        <w:numPr>
          <w:ilvl w:val="0"/>
          <w:numId w:val="3"/>
        </w:numPr>
        <w:tabs>
          <w:tab w:val="clear" w:pos="720"/>
          <w:tab w:val="num" w:pos="1080"/>
        </w:tabs>
        <w:ind w:left="1080"/>
        <w:rPr>
          <w:rFonts w:ascii="Century Gothic" w:hAnsi="Century Gothic" w:cstheme="minorHAnsi"/>
          <w:sz w:val="22"/>
          <w:szCs w:val="22"/>
        </w:rPr>
      </w:pPr>
      <w:r>
        <w:rPr>
          <w:rFonts w:ascii="Century Gothic" w:hAnsi="Century Gothic" w:cstheme="minorHAnsi"/>
          <w:sz w:val="22"/>
          <w:szCs w:val="22"/>
        </w:rPr>
        <w:t>The p</w:t>
      </w:r>
      <w:r w:rsidR="002D728B" w:rsidRPr="002D728B">
        <w:rPr>
          <w:rFonts w:ascii="Century Gothic" w:hAnsi="Century Gothic" w:cstheme="minorHAnsi"/>
          <w:sz w:val="22"/>
          <w:szCs w:val="22"/>
        </w:rPr>
        <w:t>atient must have an estimated glomerular filtration rate (eGFR) between 30</w:t>
      </w:r>
      <w:r w:rsidRPr="00E33B77">
        <w:rPr>
          <w:rFonts w:ascii="Century Gothic" w:hAnsi="Century Gothic" w:cstheme="minorHAnsi"/>
          <w:sz w:val="22"/>
          <w:szCs w:val="22"/>
        </w:rPr>
        <w:t xml:space="preserve"> </w:t>
      </w:r>
      <w:r w:rsidRPr="002D728B">
        <w:rPr>
          <w:rFonts w:ascii="Century Gothic" w:hAnsi="Century Gothic" w:cstheme="minorHAnsi"/>
          <w:sz w:val="22"/>
          <w:szCs w:val="22"/>
        </w:rPr>
        <w:t>mL/min 1.73 m</w:t>
      </w:r>
      <w:r w:rsidRPr="002D728B">
        <w:rPr>
          <w:rFonts w:ascii="Century Gothic" w:hAnsi="Century Gothic" w:cstheme="minorHAnsi"/>
          <w:sz w:val="22"/>
          <w:szCs w:val="22"/>
          <w:vertAlign w:val="superscript"/>
        </w:rPr>
        <w:t>2</w:t>
      </w:r>
      <w:r w:rsidR="002D728B" w:rsidRPr="002D728B">
        <w:rPr>
          <w:rFonts w:ascii="Century Gothic" w:hAnsi="Century Gothic" w:cstheme="minorHAnsi"/>
          <w:sz w:val="22"/>
          <w:szCs w:val="22"/>
        </w:rPr>
        <w:t xml:space="preserve"> and 89 mL/min 1.73 m</w:t>
      </w:r>
      <w:r w:rsidR="002D728B" w:rsidRPr="002D728B">
        <w:rPr>
          <w:rFonts w:ascii="Century Gothic" w:hAnsi="Century Gothic" w:cstheme="minorHAnsi"/>
          <w:sz w:val="22"/>
          <w:szCs w:val="22"/>
          <w:vertAlign w:val="superscript"/>
        </w:rPr>
        <w:t>2</w:t>
      </w:r>
      <w:r w:rsidR="002D728B" w:rsidRPr="002D728B">
        <w:rPr>
          <w:rFonts w:ascii="Century Gothic" w:hAnsi="Century Gothic" w:cstheme="minorHAnsi"/>
          <w:sz w:val="22"/>
          <w:szCs w:val="22"/>
        </w:rPr>
        <w:t xml:space="preserve"> at the initiation of treatment</w:t>
      </w:r>
      <w:r>
        <w:rPr>
          <w:rFonts w:ascii="Century Gothic" w:hAnsi="Century Gothic" w:cstheme="minorHAnsi"/>
          <w:sz w:val="22"/>
          <w:szCs w:val="22"/>
        </w:rPr>
        <w:t>.</w:t>
      </w:r>
    </w:p>
    <w:p w14:paraId="59A36AA3" w14:textId="77777777" w:rsidR="002D728B" w:rsidRPr="002D728B" w:rsidRDefault="002D728B" w:rsidP="002D728B">
      <w:pPr>
        <w:pStyle w:val="NormalWeb"/>
        <w:ind w:left="360"/>
        <w:rPr>
          <w:rFonts w:ascii="Century Gothic" w:hAnsi="Century Gothic" w:cstheme="minorHAnsi"/>
          <w:sz w:val="22"/>
          <w:szCs w:val="22"/>
        </w:rPr>
      </w:pPr>
      <w:r w:rsidRPr="002D728B">
        <w:rPr>
          <w:rFonts w:ascii="Century Gothic" w:hAnsi="Century Gothic" w:cstheme="minorHAnsi"/>
          <w:b/>
          <w:bCs/>
          <w:sz w:val="22"/>
          <w:szCs w:val="22"/>
        </w:rPr>
        <w:t>AND</w:t>
      </w:r>
    </w:p>
    <w:p w14:paraId="6D3ECAED" w14:textId="0CAFAB2C" w:rsidR="002D728B" w:rsidRPr="002D728B" w:rsidRDefault="00E33B77" w:rsidP="002D728B">
      <w:pPr>
        <w:pStyle w:val="NormalWeb"/>
        <w:numPr>
          <w:ilvl w:val="0"/>
          <w:numId w:val="4"/>
        </w:numPr>
        <w:tabs>
          <w:tab w:val="clear" w:pos="720"/>
          <w:tab w:val="num" w:pos="1080"/>
        </w:tabs>
        <w:ind w:left="1080"/>
        <w:rPr>
          <w:rFonts w:ascii="Century Gothic" w:hAnsi="Century Gothic" w:cstheme="minorHAnsi"/>
          <w:sz w:val="22"/>
          <w:szCs w:val="22"/>
        </w:rPr>
      </w:pPr>
      <w:r>
        <w:rPr>
          <w:rFonts w:ascii="Century Gothic" w:hAnsi="Century Gothic" w:cstheme="minorHAnsi"/>
          <w:sz w:val="22"/>
          <w:szCs w:val="22"/>
        </w:rPr>
        <w:t>The p</w:t>
      </w:r>
      <w:r w:rsidR="002D728B" w:rsidRPr="002D728B">
        <w:rPr>
          <w:rFonts w:ascii="Century Gothic" w:hAnsi="Century Gothic" w:cstheme="minorHAnsi"/>
          <w:sz w:val="22"/>
          <w:szCs w:val="22"/>
        </w:rPr>
        <w:t>atient must have or have had rapidly progressing disease at the time of initiation</w:t>
      </w:r>
      <w:r>
        <w:rPr>
          <w:rFonts w:ascii="Century Gothic" w:hAnsi="Century Gothic" w:cstheme="minorHAnsi"/>
          <w:sz w:val="22"/>
          <w:szCs w:val="22"/>
        </w:rPr>
        <w:t>.</w:t>
      </w:r>
    </w:p>
    <w:p w14:paraId="1CFBCC87" w14:textId="77777777" w:rsidR="002D728B" w:rsidRPr="002D728B" w:rsidRDefault="002D728B" w:rsidP="002D728B">
      <w:pPr>
        <w:pStyle w:val="NormalWeb"/>
        <w:ind w:left="360"/>
        <w:rPr>
          <w:rFonts w:ascii="Century Gothic" w:hAnsi="Century Gothic" w:cstheme="minorHAnsi"/>
          <w:sz w:val="22"/>
          <w:szCs w:val="22"/>
        </w:rPr>
      </w:pPr>
      <w:r w:rsidRPr="002D728B">
        <w:rPr>
          <w:rFonts w:ascii="Century Gothic" w:hAnsi="Century Gothic" w:cstheme="minorHAnsi"/>
          <w:sz w:val="22"/>
          <w:szCs w:val="22"/>
        </w:rPr>
        <w:t>Rapidly progressing disease is defined as either of the following:</w:t>
      </w:r>
    </w:p>
    <w:p w14:paraId="02E21636" w14:textId="77777777" w:rsidR="002D728B" w:rsidRPr="002D728B" w:rsidRDefault="002D728B" w:rsidP="00D1476D">
      <w:pPr>
        <w:pStyle w:val="NormalWeb"/>
        <w:numPr>
          <w:ilvl w:val="0"/>
          <w:numId w:val="6"/>
        </w:numPr>
        <w:rPr>
          <w:rFonts w:ascii="Century Gothic" w:hAnsi="Century Gothic" w:cstheme="minorHAnsi"/>
          <w:sz w:val="22"/>
          <w:szCs w:val="22"/>
        </w:rPr>
      </w:pPr>
      <w:r w:rsidRPr="002D728B">
        <w:rPr>
          <w:rFonts w:ascii="Century Gothic" w:hAnsi="Century Gothic" w:cstheme="minorHAnsi"/>
          <w:sz w:val="22"/>
          <w:szCs w:val="22"/>
        </w:rPr>
        <w:t>A decline in eGFR of greater than or equal to 5 mL/min/1.73 m</w:t>
      </w:r>
      <w:r w:rsidRPr="002D728B">
        <w:rPr>
          <w:rFonts w:ascii="Century Gothic" w:hAnsi="Century Gothic" w:cstheme="minorHAnsi"/>
          <w:sz w:val="22"/>
          <w:szCs w:val="22"/>
          <w:vertAlign w:val="superscript"/>
        </w:rPr>
        <w:t>2</w:t>
      </w:r>
      <w:r w:rsidRPr="002D728B">
        <w:rPr>
          <w:rFonts w:ascii="Century Gothic" w:hAnsi="Century Gothic" w:cstheme="minorHAnsi"/>
          <w:sz w:val="22"/>
          <w:szCs w:val="22"/>
        </w:rPr>
        <w:t xml:space="preserve"> within one year; </w:t>
      </w:r>
    </w:p>
    <w:p w14:paraId="367ACDD0" w14:textId="77777777" w:rsidR="002D728B" w:rsidRPr="00D1476D" w:rsidRDefault="002D728B" w:rsidP="002D728B">
      <w:pPr>
        <w:pStyle w:val="NormalWeb"/>
        <w:ind w:left="360"/>
        <w:rPr>
          <w:rFonts w:ascii="Century Gothic" w:hAnsi="Century Gothic" w:cstheme="minorHAnsi"/>
          <w:b/>
          <w:bCs/>
          <w:sz w:val="22"/>
          <w:szCs w:val="22"/>
        </w:rPr>
      </w:pPr>
      <w:r w:rsidRPr="00D1476D">
        <w:rPr>
          <w:rFonts w:ascii="Century Gothic" w:hAnsi="Century Gothic" w:cstheme="minorHAnsi"/>
          <w:b/>
          <w:bCs/>
          <w:sz w:val="22"/>
          <w:szCs w:val="22"/>
        </w:rPr>
        <w:t>OR</w:t>
      </w:r>
    </w:p>
    <w:p w14:paraId="2036873F" w14:textId="4A466777" w:rsidR="002D728B" w:rsidRPr="002D728B" w:rsidRDefault="002D728B" w:rsidP="002D728B">
      <w:pPr>
        <w:pStyle w:val="NormalWeb"/>
        <w:ind w:left="360"/>
        <w:rPr>
          <w:rFonts w:ascii="Century Gothic" w:hAnsi="Century Gothic" w:cstheme="minorHAnsi"/>
          <w:sz w:val="22"/>
          <w:szCs w:val="22"/>
        </w:rPr>
      </w:pPr>
      <w:r w:rsidRPr="002D728B">
        <w:rPr>
          <w:rFonts w:ascii="Century Gothic" w:hAnsi="Century Gothic" w:cstheme="minorHAnsi"/>
          <w:sz w:val="22"/>
          <w:szCs w:val="22"/>
        </w:rPr>
        <w:t>An average decline in eGFR of greater than or equal to 2.5 mL/min/1.73 m</w:t>
      </w:r>
      <w:r w:rsidRPr="002D728B">
        <w:rPr>
          <w:rFonts w:ascii="Century Gothic" w:hAnsi="Century Gothic" w:cstheme="minorHAnsi"/>
          <w:sz w:val="22"/>
          <w:szCs w:val="22"/>
          <w:vertAlign w:val="superscript"/>
        </w:rPr>
        <w:t>2</w:t>
      </w:r>
      <w:r w:rsidRPr="002D728B">
        <w:rPr>
          <w:rFonts w:ascii="Century Gothic" w:hAnsi="Century Gothic" w:cstheme="minorHAnsi"/>
          <w:sz w:val="22"/>
          <w:szCs w:val="22"/>
        </w:rPr>
        <w:t xml:space="preserve"> per year over a five</w:t>
      </w:r>
      <w:r w:rsidR="00E33B77">
        <w:rPr>
          <w:rFonts w:ascii="Century Gothic" w:hAnsi="Century Gothic" w:cstheme="minorHAnsi"/>
          <w:sz w:val="22"/>
          <w:szCs w:val="22"/>
        </w:rPr>
        <w:t>-</w:t>
      </w:r>
      <w:r w:rsidRPr="002D728B">
        <w:rPr>
          <w:rFonts w:ascii="Century Gothic" w:hAnsi="Century Gothic" w:cstheme="minorHAnsi"/>
          <w:sz w:val="22"/>
          <w:szCs w:val="22"/>
        </w:rPr>
        <w:t xml:space="preserve">year period. </w:t>
      </w:r>
    </w:p>
    <w:p w14:paraId="66EF4ED5" w14:textId="2F460614" w:rsidR="002D728B"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t xml:space="preserve">No patients were excluded from enrolment in the </w:t>
      </w:r>
      <w:r w:rsidR="00E33B77" w:rsidRPr="002D728B">
        <w:rPr>
          <w:rFonts w:ascii="Century Gothic" w:hAnsi="Century Gothic"/>
          <w:sz w:val="22"/>
          <w:szCs w:val="22"/>
          <w:lang w:eastAsia="en-US"/>
        </w:rPr>
        <w:t>IMADJIN</w:t>
      </w:r>
      <w:r w:rsidR="00E33B77" w:rsidRPr="002D728B">
        <w:rPr>
          <w:rFonts w:ascii="Century Gothic" w:hAnsi="Century Gothic"/>
          <w:sz w:val="22"/>
          <w:szCs w:val="22"/>
          <w:vertAlign w:val="superscript"/>
        </w:rPr>
        <w:t>®</w:t>
      </w:r>
      <w:r w:rsidR="00E33B77" w:rsidRPr="002D728B">
        <w:rPr>
          <w:rFonts w:ascii="Century Gothic" w:hAnsi="Century Gothic"/>
          <w:sz w:val="22"/>
          <w:szCs w:val="22"/>
          <w:lang w:eastAsia="en-US"/>
        </w:rPr>
        <w:t xml:space="preserve"> </w:t>
      </w:r>
      <w:r w:rsidRPr="002D728B">
        <w:rPr>
          <w:rFonts w:ascii="Century Gothic" w:hAnsi="Century Gothic" w:cstheme="minorHAnsi"/>
          <w:sz w:val="22"/>
          <w:szCs w:val="22"/>
        </w:rPr>
        <w:t>program</w:t>
      </w:r>
      <w:r w:rsidR="00E33B77">
        <w:rPr>
          <w:rFonts w:ascii="Century Gothic" w:hAnsi="Century Gothic" w:cstheme="minorHAnsi"/>
          <w:sz w:val="22"/>
          <w:szCs w:val="22"/>
        </w:rPr>
        <w:t>. E</w:t>
      </w:r>
      <w:r w:rsidRPr="002D728B">
        <w:rPr>
          <w:rFonts w:ascii="Century Gothic" w:hAnsi="Century Gothic" w:cstheme="minorHAnsi"/>
          <w:sz w:val="22"/>
          <w:szCs w:val="22"/>
        </w:rPr>
        <w:t xml:space="preserve">nrolment was entirely at the discretion of the treating clinician. </w:t>
      </w:r>
    </w:p>
    <w:p w14:paraId="05B01E25" w14:textId="2C63EE74" w:rsidR="002D728B"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t xml:space="preserve">To receive each month’s supply of tolvaptan, the patient’s treating clinician </w:t>
      </w:r>
      <w:r w:rsidR="00A91211">
        <w:rPr>
          <w:rFonts w:ascii="Century Gothic" w:hAnsi="Century Gothic" w:cstheme="minorHAnsi"/>
          <w:sz w:val="22"/>
          <w:szCs w:val="22"/>
        </w:rPr>
        <w:t>was required</w:t>
      </w:r>
      <w:r w:rsidR="00A91211" w:rsidRPr="002D728B">
        <w:rPr>
          <w:rFonts w:ascii="Century Gothic" w:hAnsi="Century Gothic" w:cstheme="minorHAnsi"/>
          <w:sz w:val="22"/>
          <w:szCs w:val="22"/>
        </w:rPr>
        <w:t xml:space="preserve"> </w:t>
      </w:r>
      <w:r w:rsidRPr="002D728B">
        <w:rPr>
          <w:rFonts w:ascii="Century Gothic" w:hAnsi="Century Gothic" w:cstheme="minorHAnsi"/>
          <w:sz w:val="22"/>
          <w:szCs w:val="22"/>
        </w:rPr>
        <w:t xml:space="preserve">to confirm that the patient had undergone </w:t>
      </w:r>
      <w:r w:rsidR="00A91211">
        <w:rPr>
          <w:rFonts w:ascii="Century Gothic" w:hAnsi="Century Gothic" w:cstheme="minorHAnsi"/>
          <w:sz w:val="22"/>
          <w:szCs w:val="22"/>
        </w:rPr>
        <w:t>liver function (</w:t>
      </w:r>
      <w:r w:rsidRPr="002D728B">
        <w:rPr>
          <w:rFonts w:ascii="Century Gothic" w:hAnsi="Century Gothic" w:cstheme="minorHAnsi"/>
          <w:sz w:val="22"/>
          <w:szCs w:val="22"/>
        </w:rPr>
        <w:t>LFT</w:t>
      </w:r>
      <w:r w:rsidR="00A91211">
        <w:rPr>
          <w:rFonts w:ascii="Century Gothic" w:hAnsi="Century Gothic" w:cstheme="minorHAnsi"/>
          <w:sz w:val="22"/>
          <w:szCs w:val="22"/>
        </w:rPr>
        <w:t>)</w:t>
      </w:r>
      <w:r w:rsidRPr="002D728B">
        <w:rPr>
          <w:rFonts w:ascii="Century Gothic" w:hAnsi="Century Gothic" w:cstheme="minorHAnsi"/>
          <w:sz w:val="22"/>
          <w:szCs w:val="22"/>
        </w:rPr>
        <w:t xml:space="preserve"> testing that month, that they had reviewed the results and they had decided to continue treatment.</w:t>
      </w:r>
    </w:p>
    <w:p w14:paraId="50811FF9" w14:textId="2543FA0C" w:rsidR="002D728B"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t>If abnormalities were observed by the clinician this was captured in the IMADJIN</w:t>
      </w:r>
      <w:r w:rsidR="00A91211" w:rsidRPr="002D728B">
        <w:rPr>
          <w:rFonts w:ascii="Century Gothic" w:hAnsi="Century Gothic"/>
          <w:sz w:val="22"/>
          <w:szCs w:val="22"/>
          <w:vertAlign w:val="superscript"/>
        </w:rPr>
        <w:t>®</w:t>
      </w:r>
      <w:r w:rsidRPr="002D728B">
        <w:rPr>
          <w:rFonts w:ascii="Century Gothic" w:hAnsi="Century Gothic" w:cstheme="minorHAnsi"/>
          <w:sz w:val="22"/>
          <w:szCs w:val="22"/>
        </w:rPr>
        <w:t xml:space="preserve"> dataset–</w:t>
      </w:r>
      <w:r w:rsidR="00A91211">
        <w:rPr>
          <w:rFonts w:ascii="Century Gothic" w:hAnsi="Century Gothic" w:cstheme="minorHAnsi"/>
          <w:sz w:val="22"/>
          <w:szCs w:val="22"/>
        </w:rPr>
        <w:t xml:space="preserve"> only </w:t>
      </w:r>
      <w:r w:rsidR="002165B8">
        <w:rPr>
          <w:rFonts w:ascii="Century Gothic" w:hAnsi="Century Gothic" w:cstheme="minorHAnsi"/>
          <w:sz w:val="22"/>
          <w:szCs w:val="22"/>
        </w:rPr>
        <w:t>“</w:t>
      </w:r>
      <w:r w:rsidRPr="002D728B">
        <w:rPr>
          <w:rFonts w:ascii="Century Gothic" w:hAnsi="Century Gothic" w:cstheme="minorHAnsi"/>
          <w:sz w:val="22"/>
          <w:szCs w:val="22"/>
        </w:rPr>
        <w:t>normal</w:t>
      </w:r>
      <w:r w:rsidR="002165B8">
        <w:rPr>
          <w:rFonts w:ascii="Century Gothic" w:hAnsi="Century Gothic" w:cstheme="minorHAnsi"/>
          <w:sz w:val="22"/>
          <w:szCs w:val="22"/>
        </w:rPr>
        <w:t>”</w:t>
      </w:r>
      <w:r w:rsidRPr="002D728B">
        <w:rPr>
          <w:rFonts w:ascii="Century Gothic" w:hAnsi="Century Gothic" w:cstheme="minorHAnsi"/>
          <w:sz w:val="22"/>
          <w:szCs w:val="22"/>
        </w:rPr>
        <w:t xml:space="preserve"> or </w:t>
      </w:r>
      <w:r w:rsidR="002165B8">
        <w:rPr>
          <w:rFonts w:ascii="Century Gothic" w:hAnsi="Century Gothic" w:cstheme="minorHAnsi"/>
          <w:sz w:val="22"/>
          <w:szCs w:val="22"/>
        </w:rPr>
        <w:t>“</w:t>
      </w:r>
      <w:r w:rsidRPr="002D728B">
        <w:rPr>
          <w:rFonts w:ascii="Century Gothic" w:hAnsi="Century Gothic" w:cstheme="minorHAnsi"/>
          <w:sz w:val="22"/>
          <w:szCs w:val="22"/>
        </w:rPr>
        <w:t>abnormal</w:t>
      </w:r>
      <w:r w:rsidR="002165B8">
        <w:rPr>
          <w:rFonts w:ascii="Century Gothic" w:hAnsi="Century Gothic" w:cstheme="minorHAnsi"/>
          <w:sz w:val="22"/>
          <w:szCs w:val="22"/>
        </w:rPr>
        <w:t>”</w:t>
      </w:r>
      <w:r w:rsidR="00A91211">
        <w:rPr>
          <w:rFonts w:ascii="Century Gothic" w:hAnsi="Century Gothic" w:cstheme="minorHAnsi"/>
          <w:sz w:val="22"/>
          <w:szCs w:val="22"/>
        </w:rPr>
        <w:t xml:space="preserve"> were</w:t>
      </w:r>
      <w:r w:rsidRPr="002D728B">
        <w:rPr>
          <w:rFonts w:ascii="Century Gothic" w:hAnsi="Century Gothic" w:cstheme="minorHAnsi"/>
          <w:sz w:val="22"/>
          <w:szCs w:val="22"/>
        </w:rPr>
        <w:t xml:space="preserve"> reported.</w:t>
      </w:r>
    </w:p>
    <w:p w14:paraId="2B261F31" w14:textId="0F1C60C9" w:rsidR="00A91211"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lastRenderedPageBreak/>
        <w:t>The management of adverse effects such as LFT abnormalities was at the treating clinician’s discretion</w:t>
      </w:r>
      <w:r w:rsidR="00A91211">
        <w:rPr>
          <w:rFonts w:ascii="Century Gothic" w:hAnsi="Century Gothic" w:cstheme="minorHAnsi"/>
          <w:sz w:val="22"/>
          <w:szCs w:val="22"/>
        </w:rPr>
        <w:t>.</w:t>
      </w:r>
    </w:p>
    <w:p w14:paraId="17A9BB9B" w14:textId="0287D835" w:rsidR="002D728B"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t>If in any given month a decision was taken to cease treatment</w:t>
      </w:r>
      <w:r w:rsidR="00A91211">
        <w:rPr>
          <w:rFonts w:ascii="Century Gothic" w:hAnsi="Century Gothic" w:cstheme="minorHAnsi"/>
          <w:sz w:val="22"/>
          <w:szCs w:val="22"/>
        </w:rPr>
        <w:t>,</w:t>
      </w:r>
      <w:r w:rsidRPr="002D728B">
        <w:rPr>
          <w:rFonts w:ascii="Century Gothic" w:hAnsi="Century Gothic" w:cstheme="minorHAnsi"/>
          <w:sz w:val="22"/>
          <w:szCs w:val="22"/>
        </w:rPr>
        <w:t xml:space="preserve"> whether by </w:t>
      </w:r>
      <w:r w:rsidR="00795E41">
        <w:rPr>
          <w:rFonts w:ascii="Century Gothic" w:hAnsi="Century Gothic" w:cstheme="minorHAnsi"/>
          <w:sz w:val="22"/>
          <w:szCs w:val="22"/>
        </w:rPr>
        <w:t xml:space="preserve">the </w:t>
      </w:r>
      <w:r w:rsidRPr="002D728B">
        <w:rPr>
          <w:rFonts w:ascii="Century Gothic" w:hAnsi="Century Gothic" w:cstheme="minorHAnsi"/>
          <w:sz w:val="22"/>
          <w:szCs w:val="22"/>
        </w:rPr>
        <w:t>clinician or the patient themselves</w:t>
      </w:r>
      <w:r w:rsidR="00A91211">
        <w:rPr>
          <w:rFonts w:ascii="Century Gothic" w:hAnsi="Century Gothic" w:cstheme="minorHAnsi"/>
          <w:sz w:val="22"/>
          <w:szCs w:val="22"/>
        </w:rPr>
        <w:t xml:space="preserve">, the </w:t>
      </w:r>
      <w:r w:rsidR="00A91211" w:rsidRPr="002D728B">
        <w:rPr>
          <w:rFonts w:ascii="Century Gothic" w:hAnsi="Century Gothic"/>
          <w:sz w:val="22"/>
          <w:szCs w:val="22"/>
          <w:lang w:eastAsia="en-US"/>
        </w:rPr>
        <w:t>IMADJIN</w:t>
      </w:r>
      <w:r w:rsidR="00A91211" w:rsidRPr="002D728B">
        <w:rPr>
          <w:rFonts w:ascii="Century Gothic" w:hAnsi="Century Gothic"/>
          <w:sz w:val="22"/>
          <w:szCs w:val="22"/>
          <w:vertAlign w:val="superscript"/>
        </w:rPr>
        <w:t>®</w:t>
      </w:r>
      <w:r w:rsidR="00A91211" w:rsidRPr="002D728B">
        <w:rPr>
          <w:rFonts w:ascii="Century Gothic" w:hAnsi="Century Gothic"/>
          <w:sz w:val="22"/>
          <w:szCs w:val="22"/>
          <w:lang w:eastAsia="en-US"/>
        </w:rPr>
        <w:t xml:space="preserve"> </w:t>
      </w:r>
      <w:r w:rsidR="002A790D">
        <w:rPr>
          <w:rFonts w:ascii="Century Gothic" w:hAnsi="Century Gothic"/>
          <w:sz w:val="22"/>
          <w:szCs w:val="22"/>
          <w:lang w:eastAsia="en-US"/>
        </w:rPr>
        <w:t xml:space="preserve">program </w:t>
      </w:r>
      <w:r w:rsidR="00A91211">
        <w:rPr>
          <w:rFonts w:ascii="Century Gothic" w:hAnsi="Century Gothic"/>
          <w:sz w:val="22"/>
          <w:szCs w:val="22"/>
          <w:lang w:eastAsia="en-US"/>
        </w:rPr>
        <w:t>coordinator</w:t>
      </w:r>
      <w:r w:rsidR="00A91211">
        <w:rPr>
          <w:rFonts w:ascii="Century Gothic" w:hAnsi="Century Gothic" w:cstheme="minorHAnsi"/>
          <w:sz w:val="22"/>
          <w:szCs w:val="22"/>
        </w:rPr>
        <w:t xml:space="preserve"> </w:t>
      </w:r>
      <w:r w:rsidRPr="002D728B">
        <w:rPr>
          <w:rFonts w:ascii="Century Gothic" w:hAnsi="Century Gothic" w:cstheme="minorHAnsi"/>
          <w:sz w:val="22"/>
          <w:szCs w:val="22"/>
        </w:rPr>
        <w:t xml:space="preserve">would record the reason for discontinuation, as defined by the clinician/patient. Where this reason correlated with one of the </w:t>
      </w:r>
      <w:r w:rsidR="00A91211">
        <w:rPr>
          <w:rFonts w:ascii="Century Gothic" w:hAnsi="Century Gothic" w:cstheme="minorHAnsi"/>
          <w:sz w:val="22"/>
          <w:szCs w:val="22"/>
        </w:rPr>
        <w:t>p</w:t>
      </w:r>
      <w:r w:rsidRPr="002D728B">
        <w:rPr>
          <w:rFonts w:ascii="Century Gothic" w:hAnsi="Century Gothic" w:cstheme="minorHAnsi"/>
          <w:sz w:val="22"/>
          <w:szCs w:val="22"/>
        </w:rPr>
        <w:t>re</w:t>
      </w:r>
      <w:r w:rsidR="00A91211">
        <w:rPr>
          <w:rFonts w:ascii="Century Gothic" w:hAnsi="Century Gothic" w:cstheme="minorHAnsi"/>
          <w:sz w:val="22"/>
          <w:szCs w:val="22"/>
        </w:rPr>
        <w:t>-</w:t>
      </w:r>
      <w:r w:rsidRPr="002D728B">
        <w:rPr>
          <w:rFonts w:ascii="Century Gothic" w:hAnsi="Century Gothic" w:cstheme="minorHAnsi"/>
          <w:sz w:val="22"/>
          <w:szCs w:val="22"/>
        </w:rPr>
        <w:t xml:space="preserve">specified categories such as “Aquaretic tolerability” or “Disease progressed”, it was captured as such. </w:t>
      </w:r>
      <w:r w:rsidR="00767091" w:rsidRPr="00767091">
        <w:rPr>
          <w:rFonts w:ascii="Century Gothic" w:hAnsi="Century Gothic" w:cstheme="minorHAnsi"/>
          <w:sz w:val="22"/>
          <w:szCs w:val="22"/>
        </w:rPr>
        <w:t>Due to the set-up of the system, only one reason for discontinuation could be selected per discontinuation (i.e. multiple reasons for discontinuation could not be selected for the same patient).</w:t>
      </w:r>
      <w:r w:rsidR="00767091">
        <w:rPr>
          <w:rFonts w:ascii="Century Gothic" w:hAnsi="Century Gothic" w:cstheme="minorHAnsi"/>
          <w:sz w:val="22"/>
          <w:szCs w:val="22"/>
        </w:rPr>
        <w:t xml:space="preserve"> </w:t>
      </w:r>
      <w:r w:rsidR="00A91211">
        <w:rPr>
          <w:rFonts w:ascii="Century Gothic" w:hAnsi="Century Gothic" w:cstheme="minorHAnsi"/>
          <w:sz w:val="22"/>
          <w:szCs w:val="22"/>
        </w:rPr>
        <w:t>A</w:t>
      </w:r>
      <w:r w:rsidRPr="002D728B">
        <w:rPr>
          <w:rFonts w:ascii="Century Gothic" w:hAnsi="Century Gothic" w:cstheme="minorHAnsi"/>
          <w:sz w:val="22"/>
          <w:szCs w:val="22"/>
        </w:rPr>
        <w:t>dditional detail</w:t>
      </w:r>
      <w:r w:rsidR="00A91211">
        <w:rPr>
          <w:rFonts w:ascii="Century Gothic" w:hAnsi="Century Gothic" w:cstheme="minorHAnsi"/>
          <w:sz w:val="22"/>
          <w:szCs w:val="22"/>
        </w:rPr>
        <w:t xml:space="preserve"> could also be captured</w:t>
      </w:r>
      <w:r w:rsidRPr="002D728B">
        <w:rPr>
          <w:rFonts w:ascii="Century Gothic" w:hAnsi="Century Gothic" w:cstheme="minorHAnsi"/>
          <w:sz w:val="22"/>
          <w:szCs w:val="22"/>
        </w:rPr>
        <w:t xml:space="preserve"> in free text field</w:t>
      </w:r>
      <w:r w:rsidR="00A91211">
        <w:rPr>
          <w:rFonts w:ascii="Century Gothic" w:hAnsi="Century Gothic" w:cstheme="minorHAnsi"/>
          <w:sz w:val="22"/>
          <w:szCs w:val="22"/>
        </w:rPr>
        <w:t>s</w:t>
      </w:r>
      <w:r w:rsidRPr="002D728B">
        <w:rPr>
          <w:rFonts w:ascii="Century Gothic" w:hAnsi="Century Gothic" w:cstheme="minorHAnsi"/>
          <w:sz w:val="22"/>
          <w:szCs w:val="22"/>
        </w:rPr>
        <w:t xml:space="preserve">, but this was not systematically done. Where in the opinion of the </w:t>
      </w:r>
      <w:r w:rsidR="00A91211" w:rsidRPr="002D728B">
        <w:rPr>
          <w:rFonts w:ascii="Century Gothic" w:hAnsi="Century Gothic"/>
          <w:sz w:val="22"/>
          <w:szCs w:val="22"/>
          <w:lang w:eastAsia="en-US"/>
        </w:rPr>
        <w:t>IMADJIN</w:t>
      </w:r>
      <w:r w:rsidR="00A91211" w:rsidRPr="002D728B">
        <w:rPr>
          <w:rFonts w:ascii="Century Gothic" w:hAnsi="Century Gothic"/>
          <w:sz w:val="22"/>
          <w:szCs w:val="22"/>
          <w:vertAlign w:val="superscript"/>
        </w:rPr>
        <w:t>®</w:t>
      </w:r>
      <w:r w:rsidR="00A91211" w:rsidRPr="002D728B">
        <w:rPr>
          <w:rFonts w:ascii="Century Gothic" w:hAnsi="Century Gothic"/>
          <w:sz w:val="22"/>
          <w:szCs w:val="22"/>
          <w:lang w:eastAsia="en-US"/>
        </w:rPr>
        <w:t xml:space="preserve"> </w:t>
      </w:r>
      <w:r w:rsidR="002A790D">
        <w:rPr>
          <w:rFonts w:ascii="Century Gothic" w:hAnsi="Century Gothic"/>
          <w:sz w:val="22"/>
          <w:szCs w:val="22"/>
          <w:lang w:eastAsia="en-US"/>
        </w:rPr>
        <w:t xml:space="preserve">program </w:t>
      </w:r>
      <w:r w:rsidR="00A91211">
        <w:rPr>
          <w:rFonts w:ascii="Century Gothic" w:hAnsi="Century Gothic"/>
          <w:sz w:val="22"/>
          <w:szCs w:val="22"/>
          <w:lang w:eastAsia="en-US"/>
        </w:rPr>
        <w:t>coordinator</w:t>
      </w:r>
      <w:r w:rsidR="00A91211">
        <w:rPr>
          <w:rFonts w:ascii="Century Gothic" w:hAnsi="Century Gothic" w:cstheme="minorHAnsi"/>
          <w:sz w:val="22"/>
          <w:szCs w:val="22"/>
        </w:rPr>
        <w:t xml:space="preserve"> </w:t>
      </w:r>
      <w:r w:rsidRPr="002D728B">
        <w:rPr>
          <w:rFonts w:ascii="Century Gothic" w:hAnsi="Century Gothic" w:cstheme="minorHAnsi"/>
          <w:sz w:val="22"/>
          <w:szCs w:val="22"/>
        </w:rPr>
        <w:t>the reason did not fit one of these categories “Other” was selected and limited free text notes were captured.</w:t>
      </w:r>
      <w:r w:rsidR="00E41498">
        <w:rPr>
          <w:rStyle w:val="FootnoteReference"/>
          <w:rFonts w:ascii="Century Gothic" w:hAnsi="Century Gothic" w:cstheme="minorHAnsi"/>
          <w:sz w:val="22"/>
          <w:szCs w:val="22"/>
        </w:rPr>
        <w:footnoteReference w:id="2"/>
      </w:r>
    </w:p>
    <w:p w14:paraId="658EDECE" w14:textId="08DB8085" w:rsidR="002D728B" w:rsidRPr="002D728B" w:rsidRDefault="002D728B" w:rsidP="00D1476D">
      <w:pPr>
        <w:pStyle w:val="NormalWeb"/>
        <w:rPr>
          <w:rFonts w:ascii="Century Gothic" w:hAnsi="Century Gothic" w:cstheme="minorHAnsi"/>
          <w:sz w:val="22"/>
          <w:szCs w:val="22"/>
        </w:rPr>
      </w:pPr>
      <w:r w:rsidRPr="002D728B">
        <w:rPr>
          <w:rFonts w:ascii="Century Gothic" w:hAnsi="Century Gothic" w:cstheme="minorHAnsi"/>
          <w:sz w:val="22"/>
          <w:szCs w:val="22"/>
        </w:rPr>
        <w:t>Dose adjustment, lab</w:t>
      </w:r>
      <w:r w:rsidR="00A91211">
        <w:rPr>
          <w:rFonts w:ascii="Century Gothic" w:hAnsi="Century Gothic" w:cstheme="minorHAnsi"/>
          <w:sz w:val="22"/>
          <w:szCs w:val="22"/>
        </w:rPr>
        <w:t>oratory</w:t>
      </w:r>
      <w:r w:rsidRPr="002D728B">
        <w:rPr>
          <w:rFonts w:ascii="Century Gothic" w:hAnsi="Century Gothic" w:cstheme="minorHAnsi"/>
          <w:sz w:val="22"/>
          <w:szCs w:val="22"/>
        </w:rPr>
        <w:t xml:space="preserve"> tests other than LFTs, imaging</w:t>
      </w:r>
      <w:r w:rsidR="00A91211">
        <w:rPr>
          <w:rFonts w:ascii="Century Gothic" w:hAnsi="Century Gothic" w:cstheme="minorHAnsi"/>
          <w:sz w:val="22"/>
          <w:szCs w:val="22"/>
        </w:rPr>
        <w:t>,</w:t>
      </w:r>
      <w:r w:rsidRPr="002D728B">
        <w:rPr>
          <w:rFonts w:ascii="Century Gothic" w:hAnsi="Century Gothic" w:cstheme="minorHAnsi"/>
          <w:sz w:val="22"/>
          <w:szCs w:val="22"/>
        </w:rPr>
        <w:t xml:space="preserve"> and other clinical management was at the treating clinician’s discretion. Of these, only dose adjustment was captured in the</w:t>
      </w:r>
      <w:r w:rsidR="00A91211" w:rsidRPr="00A91211">
        <w:rPr>
          <w:rFonts w:ascii="Century Gothic" w:hAnsi="Century Gothic"/>
          <w:sz w:val="22"/>
          <w:szCs w:val="22"/>
          <w:lang w:eastAsia="en-US"/>
        </w:rPr>
        <w:t xml:space="preserve"> </w:t>
      </w:r>
      <w:r w:rsidR="00A91211" w:rsidRPr="002D728B">
        <w:rPr>
          <w:rFonts w:ascii="Century Gothic" w:hAnsi="Century Gothic"/>
          <w:sz w:val="22"/>
          <w:szCs w:val="22"/>
          <w:lang w:eastAsia="en-US"/>
        </w:rPr>
        <w:t>IMADJIN</w:t>
      </w:r>
      <w:r w:rsidR="00A91211" w:rsidRPr="002D728B">
        <w:rPr>
          <w:rFonts w:ascii="Century Gothic" w:hAnsi="Century Gothic"/>
          <w:sz w:val="22"/>
          <w:szCs w:val="22"/>
          <w:vertAlign w:val="superscript"/>
        </w:rPr>
        <w:t>®</w:t>
      </w:r>
      <w:r w:rsidRPr="002D728B">
        <w:rPr>
          <w:rFonts w:ascii="Century Gothic" w:hAnsi="Century Gothic" w:cstheme="minorHAnsi"/>
          <w:sz w:val="22"/>
          <w:szCs w:val="22"/>
        </w:rPr>
        <w:t xml:space="preserve"> data</w:t>
      </w:r>
      <w:r w:rsidR="00A91211">
        <w:rPr>
          <w:rFonts w:ascii="Century Gothic" w:hAnsi="Century Gothic" w:cstheme="minorHAnsi"/>
          <w:sz w:val="22"/>
          <w:szCs w:val="22"/>
        </w:rPr>
        <w:t>set</w:t>
      </w:r>
      <w:r w:rsidRPr="002D728B">
        <w:rPr>
          <w:rFonts w:ascii="Century Gothic" w:hAnsi="Century Gothic" w:cstheme="minorHAnsi"/>
          <w:sz w:val="22"/>
          <w:szCs w:val="22"/>
        </w:rPr>
        <w:t>. Reasons for dose adjustment were not explicitly captured.</w:t>
      </w:r>
    </w:p>
    <w:p w14:paraId="218CD17A" w14:textId="38FC911A" w:rsidR="00D1476D" w:rsidRDefault="00D1476D">
      <w:pPr>
        <w:rPr>
          <w:rFonts w:ascii="Century Gothic" w:hAnsi="Century Gothic"/>
          <w:b/>
          <w:bCs/>
          <w:sz w:val="22"/>
          <w:szCs w:val="22"/>
          <w:u w:val="single"/>
        </w:rPr>
      </w:pPr>
      <w:r w:rsidRPr="00D1476D">
        <w:rPr>
          <w:rFonts w:ascii="Century Gothic" w:hAnsi="Century Gothic"/>
          <w:b/>
          <w:bCs/>
          <w:sz w:val="22"/>
          <w:szCs w:val="22"/>
          <w:u w:val="single"/>
        </w:rPr>
        <w:t>Seasonal Variations in Discontinuations</w:t>
      </w:r>
    </w:p>
    <w:p w14:paraId="4C575DE6" w14:textId="13841A7F" w:rsidR="00D1476D" w:rsidRDefault="00D1476D" w:rsidP="00D1476D">
      <w:pPr>
        <w:pStyle w:val="NormalWeb"/>
        <w:rPr>
          <w:rFonts w:ascii="Century Gothic" w:hAnsi="Century Gothic" w:cstheme="minorHAnsi"/>
          <w:sz w:val="22"/>
          <w:szCs w:val="22"/>
          <w:lang w:val="en-US"/>
        </w:rPr>
      </w:pPr>
      <w:r w:rsidRPr="00D1476D">
        <w:rPr>
          <w:rFonts w:ascii="Century Gothic" w:hAnsi="Century Gothic" w:cstheme="minorHAnsi"/>
          <w:sz w:val="22"/>
          <w:szCs w:val="22"/>
        </w:rPr>
        <w:t>Meteorological season was calculated at the date of discontinuation or the date of the last dose, with the full months of December, January and February considered as summer, March, April, May as autumn etc.</w:t>
      </w:r>
      <w:r>
        <w:rPr>
          <w:rFonts w:ascii="Century Gothic" w:hAnsi="Century Gothic" w:cstheme="minorHAnsi"/>
          <w:sz w:val="22"/>
          <w:szCs w:val="22"/>
        </w:rPr>
        <w:t xml:space="preserve"> </w:t>
      </w:r>
      <w:r w:rsidRPr="00D1476D">
        <w:rPr>
          <w:rFonts w:ascii="Century Gothic" w:hAnsi="Century Gothic" w:cstheme="minorHAnsi"/>
          <w:sz w:val="22"/>
          <w:szCs w:val="22"/>
          <w:lang w:val="en-US"/>
        </w:rPr>
        <w:t>Logistic regression was used to investigate if there was any association between meteorological seasons and treatment discontinuation</w:t>
      </w:r>
      <w:r>
        <w:rPr>
          <w:rFonts w:ascii="Century Gothic" w:hAnsi="Century Gothic" w:cstheme="minorHAnsi"/>
          <w:sz w:val="22"/>
          <w:szCs w:val="22"/>
          <w:lang w:val="en-US"/>
        </w:rPr>
        <w:t>.</w:t>
      </w:r>
    </w:p>
    <w:p w14:paraId="18E42D18" w14:textId="0AE02BBE" w:rsidR="00D1476D" w:rsidRDefault="003D19C9" w:rsidP="00D1476D">
      <w:pPr>
        <w:pStyle w:val="NormalWeb"/>
        <w:rPr>
          <w:rFonts w:ascii="Century Gothic" w:hAnsi="Century Gothic" w:cstheme="minorHAnsi"/>
          <w:sz w:val="22"/>
          <w:szCs w:val="22"/>
          <w:lang w:val="en-US"/>
        </w:rPr>
      </w:pPr>
      <w:proofErr w:type="spellStart"/>
      <w:r>
        <w:rPr>
          <w:rFonts w:ascii="Century Gothic" w:hAnsi="Century Gothic" w:cstheme="minorHAnsi"/>
          <w:sz w:val="22"/>
          <w:szCs w:val="22"/>
          <w:lang w:val="en-US"/>
        </w:rPr>
        <w:t>There</w:t>
      </w:r>
      <w:proofErr w:type="spellEnd"/>
      <w:r>
        <w:rPr>
          <w:rFonts w:ascii="Century Gothic" w:hAnsi="Century Gothic" w:cstheme="minorHAnsi"/>
          <w:sz w:val="22"/>
          <w:szCs w:val="22"/>
          <w:lang w:val="en-US"/>
        </w:rPr>
        <w:t xml:space="preserve"> were significant differences in the odds of discontinuation by season (</w:t>
      </w:r>
      <w:r w:rsidR="0076122F">
        <w:rPr>
          <w:rFonts w:ascii="Century Gothic" w:hAnsi="Century Gothic" w:cstheme="minorHAnsi"/>
          <w:sz w:val="22"/>
          <w:szCs w:val="22"/>
          <w:lang w:val="en-US"/>
        </w:rPr>
        <w:t xml:space="preserve">n=465; </w:t>
      </w:r>
      <w:r w:rsidR="0076122F" w:rsidRPr="003C5403">
        <w:rPr>
          <w:rFonts w:ascii="Century Gothic" w:hAnsi="Century Gothic" w:cstheme="minorHAnsi"/>
          <w:sz w:val="22"/>
          <w:szCs w:val="22"/>
          <w:lang w:val="en-US"/>
        </w:rPr>
        <w:t xml:space="preserve">likelihood ratio Chi squared test with 4 degrees of freedom = 254.11, p&lt;0.0001; </w:t>
      </w:r>
      <w:r w:rsidR="0076122F" w:rsidRPr="003C5403">
        <w:rPr>
          <w:rFonts w:ascii="Century Gothic" w:hAnsi="Century Gothic" w:cstheme="minorHAnsi"/>
          <w:sz w:val="22"/>
          <w:szCs w:val="22"/>
          <w:lang w:val="en-US"/>
        </w:rPr>
        <w:fldChar w:fldCharType="begin"/>
      </w:r>
      <w:r w:rsidR="0076122F" w:rsidRPr="003C5403">
        <w:rPr>
          <w:rFonts w:ascii="Century Gothic" w:hAnsi="Century Gothic" w:cstheme="minorHAnsi"/>
          <w:sz w:val="22"/>
          <w:szCs w:val="22"/>
          <w:lang w:val="en-US"/>
        </w:rPr>
        <w:instrText xml:space="preserve"> REF _Ref84937599 \h </w:instrText>
      </w:r>
      <w:r w:rsidR="003C5403" w:rsidRPr="003C5403">
        <w:rPr>
          <w:rFonts w:ascii="Century Gothic" w:hAnsi="Century Gothic" w:cstheme="minorHAnsi"/>
          <w:sz w:val="22"/>
          <w:szCs w:val="22"/>
          <w:lang w:val="en-US"/>
        </w:rPr>
        <w:instrText xml:space="preserve"> \* MERGEFORMAT </w:instrText>
      </w:r>
      <w:r w:rsidR="0076122F" w:rsidRPr="003C5403">
        <w:rPr>
          <w:rFonts w:ascii="Century Gothic" w:hAnsi="Century Gothic" w:cstheme="minorHAnsi"/>
          <w:sz w:val="22"/>
          <w:szCs w:val="22"/>
          <w:lang w:val="en-US"/>
        </w:rPr>
      </w:r>
      <w:r w:rsidR="0076122F" w:rsidRPr="003C5403">
        <w:rPr>
          <w:rFonts w:ascii="Century Gothic" w:hAnsi="Century Gothic" w:cstheme="minorHAnsi"/>
          <w:sz w:val="22"/>
          <w:szCs w:val="22"/>
          <w:lang w:val="en-US"/>
        </w:rPr>
        <w:fldChar w:fldCharType="separate"/>
      </w:r>
      <w:r w:rsidR="0076122F" w:rsidRPr="00B736E8">
        <w:rPr>
          <w:rFonts w:ascii="Century Gothic" w:hAnsi="Century Gothic"/>
          <w:sz w:val="22"/>
          <w:szCs w:val="22"/>
        </w:rPr>
        <w:t xml:space="preserve">Supplementary Table </w:t>
      </w:r>
      <w:r w:rsidR="0076122F" w:rsidRPr="00B736E8">
        <w:rPr>
          <w:rFonts w:ascii="Century Gothic" w:hAnsi="Century Gothic"/>
          <w:noProof/>
          <w:sz w:val="22"/>
          <w:szCs w:val="22"/>
        </w:rPr>
        <w:t>1</w:t>
      </w:r>
      <w:r w:rsidR="0076122F" w:rsidRPr="003C5403">
        <w:rPr>
          <w:rFonts w:ascii="Century Gothic" w:hAnsi="Century Gothic" w:cstheme="minorHAnsi"/>
          <w:sz w:val="22"/>
          <w:szCs w:val="22"/>
          <w:lang w:val="en-US"/>
        </w:rPr>
        <w:fldChar w:fldCharType="end"/>
      </w:r>
      <w:r w:rsidRPr="003C5403">
        <w:rPr>
          <w:rFonts w:ascii="Century Gothic" w:hAnsi="Century Gothic" w:cstheme="minorHAnsi"/>
          <w:sz w:val="22"/>
          <w:szCs w:val="22"/>
          <w:lang w:val="en-US"/>
        </w:rPr>
        <w:t>)</w:t>
      </w:r>
    </w:p>
    <w:p w14:paraId="06718465" w14:textId="45D23F36" w:rsidR="003D19C9" w:rsidRPr="00B736E8" w:rsidRDefault="003D19C9" w:rsidP="003D19C9">
      <w:pPr>
        <w:pStyle w:val="Caption"/>
        <w:rPr>
          <w:rFonts w:ascii="Century Gothic" w:hAnsi="Century Gothic"/>
          <w:color w:val="000000" w:themeColor="text1"/>
        </w:rPr>
      </w:pPr>
      <w:bookmarkStart w:id="0" w:name="_Ref84937599"/>
      <w:r w:rsidRPr="00B736E8">
        <w:rPr>
          <w:rFonts w:ascii="Century Gothic" w:hAnsi="Century Gothic"/>
          <w:color w:val="000000" w:themeColor="text1"/>
        </w:rPr>
        <w:t xml:space="preserve">Supplementary Table </w:t>
      </w:r>
      <w:r w:rsidR="0089745A" w:rsidRPr="00B736E8">
        <w:rPr>
          <w:rFonts w:ascii="Century Gothic" w:hAnsi="Century Gothic"/>
          <w:noProof/>
          <w:color w:val="000000" w:themeColor="text1"/>
        </w:rPr>
        <w:fldChar w:fldCharType="begin"/>
      </w:r>
      <w:r w:rsidR="0089745A" w:rsidRPr="00B736E8">
        <w:rPr>
          <w:rFonts w:ascii="Century Gothic" w:hAnsi="Century Gothic"/>
          <w:noProof/>
          <w:color w:val="000000" w:themeColor="text1"/>
        </w:rPr>
        <w:instrText xml:space="preserve"> SEQ Supplementary_Table \* ARABIC </w:instrText>
      </w:r>
      <w:r w:rsidR="0089745A" w:rsidRPr="00B736E8">
        <w:rPr>
          <w:rFonts w:ascii="Century Gothic" w:hAnsi="Century Gothic"/>
          <w:noProof/>
          <w:color w:val="000000" w:themeColor="text1"/>
        </w:rPr>
        <w:fldChar w:fldCharType="separate"/>
      </w:r>
      <w:r w:rsidRPr="00B736E8">
        <w:rPr>
          <w:rFonts w:ascii="Century Gothic" w:hAnsi="Century Gothic"/>
          <w:noProof/>
          <w:color w:val="000000" w:themeColor="text1"/>
        </w:rPr>
        <w:t>1</w:t>
      </w:r>
      <w:r w:rsidR="0089745A" w:rsidRPr="00B736E8">
        <w:rPr>
          <w:rFonts w:ascii="Century Gothic" w:hAnsi="Century Gothic"/>
          <w:noProof/>
          <w:color w:val="000000" w:themeColor="text1"/>
        </w:rPr>
        <w:fldChar w:fldCharType="end"/>
      </w:r>
      <w:bookmarkEnd w:id="0"/>
      <w:r w:rsidRPr="00B736E8">
        <w:rPr>
          <w:rFonts w:ascii="Century Gothic" w:hAnsi="Century Gothic"/>
          <w:color w:val="000000" w:themeColor="text1"/>
        </w:rPr>
        <w:t>: Logistic regression of seasonal differences in discontinuation</w:t>
      </w:r>
    </w:p>
    <w:tbl>
      <w:tblPr>
        <w:tblStyle w:val="TableGrid"/>
        <w:tblW w:w="0" w:type="auto"/>
        <w:tblBorders>
          <w:insideV w:val="none" w:sz="0" w:space="0" w:color="auto"/>
        </w:tblBorders>
        <w:tblLook w:val="04A0" w:firstRow="1" w:lastRow="0" w:firstColumn="1" w:lastColumn="0" w:noHBand="0" w:noVBand="1"/>
      </w:tblPr>
      <w:tblGrid>
        <w:gridCol w:w="1802"/>
        <w:gridCol w:w="1802"/>
        <w:gridCol w:w="1802"/>
        <w:gridCol w:w="1802"/>
      </w:tblGrid>
      <w:tr w:rsidR="003D19C9" w:rsidRPr="003C5403" w14:paraId="1438A384" w14:textId="77777777" w:rsidTr="003D19C9">
        <w:tc>
          <w:tcPr>
            <w:tcW w:w="1802" w:type="dxa"/>
          </w:tcPr>
          <w:p w14:paraId="14CBDC00" w14:textId="4450D733" w:rsidR="003D19C9" w:rsidRPr="00B736E8" w:rsidRDefault="003D19C9" w:rsidP="003D19C9">
            <w:pPr>
              <w:rPr>
                <w:rFonts w:ascii="Century Gothic" w:hAnsi="Century Gothic"/>
                <w:sz w:val="22"/>
                <w:szCs w:val="22"/>
              </w:rPr>
            </w:pPr>
            <w:r w:rsidRPr="00B736E8">
              <w:rPr>
                <w:rFonts w:ascii="Century Gothic" w:hAnsi="Century Gothic"/>
                <w:sz w:val="22"/>
                <w:szCs w:val="22"/>
              </w:rPr>
              <w:t>Parameter</w:t>
            </w:r>
          </w:p>
        </w:tc>
        <w:tc>
          <w:tcPr>
            <w:tcW w:w="1802" w:type="dxa"/>
          </w:tcPr>
          <w:p w14:paraId="6BC39FEC" w14:textId="67E2AD41" w:rsidR="003D19C9" w:rsidRPr="00B736E8" w:rsidRDefault="003D19C9" w:rsidP="003D19C9">
            <w:pPr>
              <w:rPr>
                <w:rFonts w:ascii="Century Gothic" w:hAnsi="Century Gothic"/>
                <w:sz w:val="22"/>
                <w:szCs w:val="22"/>
              </w:rPr>
            </w:pPr>
            <w:r w:rsidRPr="00B736E8">
              <w:rPr>
                <w:rFonts w:ascii="Century Gothic" w:hAnsi="Century Gothic"/>
                <w:sz w:val="22"/>
                <w:szCs w:val="22"/>
              </w:rPr>
              <w:t>Odds Ratio</w:t>
            </w:r>
          </w:p>
        </w:tc>
        <w:tc>
          <w:tcPr>
            <w:tcW w:w="1802" w:type="dxa"/>
          </w:tcPr>
          <w:p w14:paraId="4ADB1C37" w14:textId="1E400C77" w:rsidR="003D19C9" w:rsidRPr="00B736E8" w:rsidRDefault="003D19C9" w:rsidP="003D19C9">
            <w:pPr>
              <w:rPr>
                <w:rFonts w:ascii="Century Gothic" w:hAnsi="Century Gothic"/>
                <w:sz w:val="22"/>
                <w:szCs w:val="22"/>
              </w:rPr>
            </w:pPr>
            <w:r w:rsidRPr="00B736E8">
              <w:rPr>
                <w:rFonts w:ascii="Century Gothic" w:hAnsi="Century Gothic"/>
                <w:sz w:val="22"/>
                <w:szCs w:val="22"/>
              </w:rPr>
              <w:t>95% CI</w:t>
            </w:r>
          </w:p>
        </w:tc>
        <w:tc>
          <w:tcPr>
            <w:tcW w:w="1802" w:type="dxa"/>
          </w:tcPr>
          <w:p w14:paraId="52D65102" w14:textId="12AD6AEB" w:rsidR="003D19C9" w:rsidRPr="00B736E8" w:rsidRDefault="003D19C9" w:rsidP="003D19C9">
            <w:pPr>
              <w:rPr>
                <w:rFonts w:ascii="Century Gothic" w:hAnsi="Century Gothic"/>
                <w:sz w:val="22"/>
                <w:szCs w:val="22"/>
              </w:rPr>
            </w:pPr>
            <w:r w:rsidRPr="00B736E8">
              <w:rPr>
                <w:rFonts w:ascii="Century Gothic" w:hAnsi="Century Gothic"/>
                <w:sz w:val="22"/>
                <w:szCs w:val="22"/>
              </w:rPr>
              <w:t>p-value</w:t>
            </w:r>
          </w:p>
        </w:tc>
      </w:tr>
      <w:tr w:rsidR="003D19C9" w:rsidRPr="003C5403" w14:paraId="04C6DE33" w14:textId="77777777" w:rsidTr="003D19C9">
        <w:tc>
          <w:tcPr>
            <w:tcW w:w="1802" w:type="dxa"/>
          </w:tcPr>
          <w:p w14:paraId="5BE5C264" w14:textId="47B1E446" w:rsidR="003D19C9" w:rsidRPr="00B736E8" w:rsidRDefault="003D19C9" w:rsidP="003D19C9">
            <w:pPr>
              <w:rPr>
                <w:rFonts w:ascii="Century Gothic" w:hAnsi="Century Gothic"/>
                <w:sz w:val="22"/>
                <w:szCs w:val="22"/>
              </w:rPr>
            </w:pPr>
            <w:r w:rsidRPr="00B736E8">
              <w:rPr>
                <w:rFonts w:ascii="Century Gothic" w:hAnsi="Century Gothic"/>
                <w:sz w:val="22"/>
                <w:szCs w:val="22"/>
              </w:rPr>
              <w:t>Season</w:t>
            </w:r>
          </w:p>
        </w:tc>
        <w:tc>
          <w:tcPr>
            <w:tcW w:w="1802" w:type="dxa"/>
          </w:tcPr>
          <w:p w14:paraId="185F5318" w14:textId="77777777" w:rsidR="003D19C9" w:rsidRPr="00B736E8" w:rsidRDefault="003D19C9" w:rsidP="003D19C9">
            <w:pPr>
              <w:rPr>
                <w:rFonts w:ascii="Century Gothic" w:hAnsi="Century Gothic"/>
                <w:sz w:val="22"/>
                <w:szCs w:val="22"/>
              </w:rPr>
            </w:pPr>
          </w:p>
        </w:tc>
        <w:tc>
          <w:tcPr>
            <w:tcW w:w="1802" w:type="dxa"/>
          </w:tcPr>
          <w:p w14:paraId="1C036E40" w14:textId="77777777" w:rsidR="003D19C9" w:rsidRPr="00B736E8" w:rsidRDefault="003D19C9" w:rsidP="003D19C9">
            <w:pPr>
              <w:rPr>
                <w:rFonts w:ascii="Century Gothic" w:hAnsi="Century Gothic"/>
                <w:sz w:val="22"/>
                <w:szCs w:val="22"/>
              </w:rPr>
            </w:pPr>
          </w:p>
        </w:tc>
        <w:tc>
          <w:tcPr>
            <w:tcW w:w="1802" w:type="dxa"/>
          </w:tcPr>
          <w:p w14:paraId="4AA95F5F" w14:textId="77777777" w:rsidR="003D19C9" w:rsidRPr="00B736E8" w:rsidRDefault="003D19C9" w:rsidP="003D19C9">
            <w:pPr>
              <w:rPr>
                <w:rFonts w:ascii="Century Gothic" w:hAnsi="Century Gothic"/>
                <w:sz w:val="22"/>
                <w:szCs w:val="22"/>
              </w:rPr>
            </w:pPr>
          </w:p>
        </w:tc>
      </w:tr>
      <w:tr w:rsidR="003D19C9" w:rsidRPr="003C5403" w14:paraId="268052B8" w14:textId="77777777" w:rsidTr="003D19C9">
        <w:tc>
          <w:tcPr>
            <w:tcW w:w="1802" w:type="dxa"/>
          </w:tcPr>
          <w:p w14:paraId="0E0B4C1D" w14:textId="45DAFFAF" w:rsidR="003D19C9" w:rsidRPr="00B736E8" w:rsidRDefault="003D19C9" w:rsidP="003D19C9">
            <w:pPr>
              <w:rPr>
                <w:rFonts w:ascii="Century Gothic" w:hAnsi="Century Gothic"/>
                <w:sz w:val="22"/>
                <w:szCs w:val="22"/>
              </w:rPr>
            </w:pPr>
            <w:r w:rsidRPr="00B736E8">
              <w:rPr>
                <w:rFonts w:ascii="Century Gothic" w:hAnsi="Century Gothic"/>
                <w:sz w:val="22"/>
                <w:szCs w:val="22"/>
              </w:rPr>
              <w:t xml:space="preserve">  Autumn</w:t>
            </w:r>
          </w:p>
        </w:tc>
        <w:tc>
          <w:tcPr>
            <w:tcW w:w="1802" w:type="dxa"/>
          </w:tcPr>
          <w:p w14:paraId="62739ECB" w14:textId="204E938A" w:rsidR="003D19C9" w:rsidRPr="00B736E8" w:rsidRDefault="003D19C9" w:rsidP="003D19C9">
            <w:pPr>
              <w:rPr>
                <w:rFonts w:ascii="Century Gothic" w:hAnsi="Century Gothic"/>
                <w:sz w:val="22"/>
                <w:szCs w:val="22"/>
              </w:rPr>
            </w:pPr>
            <w:r w:rsidRPr="00B736E8">
              <w:rPr>
                <w:rFonts w:ascii="Century Gothic" w:hAnsi="Century Gothic"/>
                <w:sz w:val="22"/>
                <w:szCs w:val="22"/>
              </w:rPr>
              <w:t>0.328</w:t>
            </w:r>
          </w:p>
        </w:tc>
        <w:tc>
          <w:tcPr>
            <w:tcW w:w="1802" w:type="dxa"/>
          </w:tcPr>
          <w:p w14:paraId="089FBCAC" w14:textId="4E6C272A" w:rsidR="003D19C9" w:rsidRPr="00B736E8" w:rsidRDefault="003D19C9" w:rsidP="003D19C9">
            <w:pPr>
              <w:rPr>
                <w:rFonts w:ascii="Century Gothic" w:hAnsi="Century Gothic"/>
                <w:sz w:val="22"/>
                <w:szCs w:val="22"/>
              </w:rPr>
            </w:pPr>
            <w:r w:rsidRPr="00B736E8">
              <w:rPr>
                <w:rFonts w:ascii="Century Gothic" w:hAnsi="Century Gothic"/>
                <w:sz w:val="22"/>
                <w:szCs w:val="22"/>
              </w:rPr>
              <w:t>0.050, 2.114</w:t>
            </w:r>
          </w:p>
        </w:tc>
        <w:tc>
          <w:tcPr>
            <w:tcW w:w="1802" w:type="dxa"/>
          </w:tcPr>
          <w:p w14:paraId="7315CDAD" w14:textId="4468E7C2" w:rsidR="003D19C9" w:rsidRPr="00B736E8" w:rsidRDefault="0076122F" w:rsidP="003D19C9">
            <w:pPr>
              <w:rPr>
                <w:rFonts w:ascii="Century Gothic" w:hAnsi="Century Gothic"/>
                <w:sz w:val="22"/>
                <w:szCs w:val="22"/>
              </w:rPr>
            </w:pPr>
            <w:r w:rsidRPr="00B736E8">
              <w:rPr>
                <w:rFonts w:ascii="Century Gothic" w:hAnsi="Century Gothic"/>
                <w:sz w:val="22"/>
                <w:szCs w:val="22"/>
              </w:rPr>
              <w:t>0.240</w:t>
            </w:r>
          </w:p>
        </w:tc>
      </w:tr>
      <w:tr w:rsidR="003D19C9" w:rsidRPr="003C5403" w14:paraId="10994F5C" w14:textId="77777777" w:rsidTr="003D19C9">
        <w:tc>
          <w:tcPr>
            <w:tcW w:w="1802" w:type="dxa"/>
          </w:tcPr>
          <w:p w14:paraId="2073A42B" w14:textId="39919BD6" w:rsidR="003D19C9" w:rsidRPr="00B736E8" w:rsidRDefault="003D19C9" w:rsidP="003D19C9">
            <w:pPr>
              <w:rPr>
                <w:rFonts w:ascii="Century Gothic" w:hAnsi="Century Gothic"/>
                <w:sz w:val="22"/>
                <w:szCs w:val="22"/>
              </w:rPr>
            </w:pPr>
            <w:r w:rsidRPr="00B736E8">
              <w:rPr>
                <w:rFonts w:ascii="Century Gothic" w:hAnsi="Century Gothic"/>
                <w:sz w:val="22"/>
                <w:szCs w:val="22"/>
              </w:rPr>
              <w:t xml:space="preserve">  Winter</w:t>
            </w:r>
          </w:p>
        </w:tc>
        <w:tc>
          <w:tcPr>
            <w:tcW w:w="1802" w:type="dxa"/>
          </w:tcPr>
          <w:p w14:paraId="0F6DD606" w14:textId="72406410" w:rsidR="003D19C9" w:rsidRPr="00B736E8" w:rsidRDefault="003D19C9" w:rsidP="003D19C9">
            <w:pPr>
              <w:rPr>
                <w:rFonts w:ascii="Century Gothic" w:hAnsi="Century Gothic"/>
                <w:sz w:val="22"/>
                <w:szCs w:val="22"/>
              </w:rPr>
            </w:pPr>
            <w:r w:rsidRPr="00B736E8">
              <w:rPr>
                <w:rFonts w:ascii="Century Gothic" w:hAnsi="Century Gothic"/>
                <w:sz w:val="22"/>
                <w:szCs w:val="22"/>
              </w:rPr>
              <w:t>0.058</w:t>
            </w:r>
          </w:p>
        </w:tc>
        <w:tc>
          <w:tcPr>
            <w:tcW w:w="1802" w:type="dxa"/>
          </w:tcPr>
          <w:p w14:paraId="03B853D7" w14:textId="5093B4FE" w:rsidR="003D19C9" w:rsidRPr="00B736E8" w:rsidRDefault="003D19C9" w:rsidP="003D19C9">
            <w:pPr>
              <w:rPr>
                <w:rFonts w:ascii="Century Gothic" w:hAnsi="Century Gothic"/>
                <w:sz w:val="22"/>
                <w:szCs w:val="22"/>
              </w:rPr>
            </w:pPr>
            <w:r w:rsidRPr="00B736E8">
              <w:rPr>
                <w:rFonts w:ascii="Century Gothic" w:hAnsi="Century Gothic"/>
                <w:sz w:val="22"/>
                <w:szCs w:val="22"/>
              </w:rPr>
              <w:t>0.010, 0.354</w:t>
            </w:r>
          </w:p>
        </w:tc>
        <w:tc>
          <w:tcPr>
            <w:tcW w:w="1802" w:type="dxa"/>
          </w:tcPr>
          <w:p w14:paraId="5175004C" w14:textId="67140356" w:rsidR="003D19C9" w:rsidRPr="00B736E8" w:rsidRDefault="0076122F" w:rsidP="003D19C9">
            <w:pPr>
              <w:rPr>
                <w:rFonts w:ascii="Century Gothic" w:hAnsi="Century Gothic"/>
                <w:sz w:val="22"/>
                <w:szCs w:val="22"/>
              </w:rPr>
            </w:pPr>
            <w:r w:rsidRPr="00B736E8">
              <w:rPr>
                <w:rFonts w:ascii="Century Gothic" w:hAnsi="Century Gothic"/>
                <w:sz w:val="22"/>
                <w:szCs w:val="22"/>
              </w:rPr>
              <w:t>0.002</w:t>
            </w:r>
          </w:p>
        </w:tc>
      </w:tr>
      <w:tr w:rsidR="003D19C9" w:rsidRPr="003C5403" w14:paraId="76C00DAE" w14:textId="77777777" w:rsidTr="003D19C9">
        <w:tc>
          <w:tcPr>
            <w:tcW w:w="1802" w:type="dxa"/>
          </w:tcPr>
          <w:p w14:paraId="452EBBE3" w14:textId="0FEA05C2" w:rsidR="003D19C9" w:rsidRPr="00B736E8" w:rsidRDefault="003D19C9" w:rsidP="003D19C9">
            <w:pPr>
              <w:rPr>
                <w:rFonts w:ascii="Century Gothic" w:hAnsi="Century Gothic"/>
                <w:sz w:val="22"/>
                <w:szCs w:val="22"/>
              </w:rPr>
            </w:pPr>
            <w:r w:rsidRPr="00B736E8">
              <w:rPr>
                <w:rFonts w:ascii="Century Gothic" w:hAnsi="Century Gothic"/>
                <w:sz w:val="22"/>
                <w:szCs w:val="22"/>
              </w:rPr>
              <w:t xml:space="preserve">  Spring</w:t>
            </w:r>
          </w:p>
        </w:tc>
        <w:tc>
          <w:tcPr>
            <w:tcW w:w="1802" w:type="dxa"/>
          </w:tcPr>
          <w:p w14:paraId="2CEAC151" w14:textId="66A677D2" w:rsidR="003D19C9" w:rsidRPr="00B736E8" w:rsidRDefault="003D19C9" w:rsidP="003D19C9">
            <w:pPr>
              <w:rPr>
                <w:rFonts w:ascii="Century Gothic" w:hAnsi="Century Gothic"/>
                <w:sz w:val="22"/>
                <w:szCs w:val="22"/>
              </w:rPr>
            </w:pPr>
            <w:r w:rsidRPr="00B736E8">
              <w:rPr>
                <w:rFonts w:ascii="Century Gothic" w:hAnsi="Century Gothic"/>
                <w:sz w:val="22"/>
                <w:szCs w:val="22"/>
              </w:rPr>
              <w:t>0.004</w:t>
            </w:r>
          </w:p>
        </w:tc>
        <w:tc>
          <w:tcPr>
            <w:tcW w:w="1802" w:type="dxa"/>
          </w:tcPr>
          <w:p w14:paraId="45070FB3" w14:textId="1B7C141C" w:rsidR="003D19C9" w:rsidRPr="00B736E8" w:rsidRDefault="003D19C9" w:rsidP="003D19C9">
            <w:pPr>
              <w:rPr>
                <w:rFonts w:ascii="Century Gothic" w:hAnsi="Century Gothic"/>
                <w:sz w:val="22"/>
                <w:szCs w:val="22"/>
              </w:rPr>
            </w:pPr>
            <w:r w:rsidRPr="00B736E8">
              <w:rPr>
                <w:rFonts w:ascii="Century Gothic" w:hAnsi="Century Gothic"/>
                <w:sz w:val="22"/>
                <w:szCs w:val="22"/>
              </w:rPr>
              <w:t>0.007,</w:t>
            </w:r>
            <w:r w:rsidR="0076122F" w:rsidRPr="00B736E8">
              <w:rPr>
                <w:rFonts w:ascii="Century Gothic" w:hAnsi="Century Gothic"/>
                <w:sz w:val="22"/>
                <w:szCs w:val="22"/>
              </w:rPr>
              <w:t xml:space="preserve"> 0.026</w:t>
            </w:r>
          </w:p>
        </w:tc>
        <w:tc>
          <w:tcPr>
            <w:tcW w:w="1802" w:type="dxa"/>
          </w:tcPr>
          <w:p w14:paraId="3AF2269C" w14:textId="5F63BDAD" w:rsidR="003D19C9" w:rsidRPr="00B736E8" w:rsidRDefault="0076122F" w:rsidP="003D19C9">
            <w:pPr>
              <w:rPr>
                <w:rFonts w:ascii="Century Gothic" w:hAnsi="Century Gothic"/>
                <w:sz w:val="22"/>
                <w:szCs w:val="22"/>
              </w:rPr>
            </w:pPr>
            <w:r w:rsidRPr="00B736E8">
              <w:rPr>
                <w:rFonts w:ascii="Century Gothic" w:hAnsi="Century Gothic"/>
                <w:sz w:val="22"/>
                <w:szCs w:val="22"/>
              </w:rPr>
              <w:t>&lt;0.001</w:t>
            </w:r>
          </w:p>
        </w:tc>
      </w:tr>
      <w:tr w:rsidR="0076122F" w:rsidRPr="003C5403" w14:paraId="6ED497E3" w14:textId="77777777" w:rsidTr="003D19C9">
        <w:tc>
          <w:tcPr>
            <w:tcW w:w="1802" w:type="dxa"/>
          </w:tcPr>
          <w:p w14:paraId="669965D0" w14:textId="6E31C2CB" w:rsidR="0076122F" w:rsidRPr="00B736E8" w:rsidRDefault="0076122F" w:rsidP="003D19C9">
            <w:pPr>
              <w:rPr>
                <w:rFonts w:ascii="Century Gothic" w:hAnsi="Century Gothic"/>
                <w:sz w:val="22"/>
                <w:szCs w:val="22"/>
              </w:rPr>
            </w:pPr>
            <w:r w:rsidRPr="00B736E8">
              <w:rPr>
                <w:rFonts w:ascii="Century Gothic" w:hAnsi="Century Gothic"/>
                <w:sz w:val="22"/>
                <w:szCs w:val="22"/>
              </w:rPr>
              <w:t>Length on treatment</w:t>
            </w:r>
          </w:p>
        </w:tc>
        <w:tc>
          <w:tcPr>
            <w:tcW w:w="1802" w:type="dxa"/>
          </w:tcPr>
          <w:p w14:paraId="25E3BDE5" w14:textId="450D018C" w:rsidR="0076122F" w:rsidRPr="00B736E8" w:rsidRDefault="0076122F" w:rsidP="003D19C9">
            <w:pPr>
              <w:rPr>
                <w:rFonts w:ascii="Century Gothic" w:hAnsi="Century Gothic"/>
                <w:sz w:val="22"/>
                <w:szCs w:val="22"/>
              </w:rPr>
            </w:pPr>
            <w:r w:rsidRPr="00B736E8">
              <w:rPr>
                <w:rFonts w:ascii="Century Gothic" w:hAnsi="Century Gothic"/>
                <w:sz w:val="22"/>
                <w:szCs w:val="22"/>
              </w:rPr>
              <w:t>0.743</w:t>
            </w:r>
          </w:p>
        </w:tc>
        <w:tc>
          <w:tcPr>
            <w:tcW w:w="1802" w:type="dxa"/>
          </w:tcPr>
          <w:p w14:paraId="2CF8D229" w14:textId="4283D350" w:rsidR="0076122F" w:rsidRPr="00B736E8" w:rsidRDefault="0076122F" w:rsidP="003D19C9">
            <w:pPr>
              <w:rPr>
                <w:rFonts w:ascii="Century Gothic" w:hAnsi="Century Gothic"/>
                <w:sz w:val="22"/>
                <w:szCs w:val="22"/>
              </w:rPr>
            </w:pPr>
            <w:r w:rsidRPr="00B736E8">
              <w:rPr>
                <w:rFonts w:ascii="Century Gothic" w:hAnsi="Century Gothic"/>
                <w:sz w:val="22"/>
                <w:szCs w:val="22"/>
              </w:rPr>
              <w:t>0.696,0.793</w:t>
            </w:r>
          </w:p>
        </w:tc>
        <w:tc>
          <w:tcPr>
            <w:tcW w:w="1802" w:type="dxa"/>
          </w:tcPr>
          <w:p w14:paraId="60A32BCF" w14:textId="0C35B413" w:rsidR="0076122F" w:rsidRPr="00B736E8" w:rsidRDefault="0076122F" w:rsidP="003D19C9">
            <w:pPr>
              <w:rPr>
                <w:rFonts w:ascii="Century Gothic" w:hAnsi="Century Gothic"/>
                <w:sz w:val="22"/>
                <w:szCs w:val="22"/>
              </w:rPr>
            </w:pPr>
            <w:r w:rsidRPr="00B736E8">
              <w:rPr>
                <w:rFonts w:ascii="Century Gothic" w:hAnsi="Century Gothic"/>
                <w:sz w:val="22"/>
                <w:szCs w:val="22"/>
              </w:rPr>
              <w:t>&lt;0.001</w:t>
            </w:r>
          </w:p>
        </w:tc>
      </w:tr>
      <w:tr w:rsidR="0076122F" w:rsidRPr="003C5403" w14:paraId="0CE5C239" w14:textId="77777777" w:rsidTr="003D19C9">
        <w:tc>
          <w:tcPr>
            <w:tcW w:w="1802" w:type="dxa"/>
          </w:tcPr>
          <w:p w14:paraId="23E0415E" w14:textId="2526C6B7" w:rsidR="0076122F" w:rsidRPr="00B736E8" w:rsidRDefault="0076122F" w:rsidP="003D19C9">
            <w:pPr>
              <w:rPr>
                <w:rFonts w:ascii="Century Gothic" w:hAnsi="Century Gothic"/>
                <w:sz w:val="22"/>
                <w:szCs w:val="22"/>
              </w:rPr>
            </w:pPr>
            <w:r w:rsidRPr="00B736E8">
              <w:rPr>
                <w:rFonts w:ascii="Century Gothic" w:hAnsi="Century Gothic"/>
                <w:sz w:val="22"/>
                <w:szCs w:val="22"/>
              </w:rPr>
              <w:t>Constant</w:t>
            </w:r>
          </w:p>
        </w:tc>
        <w:tc>
          <w:tcPr>
            <w:tcW w:w="1802" w:type="dxa"/>
          </w:tcPr>
          <w:p w14:paraId="6D388066" w14:textId="33D2B22A" w:rsidR="0076122F" w:rsidRPr="00B736E8" w:rsidRDefault="0076122F" w:rsidP="003D19C9">
            <w:pPr>
              <w:rPr>
                <w:rFonts w:ascii="Century Gothic" w:hAnsi="Century Gothic"/>
                <w:sz w:val="22"/>
                <w:szCs w:val="22"/>
              </w:rPr>
            </w:pPr>
            <w:r w:rsidRPr="00B736E8">
              <w:rPr>
                <w:rFonts w:ascii="Century Gothic" w:hAnsi="Century Gothic"/>
                <w:sz w:val="22"/>
                <w:szCs w:val="22"/>
              </w:rPr>
              <w:t>376.8</w:t>
            </w:r>
          </w:p>
        </w:tc>
        <w:tc>
          <w:tcPr>
            <w:tcW w:w="1802" w:type="dxa"/>
          </w:tcPr>
          <w:p w14:paraId="2BA2AD4F" w14:textId="5ACB431C" w:rsidR="0076122F" w:rsidRPr="00B736E8" w:rsidRDefault="0076122F" w:rsidP="003D19C9">
            <w:pPr>
              <w:rPr>
                <w:rFonts w:ascii="Century Gothic" w:hAnsi="Century Gothic"/>
                <w:sz w:val="22"/>
                <w:szCs w:val="22"/>
              </w:rPr>
            </w:pPr>
            <w:r w:rsidRPr="00B736E8">
              <w:rPr>
                <w:rFonts w:ascii="Century Gothic" w:hAnsi="Century Gothic"/>
                <w:sz w:val="22"/>
                <w:szCs w:val="22"/>
              </w:rPr>
              <w:t>51.02, 2783.6</w:t>
            </w:r>
          </w:p>
        </w:tc>
        <w:tc>
          <w:tcPr>
            <w:tcW w:w="1802" w:type="dxa"/>
          </w:tcPr>
          <w:p w14:paraId="1ADF8B0A" w14:textId="6E6F6957" w:rsidR="0076122F" w:rsidRPr="00B736E8" w:rsidRDefault="0076122F" w:rsidP="003D19C9">
            <w:pPr>
              <w:rPr>
                <w:rFonts w:ascii="Century Gothic" w:hAnsi="Century Gothic"/>
                <w:sz w:val="22"/>
                <w:szCs w:val="22"/>
              </w:rPr>
            </w:pPr>
            <w:r w:rsidRPr="00B736E8">
              <w:rPr>
                <w:rFonts w:ascii="Century Gothic" w:hAnsi="Century Gothic"/>
                <w:sz w:val="22"/>
                <w:szCs w:val="22"/>
              </w:rPr>
              <w:t>&lt;0.001</w:t>
            </w:r>
          </w:p>
        </w:tc>
      </w:tr>
    </w:tbl>
    <w:p w14:paraId="2DCFD68E" w14:textId="735FBD1B" w:rsidR="003D19C9" w:rsidRPr="00B736E8" w:rsidRDefault="003D19C9" w:rsidP="003D19C9">
      <w:pPr>
        <w:rPr>
          <w:rFonts w:ascii="Century Gothic" w:hAnsi="Century Gothic"/>
          <w:sz w:val="18"/>
          <w:szCs w:val="18"/>
        </w:rPr>
      </w:pPr>
      <w:r w:rsidRPr="00B736E8">
        <w:rPr>
          <w:rFonts w:ascii="Century Gothic" w:hAnsi="Century Gothic"/>
          <w:sz w:val="18"/>
          <w:szCs w:val="18"/>
        </w:rPr>
        <w:t>Note: Season reference category is Summer</w:t>
      </w:r>
      <w:r w:rsidR="0076122F" w:rsidRPr="00B736E8">
        <w:rPr>
          <w:rFonts w:ascii="Century Gothic" w:hAnsi="Century Gothic"/>
          <w:sz w:val="18"/>
          <w:szCs w:val="18"/>
        </w:rPr>
        <w:t>.  Constant estimates the baseline odds</w:t>
      </w:r>
    </w:p>
    <w:p w14:paraId="6B6BD0CD" w14:textId="3B237606" w:rsidR="00D1476D" w:rsidRPr="00D1476D" w:rsidRDefault="00D1476D" w:rsidP="00D1476D">
      <w:pPr>
        <w:pStyle w:val="NormalWeb"/>
        <w:rPr>
          <w:rFonts w:ascii="Century Gothic" w:hAnsi="Century Gothic" w:cstheme="minorHAnsi"/>
          <w:sz w:val="22"/>
          <w:szCs w:val="22"/>
          <w:lang w:val="en-US"/>
        </w:rPr>
      </w:pPr>
      <w:r w:rsidRPr="00D1476D">
        <w:rPr>
          <w:rFonts w:ascii="Century Gothic" w:hAnsi="Century Gothic" w:cstheme="minorHAnsi"/>
          <w:sz w:val="22"/>
          <w:szCs w:val="22"/>
          <w:lang w:val="en-US"/>
        </w:rPr>
        <w:t>Compared to summer, patients were significantly less likely to discontinue treatment during winter (OR [odds ratio] 0.06, 95%CI 0.01 to 0.35, p&lt;0.002) or spring (OR 0.004, 95%CI 0.000</w:t>
      </w:r>
      <w:r w:rsidR="003D19C9">
        <w:rPr>
          <w:rFonts w:ascii="Century Gothic" w:hAnsi="Century Gothic" w:cstheme="minorHAnsi"/>
          <w:sz w:val="22"/>
          <w:szCs w:val="22"/>
          <w:lang w:val="en-US"/>
        </w:rPr>
        <w:t>7</w:t>
      </w:r>
      <w:r w:rsidRPr="00D1476D">
        <w:rPr>
          <w:rFonts w:ascii="Century Gothic" w:hAnsi="Century Gothic" w:cstheme="minorHAnsi"/>
          <w:sz w:val="22"/>
          <w:szCs w:val="22"/>
          <w:lang w:val="en-US"/>
        </w:rPr>
        <w:t xml:space="preserve"> to 0.03, p&lt;0.001).  There was a trend towards patients being less likely </w:t>
      </w:r>
      <w:r w:rsidRPr="00D1476D">
        <w:rPr>
          <w:rFonts w:ascii="Century Gothic" w:hAnsi="Century Gothic" w:cstheme="minorHAnsi"/>
          <w:sz w:val="22"/>
          <w:szCs w:val="22"/>
          <w:lang w:val="en-US"/>
        </w:rPr>
        <w:lastRenderedPageBreak/>
        <w:t>to discontinue in autumn compared to summer (OR 0.3</w:t>
      </w:r>
      <w:r w:rsidR="00F8475B">
        <w:rPr>
          <w:rFonts w:ascii="Century Gothic" w:hAnsi="Century Gothic" w:cstheme="minorHAnsi"/>
          <w:sz w:val="22"/>
          <w:szCs w:val="22"/>
          <w:lang w:val="en-US"/>
        </w:rPr>
        <w:t>3</w:t>
      </w:r>
      <w:r w:rsidRPr="00D1476D">
        <w:rPr>
          <w:rFonts w:ascii="Century Gothic" w:hAnsi="Century Gothic" w:cstheme="minorHAnsi"/>
          <w:sz w:val="22"/>
          <w:szCs w:val="22"/>
          <w:lang w:val="en-US"/>
        </w:rPr>
        <w:t>, 95% CI 0.0</w:t>
      </w:r>
      <w:r w:rsidR="00F8475B">
        <w:rPr>
          <w:rFonts w:ascii="Century Gothic" w:hAnsi="Century Gothic" w:cstheme="minorHAnsi"/>
          <w:sz w:val="22"/>
          <w:szCs w:val="22"/>
          <w:lang w:val="en-US"/>
        </w:rPr>
        <w:t>5</w:t>
      </w:r>
      <w:r w:rsidRPr="00D1476D">
        <w:rPr>
          <w:rFonts w:ascii="Century Gothic" w:hAnsi="Century Gothic" w:cstheme="minorHAnsi"/>
          <w:sz w:val="22"/>
          <w:szCs w:val="22"/>
          <w:lang w:val="en-US"/>
        </w:rPr>
        <w:t xml:space="preserve"> to </w:t>
      </w:r>
      <w:r w:rsidR="00F8475B">
        <w:rPr>
          <w:rFonts w:ascii="Century Gothic" w:hAnsi="Century Gothic" w:cstheme="minorHAnsi"/>
          <w:sz w:val="22"/>
          <w:szCs w:val="22"/>
          <w:lang w:val="en-US"/>
        </w:rPr>
        <w:t>2</w:t>
      </w:r>
      <w:r w:rsidRPr="00D1476D">
        <w:rPr>
          <w:rFonts w:ascii="Century Gothic" w:hAnsi="Century Gothic" w:cstheme="minorHAnsi"/>
          <w:sz w:val="22"/>
          <w:szCs w:val="22"/>
          <w:lang w:val="en-US"/>
        </w:rPr>
        <w:t>.</w:t>
      </w:r>
      <w:r w:rsidR="00F8475B">
        <w:rPr>
          <w:rFonts w:ascii="Century Gothic" w:hAnsi="Century Gothic" w:cstheme="minorHAnsi"/>
          <w:sz w:val="22"/>
          <w:szCs w:val="22"/>
          <w:lang w:val="en-US"/>
        </w:rPr>
        <w:t>11</w:t>
      </w:r>
      <w:r w:rsidRPr="00D1476D">
        <w:rPr>
          <w:rFonts w:ascii="Century Gothic" w:hAnsi="Century Gothic" w:cstheme="minorHAnsi"/>
          <w:sz w:val="22"/>
          <w:szCs w:val="22"/>
          <w:lang w:val="en-US"/>
        </w:rPr>
        <w:t>, p=0.</w:t>
      </w:r>
      <w:r w:rsidR="00F8475B">
        <w:rPr>
          <w:rFonts w:ascii="Century Gothic" w:hAnsi="Century Gothic" w:cstheme="minorHAnsi"/>
          <w:sz w:val="22"/>
          <w:szCs w:val="22"/>
          <w:lang w:val="en-US"/>
        </w:rPr>
        <w:t>24</w:t>
      </w:r>
      <w:r w:rsidR="002826CB">
        <w:rPr>
          <w:rFonts w:ascii="Century Gothic" w:hAnsi="Century Gothic" w:cstheme="minorHAnsi"/>
          <w:sz w:val="22"/>
          <w:szCs w:val="22"/>
          <w:lang w:val="en-US"/>
        </w:rPr>
        <w:t>)</w:t>
      </w:r>
      <w:r w:rsidRPr="00D1476D">
        <w:rPr>
          <w:rFonts w:ascii="Century Gothic" w:hAnsi="Century Gothic" w:cstheme="minorHAnsi"/>
          <w:sz w:val="22"/>
          <w:szCs w:val="22"/>
          <w:lang w:val="en-US"/>
        </w:rPr>
        <w:t xml:space="preserve">. </w:t>
      </w:r>
    </w:p>
    <w:p w14:paraId="3B125580" w14:textId="74CDF624" w:rsidR="00D1476D" w:rsidRPr="00D1476D" w:rsidRDefault="00D1476D" w:rsidP="00D1476D">
      <w:pPr>
        <w:pStyle w:val="NormalWeb"/>
        <w:rPr>
          <w:rFonts w:ascii="Century Gothic" w:hAnsi="Century Gothic" w:cstheme="minorHAnsi"/>
          <w:sz w:val="22"/>
          <w:szCs w:val="22"/>
        </w:rPr>
      </w:pPr>
      <w:r>
        <w:rPr>
          <w:rFonts w:ascii="Century Gothic" w:hAnsi="Century Gothic" w:cstheme="minorHAnsi"/>
          <w:sz w:val="22"/>
          <w:szCs w:val="22"/>
        </w:rPr>
        <w:t>Differences in the incidence of drug discontinuations may be multifactorial, and the results should be interpreted with caution given dates were used to classify seasons, without consideration of different seasonal effects.</w:t>
      </w:r>
      <w:r w:rsidR="006244F5">
        <w:rPr>
          <w:rFonts w:ascii="Century Gothic" w:hAnsi="Century Gothic" w:cstheme="minorHAnsi"/>
          <w:sz w:val="22"/>
          <w:szCs w:val="22"/>
        </w:rPr>
        <w:t xml:space="preserve">  Further, the model fit was assessed </w:t>
      </w:r>
      <w:r w:rsidR="00991852">
        <w:rPr>
          <w:rFonts w:ascii="Century Gothic" w:hAnsi="Century Gothic" w:cstheme="minorHAnsi"/>
          <w:sz w:val="22"/>
          <w:szCs w:val="22"/>
        </w:rPr>
        <w:t>and found to be poor suggesting</w:t>
      </w:r>
      <w:r w:rsidR="006244F5">
        <w:rPr>
          <w:rFonts w:ascii="Century Gothic" w:hAnsi="Century Gothic" w:cstheme="minorHAnsi"/>
          <w:sz w:val="22"/>
          <w:szCs w:val="22"/>
        </w:rPr>
        <w:t xml:space="preserve"> there were missing covariates within the model which may influence discontinuation.</w:t>
      </w:r>
    </w:p>
    <w:sectPr w:rsidR="00D1476D" w:rsidRPr="00D1476D" w:rsidSect="00DD36F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A90A" w14:textId="77777777" w:rsidR="00661A23" w:rsidRDefault="00661A23" w:rsidP="002D728B">
      <w:r>
        <w:separator/>
      </w:r>
    </w:p>
  </w:endnote>
  <w:endnote w:type="continuationSeparator" w:id="0">
    <w:p w14:paraId="5CE2A6A2" w14:textId="77777777" w:rsidR="00661A23" w:rsidRDefault="00661A23" w:rsidP="002D728B">
      <w:r>
        <w:continuationSeparator/>
      </w:r>
    </w:p>
  </w:endnote>
  <w:endnote w:type="continuationNotice" w:id="1">
    <w:p w14:paraId="190E3525" w14:textId="77777777" w:rsidR="00661A23" w:rsidRDefault="0066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5138" w14:textId="77777777" w:rsidR="00661A23" w:rsidRDefault="00661A23" w:rsidP="002D728B">
      <w:r>
        <w:separator/>
      </w:r>
    </w:p>
  </w:footnote>
  <w:footnote w:type="continuationSeparator" w:id="0">
    <w:p w14:paraId="4B2B434E" w14:textId="77777777" w:rsidR="00661A23" w:rsidRDefault="00661A23" w:rsidP="002D728B">
      <w:r>
        <w:continuationSeparator/>
      </w:r>
    </w:p>
  </w:footnote>
  <w:footnote w:type="continuationNotice" w:id="1">
    <w:p w14:paraId="081C61B7" w14:textId="77777777" w:rsidR="00661A23" w:rsidRDefault="00661A23"/>
  </w:footnote>
  <w:footnote w:id="2">
    <w:p w14:paraId="34ABE27E" w14:textId="04247BCE" w:rsidR="00E41498" w:rsidRPr="00B736E8" w:rsidRDefault="00E41498">
      <w:pPr>
        <w:pStyle w:val="FootnoteText"/>
        <w:rPr>
          <w:rFonts w:ascii="Century Gothic" w:hAnsi="Century Gothic"/>
          <w:sz w:val="18"/>
          <w:szCs w:val="18"/>
        </w:rPr>
      </w:pPr>
      <w:r w:rsidRPr="00B736E8">
        <w:rPr>
          <w:rStyle w:val="FootnoteReference"/>
          <w:rFonts w:ascii="Century Gothic" w:hAnsi="Century Gothic"/>
          <w:sz w:val="18"/>
          <w:szCs w:val="18"/>
        </w:rPr>
        <w:footnoteRef/>
      </w:r>
      <w:r w:rsidRPr="00B736E8">
        <w:rPr>
          <w:rFonts w:ascii="Century Gothic" w:hAnsi="Century Gothic"/>
          <w:sz w:val="18"/>
          <w:szCs w:val="18"/>
        </w:rPr>
        <w:t xml:space="preserve"> During preparation of the data for analysis, some reasons for discontinuation that were categorised as “other” were recoded based on the free text in the p</w:t>
      </w:r>
      <w:r w:rsidR="00341408" w:rsidRPr="00B736E8">
        <w:rPr>
          <w:rFonts w:ascii="Century Gothic" w:hAnsi="Century Gothic"/>
          <w:sz w:val="18"/>
          <w:szCs w:val="18"/>
        </w:rPr>
        <w:t xml:space="preserve">atient’s record e.g. “Other” – </w:t>
      </w:r>
      <w:r w:rsidRPr="00B736E8">
        <w:rPr>
          <w:rFonts w:ascii="Century Gothic" w:hAnsi="Century Gothic"/>
          <w:sz w:val="18"/>
          <w:szCs w:val="18"/>
        </w:rPr>
        <w:t>Nocturia”</w:t>
      </w:r>
      <w:r w:rsidR="00341408" w:rsidRPr="00B736E8">
        <w:rPr>
          <w:rFonts w:ascii="Century Gothic" w:hAnsi="Century Gothic"/>
          <w:sz w:val="18"/>
          <w:szCs w:val="18"/>
        </w:rPr>
        <w:t xml:space="preserve"> or “Other – cannot tolerate water” were</w:t>
      </w:r>
      <w:r w:rsidRPr="00B736E8">
        <w:rPr>
          <w:rFonts w:ascii="Century Gothic" w:hAnsi="Century Gothic"/>
          <w:sz w:val="18"/>
          <w:szCs w:val="18"/>
        </w:rPr>
        <w:t xml:space="preserve"> recoded as “Aquaretic Tolerability”.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E4E3" w14:textId="654C64DA" w:rsidR="002D728B" w:rsidRDefault="002D728B">
    <w:pPr>
      <w:pStyle w:val="Header"/>
    </w:pPr>
    <w:r>
      <w:rPr>
        <w:bCs/>
      </w:rPr>
      <w:t>Treatment persistence to tolvaptan, IMADJIN</w:t>
    </w:r>
    <w:r w:rsidRPr="00F52B0A">
      <w:rPr>
        <w:vertAlign w:val="superscript"/>
        <w:lang w:val="en-US"/>
      </w:rPr>
      <w:t>®</w:t>
    </w:r>
    <w:r>
      <w:rPr>
        <w:bCs/>
      </w:rPr>
      <w:t xml:space="preserve"> dataset Supplementary File 1</w:t>
    </w:r>
    <w:r>
      <w:rPr>
        <w:bCs/>
      </w:rPr>
      <w:tab/>
      <w:t>V</w:t>
    </w:r>
    <w:r w:rsidR="00767091">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355"/>
    <w:multiLevelType w:val="hybridMultilevel"/>
    <w:tmpl w:val="D090D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DD2816"/>
    <w:multiLevelType w:val="multilevel"/>
    <w:tmpl w:val="21E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D7A01"/>
    <w:multiLevelType w:val="multilevel"/>
    <w:tmpl w:val="713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49B9"/>
    <w:multiLevelType w:val="hybridMultilevel"/>
    <w:tmpl w:val="A08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E58C0"/>
    <w:multiLevelType w:val="multilevel"/>
    <w:tmpl w:val="FCE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2114C"/>
    <w:multiLevelType w:val="hybridMultilevel"/>
    <w:tmpl w:val="A8D6B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F1"/>
    <w:rsid w:val="00000BB6"/>
    <w:rsid w:val="00001CC4"/>
    <w:rsid w:val="00003631"/>
    <w:rsid w:val="00005AED"/>
    <w:rsid w:val="00006A7E"/>
    <w:rsid w:val="00007CFE"/>
    <w:rsid w:val="0001186F"/>
    <w:rsid w:val="00013044"/>
    <w:rsid w:val="000161CA"/>
    <w:rsid w:val="00024043"/>
    <w:rsid w:val="00026A82"/>
    <w:rsid w:val="0003404E"/>
    <w:rsid w:val="00034290"/>
    <w:rsid w:val="00036BA3"/>
    <w:rsid w:val="000406E0"/>
    <w:rsid w:val="000407DA"/>
    <w:rsid w:val="0004673E"/>
    <w:rsid w:val="000472AB"/>
    <w:rsid w:val="00050004"/>
    <w:rsid w:val="0005044A"/>
    <w:rsid w:val="0005344E"/>
    <w:rsid w:val="00057798"/>
    <w:rsid w:val="00057F0E"/>
    <w:rsid w:val="00060498"/>
    <w:rsid w:val="00060C0F"/>
    <w:rsid w:val="00073B65"/>
    <w:rsid w:val="00076950"/>
    <w:rsid w:val="00081BE4"/>
    <w:rsid w:val="00081DAC"/>
    <w:rsid w:val="00085A64"/>
    <w:rsid w:val="0009008B"/>
    <w:rsid w:val="000904E3"/>
    <w:rsid w:val="000907E4"/>
    <w:rsid w:val="00091151"/>
    <w:rsid w:val="00091298"/>
    <w:rsid w:val="00096988"/>
    <w:rsid w:val="000A2CE1"/>
    <w:rsid w:val="000A5FC3"/>
    <w:rsid w:val="000A605F"/>
    <w:rsid w:val="000A7C0E"/>
    <w:rsid w:val="000B06EA"/>
    <w:rsid w:val="000B08D2"/>
    <w:rsid w:val="000B0CDA"/>
    <w:rsid w:val="000B4684"/>
    <w:rsid w:val="000B5C06"/>
    <w:rsid w:val="000C11D3"/>
    <w:rsid w:val="000C3A49"/>
    <w:rsid w:val="000C4708"/>
    <w:rsid w:val="000C4B88"/>
    <w:rsid w:val="000C7616"/>
    <w:rsid w:val="000C7CFA"/>
    <w:rsid w:val="000D1B13"/>
    <w:rsid w:val="000E0ADA"/>
    <w:rsid w:val="000E30EC"/>
    <w:rsid w:val="000F407A"/>
    <w:rsid w:val="000F5937"/>
    <w:rsid w:val="000F7526"/>
    <w:rsid w:val="00101831"/>
    <w:rsid w:val="001026E6"/>
    <w:rsid w:val="00103BB9"/>
    <w:rsid w:val="0010732A"/>
    <w:rsid w:val="001122DB"/>
    <w:rsid w:val="00112A10"/>
    <w:rsid w:val="001165CF"/>
    <w:rsid w:val="00116885"/>
    <w:rsid w:val="001204E3"/>
    <w:rsid w:val="001228BE"/>
    <w:rsid w:val="0013297F"/>
    <w:rsid w:val="0013454A"/>
    <w:rsid w:val="001363A6"/>
    <w:rsid w:val="001370D6"/>
    <w:rsid w:val="0013793E"/>
    <w:rsid w:val="001409EA"/>
    <w:rsid w:val="0015108F"/>
    <w:rsid w:val="001523B6"/>
    <w:rsid w:val="001525DE"/>
    <w:rsid w:val="00153FCB"/>
    <w:rsid w:val="001555E8"/>
    <w:rsid w:val="00160493"/>
    <w:rsid w:val="00164FED"/>
    <w:rsid w:val="00166E38"/>
    <w:rsid w:val="00167187"/>
    <w:rsid w:val="001706FD"/>
    <w:rsid w:val="00174687"/>
    <w:rsid w:val="001762EE"/>
    <w:rsid w:val="001808F3"/>
    <w:rsid w:val="00181DEF"/>
    <w:rsid w:val="001832EA"/>
    <w:rsid w:val="001950A6"/>
    <w:rsid w:val="00195AAF"/>
    <w:rsid w:val="00195E91"/>
    <w:rsid w:val="001A04AD"/>
    <w:rsid w:val="001B00AA"/>
    <w:rsid w:val="001B2512"/>
    <w:rsid w:val="001B7A2B"/>
    <w:rsid w:val="001C5C31"/>
    <w:rsid w:val="001C5DAE"/>
    <w:rsid w:val="001C65BB"/>
    <w:rsid w:val="001D1FBE"/>
    <w:rsid w:val="001D266B"/>
    <w:rsid w:val="001D5B26"/>
    <w:rsid w:val="001E388E"/>
    <w:rsid w:val="001E7001"/>
    <w:rsid w:val="001F0877"/>
    <w:rsid w:val="001F0A89"/>
    <w:rsid w:val="001F1040"/>
    <w:rsid w:val="001F2942"/>
    <w:rsid w:val="001F7AAE"/>
    <w:rsid w:val="00200EB0"/>
    <w:rsid w:val="002037D7"/>
    <w:rsid w:val="00206289"/>
    <w:rsid w:val="0021489A"/>
    <w:rsid w:val="002148B6"/>
    <w:rsid w:val="00214A88"/>
    <w:rsid w:val="0021554E"/>
    <w:rsid w:val="002165B8"/>
    <w:rsid w:val="002200DE"/>
    <w:rsid w:val="0022107B"/>
    <w:rsid w:val="00221CF4"/>
    <w:rsid w:val="002262AF"/>
    <w:rsid w:val="00227997"/>
    <w:rsid w:val="00230739"/>
    <w:rsid w:val="002334CA"/>
    <w:rsid w:val="0023477A"/>
    <w:rsid w:val="002412B4"/>
    <w:rsid w:val="0024136B"/>
    <w:rsid w:val="00245DB6"/>
    <w:rsid w:val="0024607B"/>
    <w:rsid w:val="00250746"/>
    <w:rsid w:val="002515E5"/>
    <w:rsid w:val="00252F06"/>
    <w:rsid w:val="002563B8"/>
    <w:rsid w:val="00257BBF"/>
    <w:rsid w:val="0026022C"/>
    <w:rsid w:val="00260B8D"/>
    <w:rsid w:val="00263110"/>
    <w:rsid w:val="00264BCF"/>
    <w:rsid w:val="00266599"/>
    <w:rsid w:val="002673E2"/>
    <w:rsid w:val="00271490"/>
    <w:rsid w:val="00273E10"/>
    <w:rsid w:val="00275143"/>
    <w:rsid w:val="00276EF0"/>
    <w:rsid w:val="00280A46"/>
    <w:rsid w:val="0028188E"/>
    <w:rsid w:val="002826CB"/>
    <w:rsid w:val="00282C53"/>
    <w:rsid w:val="00284C63"/>
    <w:rsid w:val="00285957"/>
    <w:rsid w:val="002927B8"/>
    <w:rsid w:val="00294D94"/>
    <w:rsid w:val="002952C8"/>
    <w:rsid w:val="0029586F"/>
    <w:rsid w:val="0029747E"/>
    <w:rsid w:val="002A311F"/>
    <w:rsid w:val="002A34AA"/>
    <w:rsid w:val="002A3F14"/>
    <w:rsid w:val="002A409A"/>
    <w:rsid w:val="002A790D"/>
    <w:rsid w:val="002B1BD8"/>
    <w:rsid w:val="002B1FD5"/>
    <w:rsid w:val="002B7D44"/>
    <w:rsid w:val="002C40C6"/>
    <w:rsid w:val="002C5622"/>
    <w:rsid w:val="002D200E"/>
    <w:rsid w:val="002D2272"/>
    <w:rsid w:val="002D3FFE"/>
    <w:rsid w:val="002D728B"/>
    <w:rsid w:val="002E16FD"/>
    <w:rsid w:val="002F0635"/>
    <w:rsid w:val="002F0F82"/>
    <w:rsid w:val="002F2E89"/>
    <w:rsid w:val="002F32CE"/>
    <w:rsid w:val="002F4125"/>
    <w:rsid w:val="00300ECE"/>
    <w:rsid w:val="00301280"/>
    <w:rsid w:val="003021C6"/>
    <w:rsid w:val="00302698"/>
    <w:rsid w:val="003078ED"/>
    <w:rsid w:val="003102D6"/>
    <w:rsid w:val="00311860"/>
    <w:rsid w:val="00311876"/>
    <w:rsid w:val="0031517C"/>
    <w:rsid w:val="00317030"/>
    <w:rsid w:val="0031721A"/>
    <w:rsid w:val="003205D3"/>
    <w:rsid w:val="00321D5C"/>
    <w:rsid w:val="00321E22"/>
    <w:rsid w:val="00330B13"/>
    <w:rsid w:val="0033134A"/>
    <w:rsid w:val="00341408"/>
    <w:rsid w:val="00343710"/>
    <w:rsid w:val="0035278C"/>
    <w:rsid w:val="00360256"/>
    <w:rsid w:val="0036304C"/>
    <w:rsid w:val="00364F89"/>
    <w:rsid w:val="00371A1B"/>
    <w:rsid w:val="003742C2"/>
    <w:rsid w:val="00380DA2"/>
    <w:rsid w:val="0038257B"/>
    <w:rsid w:val="00382804"/>
    <w:rsid w:val="003907C1"/>
    <w:rsid w:val="00391B02"/>
    <w:rsid w:val="00394FE1"/>
    <w:rsid w:val="003A5E25"/>
    <w:rsid w:val="003A615B"/>
    <w:rsid w:val="003B1CFC"/>
    <w:rsid w:val="003B2312"/>
    <w:rsid w:val="003B2E24"/>
    <w:rsid w:val="003C0D69"/>
    <w:rsid w:val="003C5403"/>
    <w:rsid w:val="003C6609"/>
    <w:rsid w:val="003D19C9"/>
    <w:rsid w:val="003D616B"/>
    <w:rsid w:val="003D6AA8"/>
    <w:rsid w:val="003E2607"/>
    <w:rsid w:val="003E3598"/>
    <w:rsid w:val="003E5CEC"/>
    <w:rsid w:val="003E6292"/>
    <w:rsid w:val="003F13D3"/>
    <w:rsid w:val="003F59D9"/>
    <w:rsid w:val="003F7124"/>
    <w:rsid w:val="003F71AB"/>
    <w:rsid w:val="003F76DD"/>
    <w:rsid w:val="0040033F"/>
    <w:rsid w:val="00407306"/>
    <w:rsid w:val="00411223"/>
    <w:rsid w:val="00413698"/>
    <w:rsid w:val="00414F36"/>
    <w:rsid w:val="0041602D"/>
    <w:rsid w:val="00420046"/>
    <w:rsid w:val="004301CE"/>
    <w:rsid w:val="00430EB6"/>
    <w:rsid w:val="0043130E"/>
    <w:rsid w:val="00434E69"/>
    <w:rsid w:val="004403B6"/>
    <w:rsid w:val="0044107F"/>
    <w:rsid w:val="00446FAA"/>
    <w:rsid w:val="004504B9"/>
    <w:rsid w:val="00452C8A"/>
    <w:rsid w:val="00460935"/>
    <w:rsid w:val="0046168E"/>
    <w:rsid w:val="00462254"/>
    <w:rsid w:val="004673E8"/>
    <w:rsid w:val="00470AEA"/>
    <w:rsid w:val="00472F1C"/>
    <w:rsid w:val="00481EF2"/>
    <w:rsid w:val="00484CBC"/>
    <w:rsid w:val="00485996"/>
    <w:rsid w:val="004907E3"/>
    <w:rsid w:val="0049247A"/>
    <w:rsid w:val="00492542"/>
    <w:rsid w:val="004976EA"/>
    <w:rsid w:val="004A0D49"/>
    <w:rsid w:val="004A22EC"/>
    <w:rsid w:val="004B1F90"/>
    <w:rsid w:val="004B2A03"/>
    <w:rsid w:val="004B5310"/>
    <w:rsid w:val="004B7261"/>
    <w:rsid w:val="004C3646"/>
    <w:rsid w:val="004C6640"/>
    <w:rsid w:val="004D06EC"/>
    <w:rsid w:val="004D25CB"/>
    <w:rsid w:val="004D38BD"/>
    <w:rsid w:val="004D41BB"/>
    <w:rsid w:val="004D6766"/>
    <w:rsid w:val="004D76E7"/>
    <w:rsid w:val="004D785B"/>
    <w:rsid w:val="004E0EAE"/>
    <w:rsid w:val="004E1C14"/>
    <w:rsid w:val="004E1E68"/>
    <w:rsid w:val="004E4D46"/>
    <w:rsid w:val="004E659F"/>
    <w:rsid w:val="004E6F1C"/>
    <w:rsid w:val="004F38EF"/>
    <w:rsid w:val="004F4443"/>
    <w:rsid w:val="004F46AC"/>
    <w:rsid w:val="004F590B"/>
    <w:rsid w:val="005035BF"/>
    <w:rsid w:val="0050646F"/>
    <w:rsid w:val="005155BF"/>
    <w:rsid w:val="005233D2"/>
    <w:rsid w:val="00524E9B"/>
    <w:rsid w:val="00532A0E"/>
    <w:rsid w:val="0053570F"/>
    <w:rsid w:val="00535B73"/>
    <w:rsid w:val="005365B5"/>
    <w:rsid w:val="0053757C"/>
    <w:rsid w:val="00537CD7"/>
    <w:rsid w:val="0054700B"/>
    <w:rsid w:val="005509BF"/>
    <w:rsid w:val="005514A0"/>
    <w:rsid w:val="005541FC"/>
    <w:rsid w:val="00554AF9"/>
    <w:rsid w:val="00555BBA"/>
    <w:rsid w:val="00557809"/>
    <w:rsid w:val="00563BE6"/>
    <w:rsid w:val="0056545E"/>
    <w:rsid w:val="0057387F"/>
    <w:rsid w:val="00576696"/>
    <w:rsid w:val="00586921"/>
    <w:rsid w:val="005946E4"/>
    <w:rsid w:val="005956AE"/>
    <w:rsid w:val="005A0FF4"/>
    <w:rsid w:val="005A2069"/>
    <w:rsid w:val="005A3BB4"/>
    <w:rsid w:val="005C624C"/>
    <w:rsid w:val="005C670E"/>
    <w:rsid w:val="005D1EBE"/>
    <w:rsid w:val="005D20EC"/>
    <w:rsid w:val="005D4499"/>
    <w:rsid w:val="005D5E2C"/>
    <w:rsid w:val="005D67DE"/>
    <w:rsid w:val="005D69EE"/>
    <w:rsid w:val="005E14D8"/>
    <w:rsid w:val="005F2504"/>
    <w:rsid w:val="005F4B0C"/>
    <w:rsid w:val="005F606A"/>
    <w:rsid w:val="005F61FA"/>
    <w:rsid w:val="00602F22"/>
    <w:rsid w:val="00607A8B"/>
    <w:rsid w:val="006140AB"/>
    <w:rsid w:val="006140C4"/>
    <w:rsid w:val="006143E2"/>
    <w:rsid w:val="0061775C"/>
    <w:rsid w:val="0062094B"/>
    <w:rsid w:val="00623D3E"/>
    <w:rsid w:val="006244F5"/>
    <w:rsid w:val="006247E5"/>
    <w:rsid w:val="00633837"/>
    <w:rsid w:val="00634006"/>
    <w:rsid w:val="00634C2E"/>
    <w:rsid w:val="00637985"/>
    <w:rsid w:val="0064061F"/>
    <w:rsid w:val="006438A6"/>
    <w:rsid w:val="00644B64"/>
    <w:rsid w:val="006453E6"/>
    <w:rsid w:val="00654451"/>
    <w:rsid w:val="00661A23"/>
    <w:rsid w:val="00663E02"/>
    <w:rsid w:val="00672255"/>
    <w:rsid w:val="00674B08"/>
    <w:rsid w:val="006874AA"/>
    <w:rsid w:val="006918D8"/>
    <w:rsid w:val="006922E3"/>
    <w:rsid w:val="00692F41"/>
    <w:rsid w:val="00696105"/>
    <w:rsid w:val="006A0F42"/>
    <w:rsid w:val="006A59AC"/>
    <w:rsid w:val="006B1AF6"/>
    <w:rsid w:val="006B4189"/>
    <w:rsid w:val="006B6531"/>
    <w:rsid w:val="006C518E"/>
    <w:rsid w:val="006C5D5E"/>
    <w:rsid w:val="006C76BB"/>
    <w:rsid w:val="006D130A"/>
    <w:rsid w:val="006D4778"/>
    <w:rsid w:val="006D482B"/>
    <w:rsid w:val="006E1330"/>
    <w:rsid w:val="006E1470"/>
    <w:rsid w:val="006E4F3B"/>
    <w:rsid w:val="006F4843"/>
    <w:rsid w:val="006F6F1D"/>
    <w:rsid w:val="00705BCF"/>
    <w:rsid w:val="00714E6E"/>
    <w:rsid w:val="00715B18"/>
    <w:rsid w:val="00715D9F"/>
    <w:rsid w:val="007251F5"/>
    <w:rsid w:val="00730344"/>
    <w:rsid w:val="007323DD"/>
    <w:rsid w:val="00736860"/>
    <w:rsid w:val="007401FA"/>
    <w:rsid w:val="00740E1A"/>
    <w:rsid w:val="00744F0F"/>
    <w:rsid w:val="00750A4F"/>
    <w:rsid w:val="00752BA2"/>
    <w:rsid w:val="007530D0"/>
    <w:rsid w:val="007565BC"/>
    <w:rsid w:val="0075775B"/>
    <w:rsid w:val="00757F27"/>
    <w:rsid w:val="00760119"/>
    <w:rsid w:val="0076122F"/>
    <w:rsid w:val="007648A6"/>
    <w:rsid w:val="007653E6"/>
    <w:rsid w:val="00766B7E"/>
    <w:rsid w:val="00767091"/>
    <w:rsid w:val="00771739"/>
    <w:rsid w:val="0077657A"/>
    <w:rsid w:val="007774FE"/>
    <w:rsid w:val="00780415"/>
    <w:rsid w:val="007837C6"/>
    <w:rsid w:val="007923F7"/>
    <w:rsid w:val="00795E41"/>
    <w:rsid w:val="007966A5"/>
    <w:rsid w:val="007968B9"/>
    <w:rsid w:val="00796C83"/>
    <w:rsid w:val="00797ED5"/>
    <w:rsid w:val="007A711D"/>
    <w:rsid w:val="007B4462"/>
    <w:rsid w:val="007B78FE"/>
    <w:rsid w:val="007C511C"/>
    <w:rsid w:val="007C7A80"/>
    <w:rsid w:val="007D3763"/>
    <w:rsid w:val="007D4D87"/>
    <w:rsid w:val="007E238A"/>
    <w:rsid w:val="007E27C5"/>
    <w:rsid w:val="007E2CD5"/>
    <w:rsid w:val="007E7237"/>
    <w:rsid w:val="007F17F0"/>
    <w:rsid w:val="007F2C90"/>
    <w:rsid w:val="007F2EA0"/>
    <w:rsid w:val="007F5485"/>
    <w:rsid w:val="007F7B04"/>
    <w:rsid w:val="0080421E"/>
    <w:rsid w:val="00805840"/>
    <w:rsid w:val="00807AB4"/>
    <w:rsid w:val="008128C0"/>
    <w:rsid w:val="008206A5"/>
    <w:rsid w:val="00822378"/>
    <w:rsid w:val="008232A0"/>
    <w:rsid w:val="008305AF"/>
    <w:rsid w:val="008322B3"/>
    <w:rsid w:val="00842C99"/>
    <w:rsid w:val="008439CA"/>
    <w:rsid w:val="008442AB"/>
    <w:rsid w:val="0084606E"/>
    <w:rsid w:val="00851F28"/>
    <w:rsid w:val="00852EEA"/>
    <w:rsid w:val="00854661"/>
    <w:rsid w:val="0085703D"/>
    <w:rsid w:val="00863E88"/>
    <w:rsid w:val="00867CE7"/>
    <w:rsid w:val="00876A2F"/>
    <w:rsid w:val="00877209"/>
    <w:rsid w:val="0089090B"/>
    <w:rsid w:val="00891982"/>
    <w:rsid w:val="0089256F"/>
    <w:rsid w:val="00893343"/>
    <w:rsid w:val="0089429A"/>
    <w:rsid w:val="0089745A"/>
    <w:rsid w:val="00897560"/>
    <w:rsid w:val="008A052B"/>
    <w:rsid w:val="008A1068"/>
    <w:rsid w:val="008A521B"/>
    <w:rsid w:val="008B5259"/>
    <w:rsid w:val="008C0595"/>
    <w:rsid w:val="008C28B7"/>
    <w:rsid w:val="008C4C3C"/>
    <w:rsid w:val="008C7A57"/>
    <w:rsid w:val="008D4AAC"/>
    <w:rsid w:val="008E304D"/>
    <w:rsid w:val="008F0541"/>
    <w:rsid w:val="008F1789"/>
    <w:rsid w:val="008F2D7E"/>
    <w:rsid w:val="008F3B9A"/>
    <w:rsid w:val="008F5B7C"/>
    <w:rsid w:val="009051AF"/>
    <w:rsid w:val="00910D42"/>
    <w:rsid w:val="009132E0"/>
    <w:rsid w:val="009200ED"/>
    <w:rsid w:val="00920DE1"/>
    <w:rsid w:val="00923028"/>
    <w:rsid w:val="00923D4E"/>
    <w:rsid w:val="009265E2"/>
    <w:rsid w:val="00927ECF"/>
    <w:rsid w:val="00930FDB"/>
    <w:rsid w:val="0093119A"/>
    <w:rsid w:val="00931210"/>
    <w:rsid w:val="00931AA9"/>
    <w:rsid w:val="0093221D"/>
    <w:rsid w:val="00940795"/>
    <w:rsid w:val="00941CB5"/>
    <w:rsid w:val="00943195"/>
    <w:rsid w:val="00943E4E"/>
    <w:rsid w:val="00944A65"/>
    <w:rsid w:val="00960F30"/>
    <w:rsid w:val="00965A6C"/>
    <w:rsid w:val="009717A9"/>
    <w:rsid w:val="0097571C"/>
    <w:rsid w:val="00975FAA"/>
    <w:rsid w:val="009779FA"/>
    <w:rsid w:val="00982206"/>
    <w:rsid w:val="00982E82"/>
    <w:rsid w:val="00987FD8"/>
    <w:rsid w:val="00990362"/>
    <w:rsid w:val="00991852"/>
    <w:rsid w:val="009A2045"/>
    <w:rsid w:val="009A237C"/>
    <w:rsid w:val="009A6147"/>
    <w:rsid w:val="009B4166"/>
    <w:rsid w:val="009B6B20"/>
    <w:rsid w:val="009B70F9"/>
    <w:rsid w:val="009B7612"/>
    <w:rsid w:val="009C0181"/>
    <w:rsid w:val="009C45CF"/>
    <w:rsid w:val="009C4FDD"/>
    <w:rsid w:val="009C684D"/>
    <w:rsid w:val="009C6EE0"/>
    <w:rsid w:val="009C7026"/>
    <w:rsid w:val="009C73B5"/>
    <w:rsid w:val="009D034F"/>
    <w:rsid w:val="009E695B"/>
    <w:rsid w:val="009E7DE6"/>
    <w:rsid w:val="009F1FEB"/>
    <w:rsid w:val="009F2047"/>
    <w:rsid w:val="009F7F3F"/>
    <w:rsid w:val="00A01D74"/>
    <w:rsid w:val="00A02913"/>
    <w:rsid w:val="00A0546A"/>
    <w:rsid w:val="00A0780D"/>
    <w:rsid w:val="00A11E8E"/>
    <w:rsid w:val="00A222AE"/>
    <w:rsid w:val="00A22431"/>
    <w:rsid w:val="00A27C0A"/>
    <w:rsid w:val="00A306D5"/>
    <w:rsid w:val="00A31F0A"/>
    <w:rsid w:val="00A322AC"/>
    <w:rsid w:val="00A329C9"/>
    <w:rsid w:val="00A33B5E"/>
    <w:rsid w:val="00A33F4F"/>
    <w:rsid w:val="00A35443"/>
    <w:rsid w:val="00A36389"/>
    <w:rsid w:val="00A366A4"/>
    <w:rsid w:val="00A40282"/>
    <w:rsid w:val="00A42E2D"/>
    <w:rsid w:val="00A43165"/>
    <w:rsid w:val="00A51E64"/>
    <w:rsid w:val="00A60246"/>
    <w:rsid w:val="00A7283A"/>
    <w:rsid w:val="00A72A94"/>
    <w:rsid w:val="00A73160"/>
    <w:rsid w:val="00A74D31"/>
    <w:rsid w:val="00A767D5"/>
    <w:rsid w:val="00A80444"/>
    <w:rsid w:val="00A80964"/>
    <w:rsid w:val="00A81229"/>
    <w:rsid w:val="00A854A4"/>
    <w:rsid w:val="00A87223"/>
    <w:rsid w:val="00A91211"/>
    <w:rsid w:val="00A940E0"/>
    <w:rsid w:val="00A96659"/>
    <w:rsid w:val="00A96F81"/>
    <w:rsid w:val="00AA101A"/>
    <w:rsid w:val="00AA38A4"/>
    <w:rsid w:val="00AB0B65"/>
    <w:rsid w:val="00AB21F1"/>
    <w:rsid w:val="00AB4437"/>
    <w:rsid w:val="00AB5E45"/>
    <w:rsid w:val="00AC2356"/>
    <w:rsid w:val="00AC6788"/>
    <w:rsid w:val="00AC7FEA"/>
    <w:rsid w:val="00AD1861"/>
    <w:rsid w:val="00AD2479"/>
    <w:rsid w:val="00AD46BA"/>
    <w:rsid w:val="00AD69AB"/>
    <w:rsid w:val="00AE19C0"/>
    <w:rsid w:val="00AE1F30"/>
    <w:rsid w:val="00AE29D2"/>
    <w:rsid w:val="00AE3C35"/>
    <w:rsid w:val="00AE4A1D"/>
    <w:rsid w:val="00AE60A8"/>
    <w:rsid w:val="00AE7783"/>
    <w:rsid w:val="00AF02D1"/>
    <w:rsid w:val="00AF3A77"/>
    <w:rsid w:val="00AF5232"/>
    <w:rsid w:val="00AF7B90"/>
    <w:rsid w:val="00B00ABD"/>
    <w:rsid w:val="00B01E27"/>
    <w:rsid w:val="00B01E80"/>
    <w:rsid w:val="00B034C3"/>
    <w:rsid w:val="00B11F87"/>
    <w:rsid w:val="00B12618"/>
    <w:rsid w:val="00B131D7"/>
    <w:rsid w:val="00B13932"/>
    <w:rsid w:val="00B14289"/>
    <w:rsid w:val="00B149D1"/>
    <w:rsid w:val="00B21C38"/>
    <w:rsid w:val="00B2224B"/>
    <w:rsid w:val="00B30546"/>
    <w:rsid w:val="00B34139"/>
    <w:rsid w:val="00B36A07"/>
    <w:rsid w:val="00B44FDA"/>
    <w:rsid w:val="00B45B63"/>
    <w:rsid w:val="00B567B5"/>
    <w:rsid w:val="00B604E1"/>
    <w:rsid w:val="00B60522"/>
    <w:rsid w:val="00B65AC1"/>
    <w:rsid w:val="00B705F2"/>
    <w:rsid w:val="00B70630"/>
    <w:rsid w:val="00B736E8"/>
    <w:rsid w:val="00B80C68"/>
    <w:rsid w:val="00B813F8"/>
    <w:rsid w:val="00B86A5C"/>
    <w:rsid w:val="00B87FA5"/>
    <w:rsid w:val="00B943C6"/>
    <w:rsid w:val="00BB10AF"/>
    <w:rsid w:val="00BB1EA1"/>
    <w:rsid w:val="00BB5316"/>
    <w:rsid w:val="00BB61A8"/>
    <w:rsid w:val="00BB701E"/>
    <w:rsid w:val="00BC217F"/>
    <w:rsid w:val="00BD0093"/>
    <w:rsid w:val="00BD759A"/>
    <w:rsid w:val="00BD7621"/>
    <w:rsid w:val="00BE22D2"/>
    <w:rsid w:val="00BE2BE1"/>
    <w:rsid w:val="00BF080F"/>
    <w:rsid w:val="00BF6195"/>
    <w:rsid w:val="00C011E5"/>
    <w:rsid w:val="00C05190"/>
    <w:rsid w:val="00C05606"/>
    <w:rsid w:val="00C078E4"/>
    <w:rsid w:val="00C07E9C"/>
    <w:rsid w:val="00C10852"/>
    <w:rsid w:val="00C127EF"/>
    <w:rsid w:val="00C14A41"/>
    <w:rsid w:val="00C14BF0"/>
    <w:rsid w:val="00C2006D"/>
    <w:rsid w:val="00C20214"/>
    <w:rsid w:val="00C22954"/>
    <w:rsid w:val="00C23D23"/>
    <w:rsid w:val="00C255FE"/>
    <w:rsid w:val="00C25C9D"/>
    <w:rsid w:val="00C26728"/>
    <w:rsid w:val="00C275A4"/>
    <w:rsid w:val="00C27BE9"/>
    <w:rsid w:val="00C27F8C"/>
    <w:rsid w:val="00C377D3"/>
    <w:rsid w:val="00C44367"/>
    <w:rsid w:val="00C44D4F"/>
    <w:rsid w:val="00C56F4A"/>
    <w:rsid w:val="00C575D1"/>
    <w:rsid w:val="00C606DC"/>
    <w:rsid w:val="00C71545"/>
    <w:rsid w:val="00C725D9"/>
    <w:rsid w:val="00C74215"/>
    <w:rsid w:val="00C77321"/>
    <w:rsid w:val="00C8101C"/>
    <w:rsid w:val="00C832C3"/>
    <w:rsid w:val="00C927CF"/>
    <w:rsid w:val="00C940CF"/>
    <w:rsid w:val="00C942B9"/>
    <w:rsid w:val="00C95AAA"/>
    <w:rsid w:val="00CA1D74"/>
    <w:rsid w:val="00CA6832"/>
    <w:rsid w:val="00CB1A22"/>
    <w:rsid w:val="00CB2E6B"/>
    <w:rsid w:val="00CB46DA"/>
    <w:rsid w:val="00CB53E4"/>
    <w:rsid w:val="00CB5ED3"/>
    <w:rsid w:val="00CB7094"/>
    <w:rsid w:val="00CC31D6"/>
    <w:rsid w:val="00CC51DB"/>
    <w:rsid w:val="00CC7418"/>
    <w:rsid w:val="00CD1BC4"/>
    <w:rsid w:val="00CD2D47"/>
    <w:rsid w:val="00CD64B6"/>
    <w:rsid w:val="00CD7A01"/>
    <w:rsid w:val="00CE0F27"/>
    <w:rsid w:val="00CE15F9"/>
    <w:rsid w:val="00CE5A8D"/>
    <w:rsid w:val="00CF383D"/>
    <w:rsid w:val="00CF61A7"/>
    <w:rsid w:val="00CF7224"/>
    <w:rsid w:val="00CF7CE8"/>
    <w:rsid w:val="00D0280E"/>
    <w:rsid w:val="00D03CC9"/>
    <w:rsid w:val="00D07D52"/>
    <w:rsid w:val="00D07E96"/>
    <w:rsid w:val="00D10A19"/>
    <w:rsid w:val="00D11DC0"/>
    <w:rsid w:val="00D12027"/>
    <w:rsid w:val="00D13C8E"/>
    <w:rsid w:val="00D1476D"/>
    <w:rsid w:val="00D20100"/>
    <w:rsid w:val="00D24191"/>
    <w:rsid w:val="00D2761A"/>
    <w:rsid w:val="00D31B75"/>
    <w:rsid w:val="00D3538C"/>
    <w:rsid w:val="00D37C8E"/>
    <w:rsid w:val="00D409B0"/>
    <w:rsid w:val="00D40E3F"/>
    <w:rsid w:val="00D430AB"/>
    <w:rsid w:val="00D501A2"/>
    <w:rsid w:val="00D54A79"/>
    <w:rsid w:val="00D5528E"/>
    <w:rsid w:val="00D5787A"/>
    <w:rsid w:val="00D6523F"/>
    <w:rsid w:val="00D75A24"/>
    <w:rsid w:val="00D761DE"/>
    <w:rsid w:val="00D819CD"/>
    <w:rsid w:val="00D824C3"/>
    <w:rsid w:val="00D82DEF"/>
    <w:rsid w:val="00D8311E"/>
    <w:rsid w:val="00D9416E"/>
    <w:rsid w:val="00D965FC"/>
    <w:rsid w:val="00D96BE1"/>
    <w:rsid w:val="00D97684"/>
    <w:rsid w:val="00DA5574"/>
    <w:rsid w:val="00DA64CF"/>
    <w:rsid w:val="00DA6AD7"/>
    <w:rsid w:val="00DB0951"/>
    <w:rsid w:val="00DB5CD9"/>
    <w:rsid w:val="00DB649E"/>
    <w:rsid w:val="00DB73A8"/>
    <w:rsid w:val="00DC0A25"/>
    <w:rsid w:val="00DC1C55"/>
    <w:rsid w:val="00DD04CF"/>
    <w:rsid w:val="00DD36FB"/>
    <w:rsid w:val="00DD3A79"/>
    <w:rsid w:val="00DD3CBF"/>
    <w:rsid w:val="00DD5652"/>
    <w:rsid w:val="00DD6008"/>
    <w:rsid w:val="00DE022C"/>
    <w:rsid w:val="00DE27BF"/>
    <w:rsid w:val="00DE33E0"/>
    <w:rsid w:val="00DE6001"/>
    <w:rsid w:val="00DE6ACE"/>
    <w:rsid w:val="00DF0D14"/>
    <w:rsid w:val="00DF19A4"/>
    <w:rsid w:val="00DF1D98"/>
    <w:rsid w:val="00DF36A0"/>
    <w:rsid w:val="00DF664D"/>
    <w:rsid w:val="00DF7440"/>
    <w:rsid w:val="00E01772"/>
    <w:rsid w:val="00E0285D"/>
    <w:rsid w:val="00E0603B"/>
    <w:rsid w:val="00E13E7D"/>
    <w:rsid w:val="00E16032"/>
    <w:rsid w:val="00E165AC"/>
    <w:rsid w:val="00E212C9"/>
    <w:rsid w:val="00E22FC6"/>
    <w:rsid w:val="00E25D1B"/>
    <w:rsid w:val="00E3028C"/>
    <w:rsid w:val="00E306AE"/>
    <w:rsid w:val="00E31F36"/>
    <w:rsid w:val="00E3266B"/>
    <w:rsid w:val="00E33B77"/>
    <w:rsid w:val="00E36B9D"/>
    <w:rsid w:val="00E41498"/>
    <w:rsid w:val="00E41D4B"/>
    <w:rsid w:val="00E422CC"/>
    <w:rsid w:val="00E5226A"/>
    <w:rsid w:val="00E52C9A"/>
    <w:rsid w:val="00E55209"/>
    <w:rsid w:val="00E6422C"/>
    <w:rsid w:val="00E65217"/>
    <w:rsid w:val="00E65D05"/>
    <w:rsid w:val="00E72EFE"/>
    <w:rsid w:val="00E735F4"/>
    <w:rsid w:val="00E73923"/>
    <w:rsid w:val="00E74CCC"/>
    <w:rsid w:val="00E868B4"/>
    <w:rsid w:val="00E9623D"/>
    <w:rsid w:val="00E96865"/>
    <w:rsid w:val="00EA24FA"/>
    <w:rsid w:val="00EA442D"/>
    <w:rsid w:val="00EB1A30"/>
    <w:rsid w:val="00EB2D65"/>
    <w:rsid w:val="00EB3B42"/>
    <w:rsid w:val="00EB7177"/>
    <w:rsid w:val="00EC2641"/>
    <w:rsid w:val="00EC5341"/>
    <w:rsid w:val="00ED172C"/>
    <w:rsid w:val="00ED5979"/>
    <w:rsid w:val="00ED61CA"/>
    <w:rsid w:val="00EE03AA"/>
    <w:rsid w:val="00EE0FEB"/>
    <w:rsid w:val="00EE4219"/>
    <w:rsid w:val="00EF0EDD"/>
    <w:rsid w:val="00EF43D9"/>
    <w:rsid w:val="00EF4FE4"/>
    <w:rsid w:val="00EF6B91"/>
    <w:rsid w:val="00F05BED"/>
    <w:rsid w:val="00F12A13"/>
    <w:rsid w:val="00F13022"/>
    <w:rsid w:val="00F14DB3"/>
    <w:rsid w:val="00F16289"/>
    <w:rsid w:val="00F16B04"/>
    <w:rsid w:val="00F20396"/>
    <w:rsid w:val="00F20D0D"/>
    <w:rsid w:val="00F23777"/>
    <w:rsid w:val="00F249C8"/>
    <w:rsid w:val="00F268B5"/>
    <w:rsid w:val="00F3021D"/>
    <w:rsid w:val="00F31831"/>
    <w:rsid w:val="00F354AD"/>
    <w:rsid w:val="00F36721"/>
    <w:rsid w:val="00F40200"/>
    <w:rsid w:val="00F45234"/>
    <w:rsid w:val="00F455AD"/>
    <w:rsid w:val="00F52402"/>
    <w:rsid w:val="00F529ED"/>
    <w:rsid w:val="00F57B84"/>
    <w:rsid w:val="00F61956"/>
    <w:rsid w:val="00F61EA8"/>
    <w:rsid w:val="00F651E5"/>
    <w:rsid w:val="00F70120"/>
    <w:rsid w:val="00F703DD"/>
    <w:rsid w:val="00F736B8"/>
    <w:rsid w:val="00F75D7A"/>
    <w:rsid w:val="00F772BB"/>
    <w:rsid w:val="00F77B32"/>
    <w:rsid w:val="00F81951"/>
    <w:rsid w:val="00F8475B"/>
    <w:rsid w:val="00F91792"/>
    <w:rsid w:val="00F97C80"/>
    <w:rsid w:val="00FA2ECE"/>
    <w:rsid w:val="00FB1255"/>
    <w:rsid w:val="00FB3EC0"/>
    <w:rsid w:val="00FC152E"/>
    <w:rsid w:val="00FC4321"/>
    <w:rsid w:val="00FC4CED"/>
    <w:rsid w:val="00FD011F"/>
    <w:rsid w:val="00FD1849"/>
    <w:rsid w:val="00FD3A00"/>
    <w:rsid w:val="00FD3CD3"/>
    <w:rsid w:val="00FD5EB4"/>
    <w:rsid w:val="00FD6C4F"/>
    <w:rsid w:val="00FE1054"/>
    <w:rsid w:val="00FE1489"/>
    <w:rsid w:val="00FE32D2"/>
    <w:rsid w:val="00FE4867"/>
    <w:rsid w:val="00FE7312"/>
    <w:rsid w:val="00FF20DC"/>
    <w:rsid w:val="00FF7422"/>
    <w:rsid w:val="00FF7C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D343"/>
  <w15:chartTrackingRefBased/>
  <w15:docId w15:val="{EAF97242-A026-F24C-A3EC-DE2C53A1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8B"/>
    <w:pPr>
      <w:ind w:left="720"/>
      <w:contextualSpacing/>
    </w:pPr>
    <w:rPr>
      <w:rFonts w:ascii="Calibri" w:hAnsi="Calibri" w:cs="Calibri"/>
      <w:sz w:val="20"/>
      <w:szCs w:val="20"/>
      <w:lang w:eastAsia="en-AU"/>
    </w:rPr>
  </w:style>
  <w:style w:type="paragraph" w:styleId="NormalWeb">
    <w:name w:val="Normal (Web)"/>
    <w:basedOn w:val="Normal"/>
    <w:uiPriority w:val="99"/>
    <w:semiHidden/>
    <w:unhideWhenUsed/>
    <w:rsid w:val="002D728B"/>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2D728B"/>
    <w:rPr>
      <w:sz w:val="16"/>
      <w:szCs w:val="16"/>
    </w:rPr>
  </w:style>
  <w:style w:type="paragraph" w:styleId="CommentText">
    <w:name w:val="annotation text"/>
    <w:basedOn w:val="Normal"/>
    <w:link w:val="CommentTextChar"/>
    <w:uiPriority w:val="99"/>
    <w:unhideWhenUsed/>
    <w:rsid w:val="002D728B"/>
    <w:rPr>
      <w:rFonts w:ascii="Calibri" w:hAnsi="Calibri" w:cs="Calibri"/>
      <w:sz w:val="20"/>
      <w:szCs w:val="20"/>
      <w:lang w:eastAsia="en-AU"/>
    </w:rPr>
  </w:style>
  <w:style w:type="character" w:customStyle="1" w:styleId="CommentTextChar">
    <w:name w:val="Comment Text Char"/>
    <w:basedOn w:val="DefaultParagraphFont"/>
    <w:link w:val="CommentText"/>
    <w:uiPriority w:val="99"/>
    <w:rsid w:val="002D728B"/>
    <w:rPr>
      <w:rFonts w:ascii="Calibri" w:hAnsi="Calibri" w:cs="Calibri"/>
      <w:sz w:val="20"/>
      <w:szCs w:val="20"/>
      <w:lang w:eastAsia="en-AU"/>
    </w:rPr>
  </w:style>
  <w:style w:type="paragraph" w:styleId="Header">
    <w:name w:val="header"/>
    <w:basedOn w:val="Normal"/>
    <w:link w:val="HeaderChar"/>
    <w:uiPriority w:val="99"/>
    <w:unhideWhenUsed/>
    <w:rsid w:val="002D728B"/>
    <w:pPr>
      <w:tabs>
        <w:tab w:val="center" w:pos="4680"/>
        <w:tab w:val="right" w:pos="9360"/>
      </w:tabs>
    </w:pPr>
  </w:style>
  <w:style w:type="character" w:customStyle="1" w:styleId="HeaderChar">
    <w:name w:val="Header Char"/>
    <w:basedOn w:val="DefaultParagraphFont"/>
    <w:link w:val="Header"/>
    <w:uiPriority w:val="99"/>
    <w:rsid w:val="002D728B"/>
  </w:style>
  <w:style w:type="paragraph" w:styleId="Footer">
    <w:name w:val="footer"/>
    <w:basedOn w:val="Normal"/>
    <w:link w:val="FooterChar"/>
    <w:uiPriority w:val="99"/>
    <w:unhideWhenUsed/>
    <w:rsid w:val="002D728B"/>
    <w:pPr>
      <w:tabs>
        <w:tab w:val="center" w:pos="4680"/>
        <w:tab w:val="right" w:pos="9360"/>
      </w:tabs>
    </w:pPr>
  </w:style>
  <w:style w:type="character" w:customStyle="1" w:styleId="FooterChar">
    <w:name w:val="Footer Char"/>
    <w:basedOn w:val="DefaultParagraphFont"/>
    <w:link w:val="Footer"/>
    <w:uiPriority w:val="99"/>
    <w:rsid w:val="002D728B"/>
  </w:style>
  <w:style w:type="paragraph" w:styleId="CommentSubject">
    <w:name w:val="annotation subject"/>
    <w:basedOn w:val="CommentText"/>
    <w:next w:val="CommentText"/>
    <w:link w:val="CommentSubjectChar"/>
    <w:uiPriority w:val="99"/>
    <w:semiHidden/>
    <w:unhideWhenUsed/>
    <w:rsid w:val="00E33B77"/>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33B77"/>
    <w:rPr>
      <w:rFonts w:ascii="Calibri" w:hAnsi="Calibri" w:cs="Calibri"/>
      <w:b/>
      <w:bCs/>
      <w:sz w:val="20"/>
      <w:szCs w:val="20"/>
      <w:lang w:eastAsia="en-AU"/>
    </w:rPr>
  </w:style>
  <w:style w:type="paragraph" w:styleId="Caption">
    <w:name w:val="caption"/>
    <w:basedOn w:val="Normal"/>
    <w:next w:val="Normal"/>
    <w:uiPriority w:val="35"/>
    <w:unhideWhenUsed/>
    <w:qFormat/>
    <w:rsid w:val="003D19C9"/>
    <w:pPr>
      <w:spacing w:after="200"/>
    </w:pPr>
    <w:rPr>
      <w:i/>
      <w:iCs/>
      <w:color w:val="44546A" w:themeColor="text2"/>
      <w:sz w:val="18"/>
      <w:szCs w:val="18"/>
    </w:rPr>
  </w:style>
  <w:style w:type="table" w:styleId="TableGrid">
    <w:name w:val="Table Grid"/>
    <w:basedOn w:val="TableNormal"/>
    <w:uiPriority w:val="39"/>
    <w:rsid w:val="003D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498"/>
    <w:rPr>
      <w:sz w:val="20"/>
      <w:szCs w:val="20"/>
    </w:rPr>
  </w:style>
  <w:style w:type="character" w:customStyle="1" w:styleId="FootnoteTextChar">
    <w:name w:val="Footnote Text Char"/>
    <w:basedOn w:val="DefaultParagraphFont"/>
    <w:link w:val="FootnoteText"/>
    <w:uiPriority w:val="99"/>
    <w:semiHidden/>
    <w:rsid w:val="00E41498"/>
    <w:rPr>
      <w:sz w:val="20"/>
      <w:szCs w:val="20"/>
    </w:rPr>
  </w:style>
  <w:style w:type="character" w:styleId="FootnoteReference">
    <w:name w:val="footnote reference"/>
    <w:basedOn w:val="DefaultParagraphFont"/>
    <w:uiPriority w:val="99"/>
    <w:semiHidden/>
    <w:unhideWhenUsed/>
    <w:rsid w:val="00E41498"/>
    <w:rPr>
      <w:vertAlign w:val="superscript"/>
    </w:rPr>
  </w:style>
  <w:style w:type="paragraph" w:styleId="BalloonText">
    <w:name w:val="Balloon Text"/>
    <w:basedOn w:val="Normal"/>
    <w:link w:val="BalloonTextChar"/>
    <w:uiPriority w:val="99"/>
    <w:semiHidden/>
    <w:unhideWhenUsed/>
    <w:rsid w:val="00B01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F8D7-05B1-4041-8E21-E3E1DD7D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EH</cp:lastModifiedBy>
  <cp:revision>4</cp:revision>
  <dcterms:created xsi:type="dcterms:W3CDTF">2021-10-19T00:35:00Z</dcterms:created>
  <dcterms:modified xsi:type="dcterms:W3CDTF">2021-10-19T03:24:00Z</dcterms:modified>
</cp:coreProperties>
</file>