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0E28" w14:textId="58C0C177" w:rsidR="009F1019" w:rsidRDefault="009F1019" w:rsidP="009F101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w:t>
      </w:r>
      <w:r w:rsidR="005E652B">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number of papers on climate change on EBSCO STM source for September for each year included in this analysis. Where the “Number of Initial Papers'' shows the exact number of papers we got on EBSCO STM Source with the specifications outlined in the methodology section. Then the “Number of Viable Papers'' shows the number of papers that were actually analysed, as even with the speciation we employed, we still had a selection of papers that were in fact non-academic work and hence removed the analysed pool. Such work includes: conference summaries, news articles, book chapters among other non-academic literature. The results in table 2 are as of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January 2021.</w:t>
      </w:r>
    </w:p>
    <w:tbl>
      <w:tblP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1205"/>
        <w:gridCol w:w="1322"/>
        <w:gridCol w:w="1322"/>
        <w:gridCol w:w="1323"/>
        <w:gridCol w:w="1323"/>
        <w:gridCol w:w="1323"/>
      </w:tblGrid>
      <w:tr w:rsidR="009F1019" w14:paraId="536E00B8" w14:textId="77777777" w:rsidTr="00AD3FA2">
        <w:trPr>
          <w:trHeight w:val="533"/>
        </w:trPr>
        <w:tc>
          <w:tcPr>
            <w:tcW w:w="1345" w:type="dxa"/>
          </w:tcPr>
          <w:p w14:paraId="47EE102A"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tc>
        <w:tc>
          <w:tcPr>
            <w:tcW w:w="1205" w:type="dxa"/>
          </w:tcPr>
          <w:p w14:paraId="12EEE9DC"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1991</w:t>
            </w:r>
          </w:p>
        </w:tc>
        <w:tc>
          <w:tcPr>
            <w:tcW w:w="1322" w:type="dxa"/>
          </w:tcPr>
          <w:p w14:paraId="728E6526"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1995</w:t>
            </w:r>
          </w:p>
        </w:tc>
        <w:tc>
          <w:tcPr>
            <w:tcW w:w="1322" w:type="dxa"/>
          </w:tcPr>
          <w:p w14:paraId="5BCB66E7"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1999</w:t>
            </w:r>
          </w:p>
        </w:tc>
        <w:tc>
          <w:tcPr>
            <w:tcW w:w="1323" w:type="dxa"/>
          </w:tcPr>
          <w:p w14:paraId="25378EC0"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c>
          <w:tcPr>
            <w:tcW w:w="1323" w:type="dxa"/>
          </w:tcPr>
          <w:p w14:paraId="5F6C25A1"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323" w:type="dxa"/>
          </w:tcPr>
          <w:p w14:paraId="52EC6F13"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9F1019" w14:paraId="5BD28C76" w14:textId="77777777" w:rsidTr="00AD3FA2">
        <w:trPr>
          <w:trHeight w:val="835"/>
        </w:trPr>
        <w:tc>
          <w:tcPr>
            <w:tcW w:w="1345" w:type="dxa"/>
          </w:tcPr>
          <w:p w14:paraId="3E1E845C" w14:textId="77777777" w:rsidR="009F1019" w:rsidRDefault="009F1019" w:rsidP="00AD3FA2">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Initial Hits</w:t>
            </w:r>
          </w:p>
        </w:tc>
        <w:tc>
          <w:tcPr>
            <w:tcW w:w="1205" w:type="dxa"/>
          </w:tcPr>
          <w:p w14:paraId="33C89E61"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322" w:type="dxa"/>
          </w:tcPr>
          <w:p w14:paraId="3270CABA"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322" w:type="dxa"/>
          </w:tcPr>
          <w:p w14:paraId="2C1E1318"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323" w:type="dxa"/>
          </w:tcPr>
          <w:p w14:paraId="18CF4B2D"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776</w:t>
            </w:r>
          </w:p>
        </w:tc>
        <w:tc>
          <w:tcPr>
            <w:tcW w:w="1323" w:type="dxa"/>
          </w:tcPr>
          <w:p w14:paraId="6383AD73"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2059</w:t>
            </w:r>
          </w:p>
        </w:tc>
        <w:tc>
          <w:tcPr>
            <w:tcW w:w="1323" w:type="dxa"/>
          </w:tcPr>
          <w:p w14:paraId="4DA20625"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2978</w:t>
            </w:r>
          </w:p>
        </w:tc>
      </w:tr>
      <w:tr w:rsidR="009F1019" w14:paraId="23614C79" w14:textId="77777777" w:rsidTr="00AD3FA2">
        <w:trPr>
          <w:trHeight w:val="1138"/>
        </w:trPr>
        <w:tc>
          <w:tcPr>
            <w:tcW w:w="1345" w:type="dxa"/>
          </w:tcPr>
          <w:p w14:paraId="37636E99" w14:textId="77777777" w:rsidR="009F1019" w:rsidRDefault="009F1019" w:rsidP="00AD3FA2">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Viable Papers</w:t>
            </w:r>
          </w:p>
        </w:tc>
        <w:tc>
          <w:tcPr>
            <w:tcW w:w="1205" w:type="dxa"/>
          </w:tcPr>
          <w:p w14:paraId="7C96B45A"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322" w:type="dxa"/>
          </w:tcPr>
          <w:p w14:paraId="3C91D98E"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322" w:type="dxa"/>
          </w:tcPr>
          <w:p w14:paraId="4253F5FA"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323" w:type="dxa"/>
          </w:tcPr>
          <w:p w14:paraId="2A10460C"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666</w:t>
            </w:r>
          </w:p>
        </w:tc>
        <w:tc>
          <w:tcPr>
            <w:tcW w:w="1323" w:type="dxa"/>
          </w:tcPr>
          <w:p w14:paraId="4D5C061D"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1925</w:t>
            </w:r>
          </w:p>
        </w:tc>
        <w:tc>
          <w:tcPr>
            <w:tcW w:w="1323" w:type="dxa"/>
          </w:tcPr>
          <w:p w14:paraId="5E635283" w14:textId="77777777" w:rsidR="009F1019" w:rsidRDefault="009F1019" w:rsidP="00AD3FA2">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2707</w:t>
            </w:r>
          </w:p>
        </w:tc>
      </w:tr>
    </w:tbl>
    <w:p w14:paraId="66BF9279" w14:textId="732C9A1E" w:rsidR="009F1019" w:rsidRDefault="009F1019" w:rsidP="009F101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F7F497B" w14:textId="77777777" w:rsidR="00013CCE" w:rsidRDefault="00013CCE" w:rsidP="00013CCE">
      <w:pPr>
        <w:spacing w:after="240" w:line="360" w:lineRule="auto"/>
        <w:jc w:val="both"/>
        <w:rPr>
          <w:rFonts w:ascii="Times New Roman" w:eastAsia="Times New Roman" w:hAnsi="Times New Roman" w:cs="Times New Roman"/>
          <w:b/>
          <w:sz w:val="24"/>
          <w:szCs w:val="24"/>
        </w:rPr>
      </w:pPr>
    </w:p>
    <w:p w14:paraId="47DAC833" w14:textId="52B2C6BE" w:rsidR="00013CCE" w:rsidRDefault="00013CCE" w:rsidP="00013CCE">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w:t>
      </w: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number of papers on climate change on EBSCO STM Source for each month in 2009. Note that here it says in September 2009 there are 832, however in table 2 it is 776. This is not a mistake but rather that EBSCO updates their papers daily, and hence can create different numbers of hits each day. The results here in table 1 are as of the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March 2021, whereas the results in table 2 are as of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January 2021.</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
        <w:gridCol w:w="671"/>
        <w:gridCol w:w="671"/>
        <w:gridCol w:w="680"/>
        <w:gridCol w:w="674"/>
        <w:gridCol w:w="688"/>
        <w:gridCol w:w="671"/>
        <w:gridCol w:w="671"/>
        <w:gridCol w:w="683"/>
        <w:gridCol w:w="671"/>
        <w:gridCol w:w="671"/>
        <w:gridCol w:w="683"/>
        <w:gridCol w:w="678"/>
      </w:tblGrid>
      <w:tr w:rsidR="00013CCE" w14:paraId="11A7FC0F" w14:textId="77777777" w:rsidTr="00904360">
        <w:tc>
          <w:tcPr>
            <w:tcW w:w="950" w:type="dxa"/>
          </w:tcPr>
          <w:p w14:paraId="2F3F24CB"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Papers  in 2009</w:t>
            </w:r>
          </w:p>
        </w:tc>
        <w:tc>
          <w:tcPr>
            <w:tcW w:w="671" w:type="dxa"/>
          </w:tcPr>
          <w:p w14:paraId="2473588A"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w:t>
            </w:r>
          </w:p>
        </w:tc>
        <w:tc>
          <w:tcPr>
            <w:tcW w:w="671" w:type="dxa"/>
          </w:tcPr>
          <w:p w14:paraId="781862F9"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Feb</w:t>
            </w:r>
          </w:p>
        </w:tc>
        <w:tc>
          <w:tcPr>
            <w:tcW w:w="680" w:type="dxa"/>
          </w:tcPr>
          <w:p w14:paraId="5A99D72D"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w:t>
            </w:r>
          </w:p>
        </w:tc>
        <w:tc>
          <w:tcPr>
            <w:tcW w:w="674" w:type="dxa"/>
          </w:tcPr>
          <w:p w14:paraId="5AE0C8C4"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w:t>
            </w:r>
          </w:p>
        </w:tc>
        <w:tc>
          <w:tcPr>
            <w:tcW w:w="688" w:type="dxa"/>
          </w:tcPr>
          <w:p w14:paraId="7C82E4DC"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p>
        </w:tc>
        <w:tc>
          <w:tcPr>
            <w:tcW w:w="671" w:type="dxa"/>
          </w:tcPr>
          <w:p w14:paraId="4492CE13"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Jun</w:t>
            </w:r>
          </w:p>
        </w:tc>
        <w:tc>
          <w:tcPr>
            <w:tcW w:w="671" w:type="dxa"/>
          </w:tcPr>
          <w:p w14:paraId="4EF87602"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w:t>
            </w:r>
          </w:p>
        </w:tc>
        <w:tc>
          <w:tcPr>
            <w:tcW w:w="683" w:type="dxa"/>
          </w:tcPr>
          <w:p w14:paraId="2CD41307"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w:t>
            </w:r>
          </w:p>
        </w:tc>
        <w:tc>
          <w:tcPr>
            <w:tcW w:w="671" w:type="dxa"/>
          </w:tcPr>
          <w:p w14:paraId="5EEAC763"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w:t>
            </w:r>
          </w:p>
        </w:tc>
        <w:tc>
          <w:tcPr>
            <w:tcW w:w="671" w:type="dxa"/>
          </w:tcPr>
          <w:p w14:paraId="6FF0049E"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Oct</w:t>
            </w:r>
          </w:p>
        </w:tc>
        <w:tc>
          <w:tcPr>
            <w:tcW w:w="683" w:type="dxa"/>
          </w:tcPr>
          <w:p w14:paraId="65EE1190"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w:t>
            </w:r>
          </w:p>
        </w:tc>
        <w:tc>
          <w:tcPr>
            <w:tcW w:w="678" w:type="dxa"/>
          </w:tcPr>
          <w:p w14:paraId="7924BE5D"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w:t>
            </w:r>
          </w:p>
        </w:tc>
      </w:tr>
      <w:tr w:rsidR="00013CCE" w14:paraId="21C966AE" w14:textId="77777777" w:rsidTr="00904360">
        <w:tc>
          <w:tcPr>
            <w:tcW w:w="950" w:type="dxa"/>
          </w:tcPr>
          <w:p w14:paraId="747D921B"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Actual number</w:t>
            </w:r>
          </w:p>
        </w:tc>
        <w:tc>
          <w:tcPr>
            <w:tcW w:w="671" w:type="dxa"/>
          </w:tcPr>
          <w:p w14:paraId="105AFAAA"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995</w:t>
            </w:r>
          </w:p>
        </w:tc>
        <w:tc>
          <w:tcPr>
            <w:tcW w:w="671" w:type="dxa"/>
          </w:tcPr>
          <w:p w14:paraId="0D4F121E"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c>
          <w:tcPr>
            <w:tcW w:w="680" w:type="dxa"/>
          </w:tcPr>
          <w:p w14:paraId="2D76D1E1"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730</w:t>
            </w:r>
          </w:p>
        </w:tc>
        <w:tc>
          <w:tcPr>
            <w:tcW w:w="674" w:type="dxa"/>
          </w:tcPr>
          <w:p w14:paraId="425E7B6E"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w:t>
            </w:r>
          </w:p>
        </w:tc>
        <w:tc>
          <w:tcPr>
            <w:tcW w:w="688" w:type="dxa"/>
          </w:tcPr>
          <w:p w14:paraId="3DB20ADF"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w:t>
            </w:r>
          </w:p>
        </w:tc>
        <w:tc>
          <w:tcPr>
            <w:tcW w:w="671" w:type="dxa"/>
          </w:tcPr>
          <w:p w14:paraId="7257D3AB"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c>
          <w:tcPr>
            <w:tcW w:w="671" w:type="dxa"/>
          </w:tcPr>
          <w:p w14:paraId="2E602BFA"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p>
        </w:tc>
        <w:tc>
          <w:tcPr>
            <w:tcW w:w="683" w:type="dxa"/>
          </w:tcPr>
          <w:p w14:paraId="3A83DC2E"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702</w:t>
            </w:r>
          </w:p>
        </w:tc>
        <w:tc>
          <w:tcPr>
            <w:tcW w:w="671" w:type="dxa"/>
          </w:tcPr>
          <w:p w14:paraId="6FA299B0"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832</w:t>
            </w:r>
          </w:p>
        </w:tc>
        <w:tc>
          <w:tcPr>
            <w:tcW w:w="671" w:type="dxa"/>
          </w:tcPr>
          <w:p w14:paraId="4BEEF1FE"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747</w:t>
            </w:r>
          </w:p>
        </w:tc>
        <w:tc>
          <w:tcPr>
            <w:tcW w:w="683" w:type="dxa"/>
          </w:tcPr>
          <w:p w14:paraId="28C67D42"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782</w:t>
            </w:r>
          </w:p>
        </w:tc>
        <w:tc>
          <w:tcPr>
            <w:tcW w:w="678" w:type="dxa"/>
          </w:tcPr>
          <w:p w14:paraId="61C01A9A" w14:textId="77777777" w:rsidR="00013CCE" w:rsidRDefault="00013CCE" w:rsidP="00904360">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884</w:t>
            </w:r>
          </w:p>
        </w:tc>
      </w:tr>
    </w:tbl>
    <w:p w14:paraId="11215C33" w14:textId="4132C116" w:rsidR="00013CCE" w:rsidRDefault="00013CCE" w:rsidP="009F1019">
      <w:pPr>
        <w:spacing w:after="240" w:line="360" w:lineRule="auto"/>
        <w:jc w:val="both"/>
        <w:rPr>
          <w:rFonts w:ascii="Times New Roman" w:eastAsia="Times New Roman" w:hAnsi="Times New Roman" w:cs="Times New Roman"/>
          <w:sz w:val="24"/>
          <w:szCs w:val="24"/>
        </w:rPr>
      </w:pPr>
    </w:p>
    <w:p w14:paraId="532634D2" w14:textId="77777777" w:rsidR="00013CCE" w:rsidRDefault="00013CCE" w:rsidP="009F1019">
      <w:pPr>
        <w:spacing w:after="240" w:line="360" w:lineRule="auto"/>
        <w:jc w:val="both"/>
        <w:rPr>
          <w:rFonts w:ascii="Times New Roman" w:eastAsia="Times New Roman" w:hAnsi="Times New Roman" w:cs="Times New Roman"/>
          <w:sz w:val="24"/>
          <w:szCs w:val="24"/>
        </w:rPr>
      </w:pPr>
    </w:p>
    <w:p w14:paraId="5E6327F6" w14:textId="56B1ED8F" w:rsidR="009F1019" w:rsidRDefault="009F1019" w:rsidP="009F1019">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Table </w:t>
      </w:r>
      <w:r w:rsidR="00013CCE">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full results of the analysis for September 2019 in table form.</w:t>
      </w:r>
    </w:p>
    <w:tbl>
      <w:tblPr>
        <w:tblW w:w="9330" w:type="dxa"/>
        <w:tblLayout w:type="fixed"/>
        <w:tblLook w:val="0400" w:firstRow="0" w:lastRow="0" w:firstColumn="0" w:lastColumn="0" w:noHBand="0" w:noVBand="1"/>
      </w:tblPr>
      <w:tblGrid>
        <w:gridCol w:w="2500"/>
        <w:gridCol w:w="656"/>
        <w:gridCol w:w="2784"/>
        <w:gridCol w:w="656"/>
        <w:gridCol w:w="1561"/>
        <w:gridCol w:w="1173"/>
      </w:tblGrid>
      <w:tr w:rsidR="009F1019" w14:paraId="28269F9A" w14:textId="77777777" w:rsidTr="00AD3FA2">
        <w:trPr>
          <w:trHeight w:val="315"/>
        </w:trPr>
        <w:tc>
          <w:tcPr>
            <w:tcW w:w="2500" w:type="dxa"/>
            <w:tcBorders>
              <w:top w:val="single" w:sz="4" w:space="0" w:color="000000"/>
              <w:left w:val="single" w:sz="4" w:space="0" w:color="000000"/>
              <w:bottom w:val="single" w:sz="4" w:space="0" w:color="000000"/>
              <w:right w:val="nil"/>
            </w:tcBorders>
            <w:shd w:val="clear" w:color="auto" w:fill="auto"/>
            <w:vAlign w:val="bottom"/>
          </w:tcPr>
          <w:p w14:paraId="1D00F9D0" w14:textId="7E4976D7" w:rsidR="009F1019" w:rsidRDefault="009F1019" w:rsidP="00AD3FA2">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Cook et al </w:t>
            </w:r>
            <w:r w:rsidR="00283F3F">
              <w:rPr>
                <w:rFonts w:ascii="Times New Roman" w:eastAsia="Times New Roman" w:hAnsi="Times New Roman" w:cs="Times New Roman"/>
                <w:b/>
              </w:rPr>
              <w:t>(</w:t>
            </w:r>
            <w:r>
              <w:rPr>
                <w:rFonts w:ascii="Times New Roman" w:eastAsia="Times New Roman" w:hAnsi="Times New Roman" w:cs="Times New Roman"/>
                <w:b/>
              </w:rPr>
              <w:t>Results</w:t>
            </w:r>
            <w:r w:rsidR="00283F3F">
              <w:rPr>
                <w:rFonts w:ascii="Times New Roman" w:eastAsia="Times New Roman" w:hAnsi="Times New Roman" w:cs="Times New Roman"/>
                <w:b/>
              </w:rPr>
              <w:t>)</w:t>
            </w:r>
          </w:p>
        </w:tc>
        <w:tc>
          <w:tcPr>
            <w:tcW w:w="656" w:type="dxa"/>
            <w:tcBorders>
              <w:top w:val="single" w:sz="4" w:space="0" w:color="000000"/>
              <w:left w:val="nil"/>
              <w:bottom w:val="single" w:sz="4" w:space="0" w:color="000000"/>
              <w:right w:val="single" w:sz="4" w:space="0" w:color="000000"/>
            </w:tcBorders>
            <w:shd w:val="clear" w:color="auto" w:fill="auto"/>
            <w:vAlign w:val="bottom"/>
          </w:tcPr>
          <w:p w14:paraId="497C5430" w14:textId="77777777" w:rsidR="009F1019" w:rsidRDefault="009F1019" w:rsidP="00AD3FA2">
            <w:pPr>
              <w:spacing w:line="360" w:lineRule="auto"/>
              <w:rPr>
                <w:rFonts w:ascii="Times New Roman" w:eastAsia="Times New Roman" w:hAnsi="Times New Roman" w:cs="Times New Roman"/>
                <w:b/>
              </w:rPr>
            </w:pPr>
            <w:r>
              <w:rPr>
                <w:rFonts w:ascii="Times New Roman" w:eastAsia="Times New Roman" w:hAnsi="Times New Roman" w:cs="Times New Roman"/>
                <w:b/>
              </w:rPr>
              <w:t> </w:t>
            </w:r>
          </w:p>
        </w:tc>
        <w:tc>
          <w:tcPr>
            <w:tcW w:w="3440" w:type="dxa"/>
            <w:gridSpan w:val="2"/>
            <w:tcBorders>
              <w:top w:val="single" w:sz="4" w:space="0" w:color="000000"/>
              <w:left w:val="nil"/>
              <w:bottom w:val="single" w:sz="4" w:space="0" w:color="000000"/>
              <w:right w:val="single" w:sz="4" w:space="0" w:color="000000"/>
            </w:tcBorders>
            <w:shd w:val="clear" w:color="auto" w:fill="auto"/>
            <w:vAlign w:val="bottom"/>
          </w:tcPr>
          <w:p w14:paraId="41B6950C" w14:textId="5BF49AC6" w:rsidR="009F1019" w:rsidRDefault="004B6E81" w:rsidP="00AD3FA2">
            <w:pPr>
              <w:spacing w:line="360" w:lineRule="auto"/>
              <w:rPr>
                <w:rFonts w:ascii="Times New Roman" w:eastAsia="Times New Roman" w:hAnsi="Times New Roman" w:cs="Times New Roman"/>
                <w:b/>
              </w:rPr>
            </w:pPr>
            <w:r>
              <w:rPr>
                <w:rFonts w:ascii="Times New Roman" w:eastAsia="Times New Roman" w:hAnsi="Times New Roman" w:cs="Times New Roman"/>
                <w:b/>
              </w:rPr>
              <w:t>D</w:t>
            </w:r>
            <w:r w:rsidRPr="004B6E81">
              <w:rPr>
                <w:rFonts w:ascii="Times New Roman" w:eastAsia="Times New Roman" w:hAnsi="Times New Roman" w:cs="Times New Roman"/>
                <w:b/>
              </w:rPr>
              <w:t>ata-centric</w:t>
            </w:r>
            <w:r w:rsidR="00283F3F">
              <w:rPr>
                <w:rFonts w:ascii="Times New Roman" w:eastAsia="Times New Roman" w:hAnsi="Times New Roman" w:cs="Times New Roman"/>
                <w:b/>
              </w:rPr>
              <w:t xml:space="preserve"> approach</w:t>
            </w:r>
            <w:r w:rsidR="009F1019">
              <w:rPr>
                <w:rFonts w:ascii="Times New Roman" w:eastAsia="Times New Roman" w:hAnsi="Times New Roman" w:cs="Times New Roman"/>
                <w:b/>
              </w:rPr>
              <w:t xml:space="preserve"> </w:t>
            </w:r>
            <w:r w:rsidR="00283F3F">
              <w:rPr>
                <w:rFonts w:ascii="Times New Roman" w:eastAsia="Times New Roman" w:hAnsi="Times New Roman" w:cs="Times New Roman"/>
                <w:b/>
              </w:rPr>
              <w:t>(</w:t>
            </w:r>
            <w:r w:rsidR="009F1019">
              <w:rPr>
                <w:rFonts w:ascii="Times New Roman" w:eastAsia="Times New Roman" w:hAnsi="Times New Roman" w:cs="Times New Roman"/>
                <w:b/>
              </w:rPr>
              <w:t>Results</w:t>
            </w:r>
            <w:r w:rsidR="00283F3F">
              <w:rPr>
                <w:rFonts w:ascii="Times New Roman" w:eastAsia="Times New Roman" w:hAnsi="Times New Roman" w:cs="Times New Roman"/>
                <w:b/>
              </w:rPr>
              <w:t>)</w:t>
            </w:r>
          </w:p>
        </w:tc>
        <w:tc>
          <w:tcPr>
            <w:tcW w:w="1561" w:type="dxa"/>
            <w:tcBorders>
              <w:top w:val="single" w:sz="4" w:space="0" w:color="000000"/>
              <w:left w:val="nil"/>
              <w:bottom w:val="single" w:sz="4" w:space="0" w:color="000000"/>
              <w:right w:val="nil"/>
            </w:tcBorders>
            <w:shd w:val="clear" w:color="auto" w:fill="auto"/>
            <w:vAlign w:val="bottom"/>
          </w:tcPr>
          <w:p w14:paraId="1480BE82"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Relevant</w:t>
            </w:r>
          </w:p>
        </w:tc>
        <w:tc>
          <w:tcPr>
            <w:tcW w:w="1173" w:type="dxa"/>
            <w:tcBorders>
              <w:top w:val="single" w:sz="4" w:space="0" w:color="000000"/>
              <w:left w:val="nil"/>
              <w:bottom w:val="single" w:sz="4" w:space="0" w:color="000000"/>
              <w:right w:val="single" w:sz="4" w:space="0" w:color="000000"/>
            </w:tcBorders>
            <w:shd w:val="clear" w:color="auto" w:fill="auto"/>
            <w:vAlign w:val="bottom"/>
          </w:tcPr>
          <w:p w14:paraId="2A195034"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r>
      <w:tr w:rsidR="009F1019" w14:paraId="3051CB0B" w14:textId="77777777" w:rsidTr="00AD3FA2">
        <w:trPr>
          <w:trHeight w:val="299"/>
        </w:trPr>
        <w:tc>
          <w:tcPr>
            <w:tcW w:w="2500" w:type="dxa"/>
            <w:tcBorders>
              <w:top w:val="nil"/>
              <w:left w:val="single" w:sz="4" w:space="0" w:color="000000"/>
              <w:bottom w:val="nil"/>
              <w:right w:val="nil"/>
            </w:tcBorders>
            <w:shd w:val="clear" w:color="auto" w:fill="auto"/>
            <w:vAlign w:val="bottom"/>
          </w:tcPr>
          <w:p w14:paraId="6CC5A013"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No Position (Neutral)</w:t>
            </w:r>
          </w:p>
        </w:tc>
        <w:tc>
          <w:tcPr>
            <w:tcW w:w="656" w:type="dxa"/>
            <w:tcBorders>
              <w:top w:val="nil"/>
              <w:left w:val="nil"/>
              <w:bottom w:val="nil"/>
              <w:right w:val="single" w:sz="4" w:space="0" w:color="000000"/>
            </w:tcBorders>
            <w:shd w:val="clear" w:color="auto" w:fill="auto"/>
            <w:vAlign w:val="bottom"/>
          </w:tcPr>
          <w:p w14:paraId="749ADD87"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1563</w:t>
            </w:r>
          </w:p>
        </w:tc>
        <w:tc>
          <w:tcPr>
            <w:tcW w:w="2784" w:type="dxa"/>
            <w:tcBorders>
              <w:top w:val="nil"/>
              <w:left w:val="nil"/>
              <w:bottom w:val="nil"/>
              <w:right w:val="nil"/>
            </w:tcBorders>
            <w:shd w:val="clear" w:color="auto" w:fill="auto"/>
            <w:vAlign w:val="bottom"/>
          </w:tcPr>
          <w:p w14:paraId="74318225"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Non-Relevant</w:t>
            </w:r>
          </w:p>
        </w:tc>
        <w:tc>
          <w:tcPr>
            <w:tcW w:w="656" w:type="dxa"/>
            <w:tcBorders>
              <w:top w:val="nil"/>
              <w:left w:val="nil"/>
              <w:bottom w:val="nil"/>
              <w:right w:val="single" w:sz="4" w:space="0" w:color="000000"/>
            </w:tcBorders>
            <w:shd w:val="clear" w:color="auto" w:fill="auto"/>
            <w:vAlign w:val="bottom"/>
          </w:tcPr>
          <w:p w14:paraId="2A5ABA42"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1395</w:t>
            </w:r>
          </w:p>
        </w:tc>
        <w:tc>
          <w:tcPr>
            <w:tcW w:w="1561" w:type="dxa"/>
            <w:tcBorders>
              <w:top w:val="nil"/>
              <w:left w:val="nil"/>
              <w:bottom w:val="nil"/>
              <w:right w:val="nil"/>
            </w:tcBorders>
            <w:shd w:val="clear" w:color="auto" w:fill="auto"/>
            <w:vAlign w:val="bottom"/>
          </w:tcPr>
          <w:p w14:paraId="75A83058"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173" w:type="dxa"/>
            <w:tcBorders>
              <w:top w:val="nil"/>
              <w:left w:val="nil"/>
              <w:bottom w:val="nil"/>
              <w:right w:val="single" w:sz="4" w:space="0" w:color="000000"/>
            </w:tcBorders>
            <w:shd w:val="clear" w:color="auto" w:fill="auto"/>
            <w:vAlign w:val="bottom"/>
          </w:tcPr>
          <w:p w14:paraId="50538CEA"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r>
      <w:tr w:rsidR="009F1019" w14:paraId="1436B1CB" w14:textId="77777777" w:rsidTr="00AD3FA2">
        <w:trPr>
          <w:trHeight w:val="299"/>
        </w:trPr>
        <w:tc>
          <w:tcPr>
            <w:tcW w:w="2500" w:type="dxa"/>
            <w:tcBorders>
              <w:top w:val="nil"/>
              <w:left w:val="single" w:sz="4" w:space="0" w:color="000000"/>
              <w:bottom w:val="nil"/>
              <w:right w:val="nil"/>
            </w:tcBorders>
            <w:shd w:val="clear" w:color="auto" w:fill="auto"/>
            <w:vAlign w:val="bottom"/>
          </w:tcPr>
          <w:p w14:paraId="4CE73D43"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5E260C21"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nil"/>
              <w:right w:val="nil"/>
            </w:tcBorders>
            <w:shd w:val="clear" w:color="auto" w:fill="auto"/>
            <w:vAlign w:val="bottom"/>
          </w:tcPr>
          <w:p w14:paraId="74AC3131"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Relevant</w:t>
            </w:r>
          </w:p>
        </w:tc>
        <w:tc>
          <w:tcPr>
            <w:tcW w:w="656" w:type="dxa"/>
            <w:tcBorders>
              <w:top w:val="nil"/>
              <w:left w:val="nil"/>
              <w:bottom w:val="nil"/>
              <w:right w:val="single" w:sz="4" w:space="0" w:color="000000"/>
            </w:tcBorders>
            <w:shd w:val="clear" w:color="auto" w:fill="auto"/>
            <w:vAlign w:val="bottom"/>
          </w:tcPr>
          <w:p w14:paraId="0CE81186"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168</w:t>
            </w:r>
          </w:p>
        </w:tc>
        <w:tc>
          <w:tcPr>
            <w:tcW w:w="1561" w:type="dxa"/>
            <w:tcBorders>
              <w:top w:val="nil"/>
              <w:left w:val="nil"/>
              <w:bottom w:val="nil"/>
              <w:right w:val="nil"/>
            </w:tcBorders>
            <w:shd w:val="clear" w:color="auto" w:fill="auto"/>
            <w:vAlign w:val="bottom"/>
          </w:tcPr>
          <w:p w14:paraId="3DF50ABC"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Neutral</w:t>
            </w:r>
          </w:p>
        </w:tc>
        <w:tc>
          <w:tcPr>
            <w:tcW w:w="1173" w:type="dxa"/>
            <w:tcBorders>
              <w:top w:val="nil"/>
              <w:left w:val="nil"/>
              <w:bottom w:val="nil"/>
              <w:right w:val="single" w:sz="4" w:space="0" w:color="000000"/>
            </w:tcBorders>
            <w:shd w:val="clear" w:color="auto" w:fill="auto"/>
            <w:vAlign w:val="bottom"/>
          </w:tcPr>
          <w:p w14:paraId="7CA9ABF4"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164</w:t>
            </w:r>
          </w:p>
        </w:tc>
      </w:tr>
      <w:tr w:rsidR="009F1019" w14:paraId="015F723B" w14:textId="77777777" w:rsidTr="00AD3FA2">
        <w:trPr>
          <w:trHeight w:val="299"/>
        </w:trPr>
        <w:tc>
          <w:tcPr>
            <w:tcW w:w="2500" w:type="dxa"/>
            <w:tcBorders>
              <w:top w:val="nil"/>
              <w:left w:val="single" w:sz="4" w:space="0" w:color="000000"/>
              <w:bottom w:val="nil"/>
              <w:right w:val="nil"/>
            </w:tcBorders>
            <w:shd w:val="clear" w:color="auto" w:fill="auto"/>
            <w:vAlign w:val="bottom"/>
          </w:tcPr>
          <w:p w14:paraId="114F7FDB"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31E8B67F"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nil"/>
              <w:right w:val="nil"/>
            </w:tcBorders>
            <w:shd w:val="clear" w:color="auto" w:fill="auto"/>
            <w:vAlign w:val="bottom"/>
          </w:tcPr>
          <w:p w14:paraId="47ADF9FB"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785BF5D6"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561" w:type="dxa"/>
            <w:tcBorders>
              <w:top w:val="nil"/>
              <w:left w:val="nil"/>
              <w:bottom w:val="nil"/>
              <w:right w:val="nil"/>
            </w:tcBorders>
            <w:shd w:val="clear" w:color="auto" w:fill="auto"/>
            <w:vAlign w:val="bottom"/>
          </w:tcPr>
          <w:p w14:paraId="7AF302E8"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Supporting</w:t>
            </w:r>
          </w:p>
        </w:tc>
        <w:tc>
          <w:tcPr>
            <w:tcW w:w="1173" w:type="dxa"/>
            <w:tcBorders>
              <w:top w:val="nil"/>
              <w:left w:val="nil"/>
              <w:bottom w:val="nil"/>
              <w:right w:val="single" w:sz="4" w:space="0" w:color="000000"/>
            </w:tcBorders>
            <w:shd w:val="clear" w:color="auto" w:fill="auto"/>
            <w:vAlign w:val="bottom"/>
          </w:tcPr>
          <w:p w14:paraId="57C37B56"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1</w:t>
            </w:r>
          </w:p>
        </w:tc>
      </w:tr>
      <w:tr w:rsidR="009F1019" w14:paraId="51C4A147" w14:textId="77777777" w:rsidTr="00AD3FA2">
        <w:trPr>
          <w:trHeight w:val="299"/>
        </w:trPr>
        <w:tc>
          <w:tcPr>
            <w:tcW w:w="2500" w:type="dxa"/>
            <w:tcBorders>
              <w:top w:val="nil"/>
              <w:left w:val="single" w:sz="4" w:space="0" w:color="000000"/>
              <w:bottom w:val="single" w:sz="4" w:space="0" w:color="000000"/>
              <w:right w:val="nil"/>
            </w:tcBorders>
            <w:shd w:val="clear" w:color="auto" w:fill="auto"/>
            <w:vAlign w:val="bottom"/>
          </w:tcPr>
          <w:p w14:paraId="45ADE8B2"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single" w:sz="4" w:space="0" w:color="000000"/>
              <w:right w:val="single" w:sz="4" w:space="0" w:color="000000"/>
            </w:tcBorders>
            <w:shd w:val="clear" w:color="auto" w:fill="auto"/>
            <w:vAlign w:val="bottom"/>
          </w:tcPr>
          <w:p w14:paraId="3BC4D566"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single" w:sz="4" w:space="0" w:color="000000"/>
              <w:right w:val="nil"/>
            </w:tcBorders>
            <w:shd w:val="clear" w:color="auto" w:fill="auto"/>
            <w:vAlign w:val="bottom"/>
          </w:tcPr>
          <w:p w14:paraId="093B7C1B"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single" w:sz="4" w:space="0" w:color="000000"/>
              <w:right w:val="single" w:sz="4" w:space="0" w:color="000000"/>
            </w:tcBorders>
            <w:shd w:val="clear" w:color="auto" w:fill="auto"/>
            <w:vAlign w:val="bottom"/>
          </w:tcPr>
          <w:p w14:paraId="4A14C750"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561" w:type="dxa"/>
            <w:tcBorders>
              <w:top w:val="nil"/>
              <w:left w:val="nil"/>
              <w:bottom w:val="single" w:sz="4" w:space="0" w:color="000000"/>
              <w:right w:val="nil"/>
            </w:tcBorders>
            <w:shd w:val="clear" w:color="auto" w:fill="auto"/>
            <w:vAlign w:val="bottom"/>
          </w:tcPr>
          <w:p w14:paraId="1A2F280C"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Rejecting</w:t>
            </w:r>
          </w:p>
        </w:tc>
        <w:tc>
          <w:tcPr>
            <w:tcW w:w="1173" w:type="dxa"/>
            <w:tcBorders>
              <w:top w:val="nil"/>
              <w:left w:val="nil"/>
              <w:bottom w:val="single" w:sz="4" w:space="0" w:color="000000"/>
              <w:right w:val="single" w:sz="4" w:space="0" w:color="000000"/>
            </w:tcBorders>
            <w:shd w:val="clear" w:color="auto" w:fill="auto"/>
            <w:vAlign w:val="bottom"/>
          </w:tcPr>
          <w:p w14:paraId="1E2021FD"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3</w:t>
            </w:r>
          </w:p>
        </w:tc>
      </w:tr>
      <w:tr w:rsidR="009F1019" w14:paraId="4AC4B119" w14:textId="77777777" w:rsidTr="00AD3FA2">
        <w:trPr>
          <w:trHeight w:val="299"/>
        </w:trPr>
        <w:tc>
          <w:tcPr>
            <w:tcW w:w="2500" w:type="dxa"/>
            <w:tcBorders>
              <w:top w:val="nil"/>
              <w:left w:val="single" w:sz="4" w:space="0" w:color="000000"/>
              <w:bottom w:val="nil"/>
              <w:right w:val="nil"/>
            </w:tcBorders>
            <w:shd w:val="clear" w:color="auto" w:fill="auto"/>
            <w:vAlign w:val="bottom"/>
          </w:tcPr>
          <w:p w14:paraId="7F6C0DBC"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Endorsing</w:t>
            </w:r>
          </w:p>
        </w:tc>
        <w:tc>
          <w:tcPr>
            <w:tcW w:w="656" w:type="dxa"/>
            <w:tcBorders>
              <w:top w:val="nil"/>
              <w:left w:val="nil"/>
              <w:bottom w:val="nil"/>
              <w:right w:val="single" w:sz="4" w:space="0" w:color="000000"/>
            </w:tcBorders>
            <w:shd w:val="clear" w:color="auto" w:fill="auto"/>
            <w:vAlign w:val="bottom"/>
          </w:tcPr>
          <w:p w14:paraId="6F57E98B"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346</w:t>
            </w:r>
          </w:p>
        </w:tc>
        <w:tc>
          <w:tcPr>
            <w:tcW w:w="2784" w:type="dxa"/>
            <w:tcBorders>
              <w:top w:val="nil"/>
              <w:left w:val="nil"/>
              <w:bottom w:val="nil"/>
              <w:right w:val="nil"/>
            </w:tcBorders>
            <w:shd w:val="clear" w:color="auto" w:fill="auto"/>
            <w:vAlign w:val="bottom"/>
          </w:tcPr>
          <w:p w14:paraId="1AA76A44"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Non-Relevant</w:t>
            </w:r>
          </w:p>
        </w:tc>
        <w:tc>
          <w:tcPr>
            <w:tcW w:w="656" w:type="dxa"/>
            <w:tcBorders>
              <w:top w:val="nil"/>
              <w:left w:val="nil"/>
              <w:bottom w:val="nil"/>
              <w:right w:val="single" w:sz="4" w:space="0" w:color="000000"/>
            </w:tcBorders>
            <w:shd w:val="clear" w:color="auto" w:fill="auto"/>
            <w:vAlign w:val="bottom"/>
          </w:tcPr>
          <w:p w14:paraId="23A4746B"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294</w:t>
            </w:r>
          </w:p>
        </w:tc>
        <w:tc>
          <w:tcPr>
            <w:tcW w:w="1561" w:type="dxa"/>
            <w:tcBorders>
              <w:top w:val="nil"/>
              <w:left w:val="nil"/>
              <w:bottom w:val="nil"/>
              <w:right w:val="nil"/>
            </w:tcBorders>
            <w:shd w:val="clear" w:color="auto" w:fill="auto"/>
            <w:vAlign w:val="bottom"/>
          </w:tcPr>
          <w:p w14:paraId="7712EBCF"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173" w:type="dxa"/>
            <w:tcBorders>
              <w:top w:val="nil"/>
              <w:left w:val="nil"/>
              <w:bottom w:val="nil"/>
              <w:right w:val="single" w:sz="4" w:space="0" w:color="000000"/>
            </w:tcBorders>
            <w:shd w:val="clear" w:color="auto" w:fill="auto"/>
            <w:vAlign w:val="bottom"/>
          </w:tcPr>
          <w:p w14:paraId="2BED5438"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r>
      <w:tr w:rsidR="009F1019" w14:paraId="7F2B714F" w14:textId="77777777" w:rsidTr="00AD3FA2">
        <w:trPr>
          <w:trHeight w:val="299"/>
        </w:trPr>
        <w:tc>
          <w:tcPr>
            <w:tcW w:w="2500" w:type="dxa"/>
            <w:tcBorders>
              <w:top w:val="nil"/>
              <w:left w:val="single" w:sz="4" w:space="0" w:color="000000"/>
              <w:bottom w:val="nil"/>
              <w:right w:val="nil"/>
            </w:tcBorders>
            <w:shd w:val="clear" w:color="auto" w:fill="auto"/>
            <w:vAlign w:val="bottom"/>
          </w:tcPr>
          <w:p w14:paraId="76CAF43B"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630867B4"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nil"/>
              <w:right w:val="nil"/>
            </w:tcBorders>
            <w:shd w:val="clear" w:color="auto" w:fill="auto"/>
            <w:vAlign w:val="bottom"/>
          </w:tcPr>
          <w:p w14:paraId="547F505D"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Relevant</w:t>
            </w:r>
          </w:p>
        </w:tc>
        <w:tc>
          <w:tcPr>
            <w:tcW w:w="656" w:type="dxa"/>
            <w:tcBorders>
              <w:top w:val="nil"/>
              <w:left w:val="nil"/>
              <w:bottom w:val="nil"/>
              <w:right w:val="single" w:sz="4" w:space="0" w:color="000000"/>
            </w:tcBorders>
            <w:shd w:val="clear" w:color="auto" w:fill="auto"/>
            <w:vAlign w:val="bottom"/>
          </w:tcPr>
          <w:p w14:paraId="333ACFCF"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52</w:t>
            </w:r>
          </w:p>
        </w:tc>
        <w:tc>
          <w:tcPr>
            <w:tcW w:w="1561" w:type="dxa"/>
            <w:tcBorders>
              <w:top w:val="nil"/>
              <w:left w:val="nil"/>
              <w:bottom w:val="nil"/>
              <w:right w:val="nil"/>
            </w:tcBorders>
            <w:shd w:val="clear" w:color="auto" w:fill="auto"/>
            <w:vAlign w:val="bottom"/>
          </w:tcPr>
          <w:p w14:paraId="724311BC"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Neutral</w:t>
            </w:r>
          </w:p>
        </w:tc>
        <w:tc>
          <w:tcPr>
            <w:tcW w:w="1173" w:type="dxa"/>
            <w:tcBorders>
              <w:top w:val="nil"/>
              <w:left w:val="nil"/>
              <w:bottom w:val="nil"/>
              <w:right w:val="single" w:sz="4" w:space="0" w:color="000000"/>
            </w:tcBorders>
            <w:shd w:val="clear" w:color="auto" w:fill="auto"/>
            <w:vAlign w:val="bottom"/>
          </w:tcPr>
          <w:p w14:paraId="120C5BD3"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42</w:t>
            </w:r>
          </w:p>
        </w:tc>
      </w:tr>
      <w:tr w:rsidR="009F1019" w14:paraId="6AFEC164" w14:textId="77777777" w:rsidTr="00AD3FA2">
        <w:trPr>
          <w:trHeight w:val="299"/>
        </w:trPr>
        <w:tc>
          <w:tcPr>
            <w:tcW w:w="2500" w:type="dxa"/>
            <w:tcBorders>
              <w:top w:val="nil"/>
              <w:left w:val="single" w:sz="4" w:space="0" w:color="000000"/>
              <w:bottom w:val="nil"/>
              <w:right w:val="nil"/>
            </w:tcBorders>
            <w:shd w:val="clear" w:color="auto" w:fill="auto"/>
            <w:vAlign w:val="bottom"/>
          </w:tcPr>
          <w:p w14:paraId="40A6E4BA"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5DA18551"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nil"/>
              <w:right w:val="nil"/>
            </w:tcBorders>
            <w:shd w:val="clear" w:color="auto" w:fill="auto"/>
            <w:vAlign w:val="bottom"/>
          </w:tcPr>
          <w:p w14:paraId="188454C9"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27B56D20"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561" w:type="dxa"/>
            <w:tcBorders>
              <w:top w:val="nil"/>
              <w:left w:val="nil"/>
              <w:bottom w:val="nil"/>
              <w:right w:val="nil"/>
            </w:tcBorders>
            <w:shd w:val="clear" w:color="auto" w:fill="auto"/>
            <w:vAlign w:val="bottom"/>
          </w:tcPr>
          <w:p w14:paraId="762830C0"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Supporting</w:t>
            </w:r>
          </w:p>
        </w:tc>
        <w:tc>
          <w:tcPr>
            <w:tcW w:w="1173" w:type="dxa"/>
            <w:tcBorders>
              <w:top w:val="nil"/>
              <w:left w:val="nil"/>
              <w:bottom w:val="nil"/>
              <w:right w:val="single" w:sz="4" w:space="0" w:color="000000"/>
            </w:tcBorders>
            <w:shd w:val="clear" w:color="auto" w:fill="auto"/>
            <w:vAlign w:val="bottom"/>
          </w:tcPr>
          <w:p w14:paraId="7EE32491"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7</w:t>
            </w:r>
          </w:p>
        </w:tc>
      </w:tr>
      <w:tr w:rsidR="009F1019" w14:paraId="38A401D7" w14:textId="77777777" w:rsidTr="00AD3FA2">
        <w:trPr>
          <w:trHeight w:val="299"/>
        </w:trPr>
        <w:tc>
          <w:tcPr>
            <w:tcW w:w="2500" w:type="dxa"/>
            <w:tcBorders>
              <w:top w:val="nil"/>
              <w:left w:val="single" w:sz="4" w:space="0" w:color="000000"/>
              <w:bottom w:val="single" w:sz="4" w:space="0" w:color="000000"/>
              <w:right w:val="nil"/>
            </w:tcBorders>
            <w:shd w:val="clear" w:color="auto" w:fill="auto"/>
            <w:vAlign w:val="bottom"/>
          </w:tcPr>
          <w:p w14:paraId="4A4DF6C3"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single" w:sz="4" w:space="0" w:color="000000"/>
              <w:right w:val="single" w:sz="4" w:space="0" w:color="000000"/>
            </w:tcBorders>
            <w:shd w:val="clear" w:color="auto" w:fill="auto"/>
            <w:vAlign w:val="bottom"/>
          </w:tcPr>
          <w:p w14:paraId="2C008429"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single" w:sz="4" w:space="0" w:color="000000"/>
              <w:right w:val="nil"/>
            </w:tcBorders>
            <w:shd w:val="clear" w:color="auto" w:fill="auto"/>
            <w:vAlign w:val="bottom"/>
          </w:tcPr>
          <w:p w14:paraId="2ADAF342"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single" w:sz="4" w:space="0" w:color="000000"/>
              <w:right w:val="single" w:sz="4" w:space="0" w:color="000000"/>
            </w:tcBorders>
            <w:shd w:val="clear" w:color="auto" w:fill="auto"/>
            <w:vAlign w:val="bottom"/>
          </w:tcPr>
          <w:p w14:paraId="2CB30711"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561" w:type="dxa"/>
            <w:tcBorders>
              <w:top w:val="nil"/>
              <w:left w:val="nil"/>
              <w:bottom w:val="single" w:sz="4" w:space="0" w:color="000000"/>
              <w:right w:val="nil"/>
            </w:tcBorders>
            <w:shd w:val="clear" w:color="auto" w:fill="auto"/>
            <w:vAlign w:val="bottom"/>
          </w:tcPr>
          <w:p w14:paraId="6B22D3B7"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Rejecting</w:t>
            </w:r>
          </w:p>
        </w:tc>
        <w:tc>
          <w:tcPr>
            <w:tcW w:w="1173" w:type="dxa"/>
            <w:tcBorders>
              <w:top w:val="nil"/>
              <w:left w:val="nil"/>
              <w:bottom w:val="single" w:sz="4" w:space="0" w:color="000000"/>
              <w:right w:val="single" w:sz="4" w:space="0" w:color="000000"/>
            </w:tcBorders>
            <w:shd w:val="clear" w:color="auto" w:fill="auto"/>
            <w:vAlign w:val="bottom"/>
          </w:tcPr>
          <w:p w14:paraId="32210AB1"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3</w:t>
            </w:r>
          </w:p>
        </w:tc>
      </w:tr>
      <w:tr w:rsidR="009F1019" w14:paraId="34180C6E" w14:textId="77777777" w:rsidTr="00AD3FA2">
        <w:trPr>
          <w:trHeight w:val="299"/>
        </w:trPr>
        <w:tc>
          <w:tcPr>
            <w:tcW w:w="2500" w:type="dxa"/>
            <w:tcBorders>
              <w:top w:val="nil"/>
              <w:left w:val="single" w:sz="4" w:space="0" w:color="000000"/>
              <w:bottom w:val="nil"/>
              <w:right w:val="nil"/>
            </w:tcBorders>
            <w:shd w:val="clear" w:color="auto" w:fill="auto"/>
            <w:vAlign w:val="bottom"/>
          </w:tcPr>
          <w:p w14:paraId="06E77145"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Rejecting</w:t>
            </w:r>
          </w:p>
        </w:tc>
        <w:tc>
          <w:tcPr>
            <w:tcW w:w="656" w:type="dxa"/>
            <w:tcBorders>
              <w:top w:val="nil"/>
              <w:left w:val="nil"/>
              <w:bottom w:val="nil"/>
              <w:right w:val="single" w:sz="4" w:space="0" w:color="000000"/>
            </w:tcBorders>
            <w:shd w:val="clear" w:color="auto" w:fill="auto"/>
            <w:vAlign w:val="bottom"/>
          </w:tcPr>
          <w:p w14:paraId="77F12793"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16</w:t>
            </w:r>
          </w:p>
        </w:tc>
        <w:tc>
          <w:tcPr>
            <w:tcW w:w="2784" w:type="dxa"/>
            <w:tcBorders>
              <w:top w:val="nil"/>
              <w:left w:val="nil"/>
              <w:bottom w:val="nil"/>
              <w:right w:val="nil"/>
            </w:tcBorders>
            <w:shd w:val="clear" w:color="auto" w:fill="auto"/>
            <w:vAlign w:val="bottom"/>
          </w:tcPr>
          <w:p w14:paraId="7988257D"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Non-Relevant</w:t>
            </w:r>
          </w:p>
        </w:tc>
        <w:tc>
          <w:tcPr>
            <w:tcW w:w="656" w:type="dxa"/>
            <w:tcBorders>
              <w:top w:val="nil"/>
              <w:left w:val="nil"/>
              <w:bottom w:val="nil"/>
              <w:right w:val="single" w:sz="4" w:space="0" w:color="000000"/>
            </w:tcBorders>
            <w:shd w:val="clear" w:color="auto" w:fill="auto"/>
            <w:vAlign w:val="bottom"/>
          </w:tcPr>
          <w:p w14:paraId="77132C9C"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1561" w:type="dxa"/>
            <w:tcBorders>
              <w:top w:val="nil"/>
              <w:left w:val="nil"/>
              <w:bottom w:val="nil"/>
              <w:right w:val="nil"/>
            </w:tcBorders>
            <w:shd w:val="clear" w:color="auto" w:fill="auto"/>
            <w:vAlign w:val="bottom"/>
          </w:tcPr>
          <w:p w14:paraId="35A354C8"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173" w:type="dxa"/>
            <w:tcBorders>
              <w:top w:val="nil"/>
              <w:left w:val="nil"/>
              <w:bottom w:val="nil"/>
              <w:right w:val="single" w:sz="4" w:space="0" w:color="000000"/>
            </w:tcBorders>
            <w:shd w:val="clear" w:color="auto" w:fill="auto"/>
            <w:vAlign w:val="bottom"/>
          </w:tcPr>
          <w:p w14:paraId="55F85D17"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r>
      <w:tr w:rsidR="009F1019" w14:paraId="37D72449" w14:textId="77777777" w:rsidTr="00AD3FA2">
        <w:trPr>
          <w:trHeight w:val="299"/>
        </w:trPr>
        <w:tc>
          <w:tcPr>
            <w:tcW w:w="2500" w:type="dxa"/>
            <w:tcBorders>
              <w:top w:val="nil"/>
              <w:left w:val="single" w:sz="4" w:space="0" w:color="000000"/>
              <w:bottom w:val="nil"/>
              <w:right w:val="nil"/>
            </w:tcBorders>
            <w:shd w:val="clear" w:color="auto" w:fill="auto"/>
            <w:vAlign w:val="bottom"/>
          </w:tcPr>
          <w:p w14:paraId="19A19FF8"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6882B5EC"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nil"/>
              <w:right w:val="nil"/>
            </w:tcBorders>
            <w:shd w:val="clear" w:color="auto" w:fill="auto"/>
            <w:vAlign w:val="bottom"/>
          </w:tcPr>
          <w:p w14:paraId="798A0DDA"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Relevant</w:t>
            </w:r>
          </w:p>
        </w:tc>
        <w:tc>
          <w:tcPr>
            <w:tcW w:w="656" w:type="dxa"/>
            <w:tcBorders>
              <w:top w:val="nil"/>
              <w:left w:val="nil"/>
              <w:bottom w:val="nil"/>
              <w:right w:val="single" w:sz="4" w:space="0" w:color="000000"/>
            </w:tcBorders>
            <w:shd w:val="clear" w:color="auto" w:fill="auto"/>
            <w:vAlign w:val="bottom"/>
          </w:tcPr>
          <w:p w14:paraId="40424C59"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14</w:t>
            </w:r>
          </w:p>
        </w:tc>
        <w:tc>
          <w:tcPr>
            <w:tcW w:w="1561" w:type="dxa"/>
            <w:tcBorders>
              <w:top w:val="nil"/>
              <w:left w:val="nil"/>
              <w:bottom w:val="nil"/>
              <w:right w:val="nil"/>
            </w:tcBorders>
            <w:shd w:val="clear" w:color="auto" w:fill="auto"/>
            <w:vAlign w:val="bottom"/>
          </w:tcPr>
          <w:p w14:paraId="4A77B864"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Neutral</w:t>
            </w:r>
          </w:p>
        </w:tc>
        <w:tc>
          <w:tcPr>
            <w:tcW w:w="1173" w:type="dxa"/>
            <w:tcBorders>
              <w:top w:val="nil"/>
              <w:left w:val="nil"/>
              <w:bottom w:val="nil"/>
              <w:right w:val="single" w:sz="4" w:space="0" w:color="000000"/>
            </w:tcBorders>
            <w:shd w:val="clear" w:color="auto" w:fill="auto"/>
            <w:vAlign w:val="bottom"/>
          </w:tcPr>
          <w:p w14:paraId="6DE9A7CC"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9</w:t>
            </w:r>
          </w:p>
        </w:tc>
      </w:tr>
      <w:tr w:rsidR="009F1019" w14:paraId="3BB1EAF9" w14:textId="77777777" w:rsidTr="00AD3FA2">
        <w:trPr>
          <w:trHeight w:val="299"/>
        </w:trPr>
        <w:tc>
          <w:tcPr>
            <w:tcW w:w="2500" w:type="dxa"/>
            <w:tcBorders>
              <w:top w:val="nil"/>
              <w:left w:val="single" w:sz="4" w:space="0" w:color="000000"/>
              <w:bottom w:val="nil"/>
              <w:right w:val="nil"/>
            </w:tcBorders>
            <w:shd w:val="clear" w:color="auto" w:fill="auto"/>
            <w:vAlign w:val="bottom"/>
          </w:tcPr>
          <w:p w14:paraId="5397E301"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04EC7914"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nil"/>
              <w:right w:val="nil"/>
            </w:tcBorders>
            <w:shd w:val="clear" w:color="auto" w:fill="auto"/>
            <w:vAlign w:val="bottom"/>
          </w:tcPr>
          <w:p w14:paraId="7EEDB453"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nil"/>
              <w:right w:val="single" w:sz="4" w:space="0" w:color="000000"/>
            </w:tcBorders>
            <w:shd w:val="clear" w:color="auto" w:fill="auto"/>
            <w:vAlign w:val="bottom"/>
          </w:tcPr>
          <w:p w14:paraId="002BDFF9"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561" w:type="dxa"/>
            <w:tcBorders>
              <w:top w:val="nil"/>
              <w:left w:val="nil"/>
              <w:bottom w:val="nil"/>
              <w:right w:val="nil"/>
            </w:tcBorders>
            <w:shd w:val="clear" w:color="auto" w:fill="auto"/>
            <w:vAlign w:val="bottom"/>
          </w:tcPr>
          <w:p w14:paraId="2E3C04D6"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Supporting</w:t>
            </w:r>
          </w:p>
        </w:tc>
        <w:tc>
          <w:tcPr>
            <w:tcW w:w="1173" w:type="dxa"/>
            <w:tcBorders>
              <w:top w:val="nil"/>
              <w:left w:val="nil"/>
              <w:bottom w:val="nil"/>
              <w:right w:val="single" w:sz="4" w:space="0" w:color="000000"/>
            </w:tcBorders>
            <w:shd w:val="clear" w:color="auto" w:fill="auto"/>
            <w:vAlign w:val="bottom"/>
          </w:tcPr>
          <w:p w14:paraId="4F92541E"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9F1019" w14:paraId="7BC7F34C" w14:textId="77777777" w:rsidTr="00AD3FA2">
        <w:trPr>
          <w:trHeight w:val="299"/>
        </w:trPr>
        <w:tc>
          <w:tcPr>
            <w:tcW w:w="2500" w:type="dxa"/>
            <w:tcBorders>
              <w:top w:val="nil"/>
              <w:left w:val="single" w:sz="4" w:space="0" w:color="000000"/>
              <w:bottom w:val="single" w:sz="4" w:space="0" w:color="000000"/>
              <w:right w:val="nil"/>
            </w:tcBorders>
            <w:shd w:val="clear" w:color="auto" w:fill="auto"/>
            <w:vAlign w:val="bottom"/>
          </w:tcPr>
          <w:p w14:paraId="339037C3"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single" w:sz="4" w:space="0" w:color="000000"/>
              <w:right w:val="single" w:sz="4" w:space="0" w:color="000000"/>
            </w:tcBorders>
            <w:shd w:val="clear" w:color="auto" w:fill="auto"/>
            <w:vAlign w:val="bottom"/>
          </w:tcPr>
          <w:p w14:paraId="3EB7FD7F"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2784" w:type="dxa"/>
            <w:tcBorders>
              <w:top w:val="nil"/>
              <w:left w:val="nil"/>
              <w:bottom w:val="single" w:sz="4" w:space="0" w:color="000000"/>
              <w:right w:val="nil"/>
            </w:tcBorders>
            <w:shd w:val="clear" w:color="auto" w:fill="auto"/>
            <w:vAlign w:val="bottom"/>
          </w:tcPr>
          <w:p w14:paraId="3384B9D1"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656" w:type="dxa"/>
            <w:tcBorders>
              <w:top w:val="nil"/>
              <w:left w:val="nil"/>
              <w:bottom w:val="single" w:sz="4" w:space="0" w:color="000000"/>
              <w:right w:val="single" w:sz="4" w:space="0" w:color="000000"/>
            </w:tcBorders>
            <w:shd w:val="clear" w:color="auto" w:fill="auto"/>
            <w:vAlign w:val="bottom"/>
          </w:tcPr>
          <w:p w14:paraId="05D9681D"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 </w:t>
            </w:r>
          </w:p>
        </w:tc>
        <w:tc>
          <w:tcPr>
            <w:tcW w:w="1561" w:type="dxa"/>
            <w:tcBorders>
              <w:top w:val="nil"/>
              <w:left w:val="nil"/>
              <w:bottom w:val="single" w:sz="4" w:space="0" w:color="000000"/>
              <w:right w:val="nil"/>
            </w:tcBorders>
            <w:shd w:val="clear" w:color="auto" w:fill="auto"/>
            <w:vAlign w:val="bottom"/>
          </w:tcPr>
          <w:p w14:paraId="007BC435" w14:textId="77777777" w:rsidR="009F1019" w:rsidRDefault="009F1019" w:rsidP="00AD3FA2">
            <w:pPr>
              <w:spacing w:line="360" w:lineRule="auto"/>
              <w:rPr>
                <w:rFonts w:ascii="Times New Roman" w:eastAsia="Times New Roman" w:hAnsi="Times New Roman" w:cs="Times New Roman"/>
              </w:rPr>
            </w:pPr>
            <w:r>
              <w:rPr>
                <w:rFonts w:ascii="Times New Roman" w:eastAsia="Times New Roman" w:hAnsi="Times New Roman" w:cs="Times New Roman"/>
              </w:rPr>
              <w:t>Rejecting</w:t>
            </w:r>
          </w:p>
        </w:tc>
        <w:tc>
          <w:tcPr>
            <w:tcW w:w="1173" w:type="dxa"/>
            <w:tcBorders>
              <w:top w:val="nil"/>
              <w:left w:val="nil"/>
              <w:bottom w:val="single" w:sz="4" w:space="0" w:color="000000"/>
              <w:right w:val="single" w:sz="4" w:space="0" w:color="000000"/>
            </w:tcBorders>
            <w:shd w:val="clear" w:color="auto" w:fill="auto"/>
            <w:vAlign w:val="bottom"/>
          </w:tcPr>
          <w:p w14:paraId="2722C40D" w14:textId="77777777" w:rsidR="009F1019" w:rsidRDefault="009F1019" w:rsidP="00AD3FA2">
            <w:pPr>
              <w:spacing w:line="360" w:lineRule="auto"/>
              <w:jc w:val="right"/>
              <w:rPr>
                <w:rFonts w:ascii="Times New Roman" w:eastAsia="Times New Roman" w:hAnsi="Times New Roman" w:cs="Times New Roman"/>
              </w:rPr>
            </w:pPr>
            <w:r>
              <w:rPr>
                <w:rFonts w:ascii="Times New Roman" w:eastAsia="Times New Roman" w:hAnsi="Times New Roman" w:cs="Times New Roman"/>
              </w:rPr>
              <w:t>5</w:t>
            </w:r>
          </w:p>
        </w:tc>
      </w:tr>
    </w:tbl>
    <w:p w14:paraId="40CDA860" w14:textId="77777777" w:rsidR="009F1019" w:rsidRDefault="009F1019" w:rsidP="009F1019">
      <w:pPr>
        <w:spacing w:after="240" w:line="360" w:lineRule="auto"/>
        <w:jc w:val="both"/>
        <w:rPr>
          <w:rFonts w:ascii="Times New Roman" w:eastAsia="Times New Roman" w:hAnsi="Times New Roman" w:cs="Times New Roman"/>
          <w:sz w:val="24"/>
          <w:szCs w:val="24"/>
        </w:rPr>
      </w:pPr>
    </w:p>
    <w:p w14:paraId="2CC1538D" w14:textId="4D1CFF55" w:rsidR="009F1019" w:rsidRPr="00A15909" w:rsidRDefault="009F1019" w:rsidP="009F1019">
      <w:pPr>
        <w:spacing w:line="360" w:lineRule="auto"/>
        <w:jc w:val="both"/>
        <w:rPr>
          <w:rFonts w:ascii="Times New Roman" w:eastAsia="Times New Roman" w:hAnsi="Times New Roman" w:cs="Times New Roman"/>
          <w:color w:val="000000"/>
          <w:sz w:val="24"/>
          <w:szCs w:val="24"/>
          <w:lang w:val="en-US" w:eastAsia="en-DE"/>
        </w:rPr>
      </w:pPr>
      <w:r w:rsidRPr="00553899">
        <w:rPr>
          <w:rFonts w:ascii="Times New Roman" w:eastAsia="Times New Roman" w:hAnsi="Times New Roman" w:cs="Times New Roman"/>
          <w:b/>
          <w:bCs/>
          <w:color w:val="000000"/>
          <w:sz w:val="24"/>
          <w:szCs w:val="24"/>
          <w:lang w:val="en-DE" w:eastAsia="en-DE"/>
        </w:rPr>
        <w:t xml:space="preserve">Table </w:t>
      </w:r>
      <w:r w:rsidR="00013CCE">
        <w:rPr>
          <w:rFonts w:ascii="Times New Roman" w:eastAsia="Times New Roman" w:hAnsi="Times New Roman" w:cs="Times New Roman"/>
          <w:b/>
          <w:bCs/>
          <w:color w:val="000000"/>
          <w:sz w:val="24"/>
          <w:szCs w:val="24"/>
          <w:lang w:val="en-US" w:eastAsia="en-DE"/>
        </w:rPr>
        <w:t>4</w:t>
      </w:r>
      <w:r w:rsidRPr="00553899">
        <w:rPr>
          <w:rFonts w:ascii="Times New Roman" w:eastAsia="Times New Roman" w:hAnsi="Times New Roman" w:cs="Times New Roman"/>
          <w:b/>
          <w:bCs/>
          <w:color w:val="000000"/>
          <w:sz w:val="24"/>
          <w:szCs w:val="24"/>
          <w:lang w:val="en-DE" w:eastAsia="en-DE"/>
        </w:rPr>
        <w:t xml:space="preserve">: </w:t>
      </w:r>
      <w:r w:rsidRPr="00553899">
        <w:rPr>
          <w:rFonts w:ascii="Times New Roman" w:eastAsia="Times New Roman" w:hAnsi="Times New Roman" w:cs="Times New Roman"/>
          <w:color w:val="000000"/>
          <w:sz w:val="24"/>
          <w:szCs w:val="24"/>
          <w:lang w:val="en-DE" w:eastAsia="en-DE"/>
        </w:rPr>
        <w:t>Summary of the key results o</w:t>
      </w:r>
      <w:r>
        <w:rPr>
          <w:rFonts w:ascii="Times New Roman" w:eastAsia="Times New Roman" w:hAnsi="Times New Roman" w:cs="Times New Roman"/>
          <w:color w:val="000000"/>
          <w:sz w:val="24"/>
          <w:szCs w:val="24"/>
          <w:lang w:val="en-US" w:eastAsia="en-DE"/>
        </w:rPr>
        <w:t>n</w:t>
      </w:r>
      <w:r w:rsidRPr="00553899">
        <w:rPr>
          <w:rFonts w:ascii="Times New Roman" w:eastAsia="Times New Roman" w:hAnsi="Times New Roman" w:cs="Times New Roman"/>
          <w:color w:val="000000"/>
          <w:sz w:val="24"/>
          <w:szCs w:val="24"/>
          <w:lang w:val="en-DE" w:eastAsia="en-DE"/>
        </w:rPr>
        <w:t xml:space="preserve"> AGW </w:t>
      </w:r>
      <w:r>
        <w:rPr>
          <w:rFonts w:ascii="Times New Roman" w:eastAsia="Times New Roman" w:hAnsi="Times New Roman" w:cs="Times New Roman"/>
          <w:color w:val="000000"/>
          <w:sz w:val="24"/>
          <w:szCs w:val="24"/>
          <w:lang w:val="en-US" w:eastAsia="en-DE"/>
        </w:rPr>
        <w:t>according to</w:t>
      </w:r>
      <w:r w:rsidRPr="00553899">
        <w:rPr>
          <w:rFonts w:ascii="Times New Roman" w:eastAsia="Times New Roman" w:hAnsi="Times New Roman" w:cs="Times New Roman"/>
          <w:color w:val="000000"/>
          <w:sz w:val="24"/>
          <w:szCs w:val="24"/>
          <w:lang w:val="en-DE" w:eastAsia="en-DE"/>
        </w:rPr>
        <w:t xml:space="preserve"> Cook and </w:t>
      </w:r>
      <w:r w:rsidR="00283F3F">
        <w:rPr>
          <w:rFonts w:ascii="Times New Roman" w:eastAsia="Times New Roman" w:hAnsi="Times New Roman" w:cs="Times New Roman"/>
          <w:color w:val="000000"/>
          <w:sz w:val="24"/>
          <w:szCs w:val="24"/>
          <w:lang w:val="en-US" w:eastAsia="en-DE"/>
        </w:rPr>
        <w:t xml:space="preserve">the </w:t>
      </w:r>
      <w:r w:rsidR="004B6E81">
        <w:rPr>
          <w:rFonts w:ascii="Times New Roman" w:eastAsia="Times New Roman" w:hAnsi="Times New Roman" w:cs="Times New Roman"/>
          <w:color w:val="000000"/>
          <w:sz w:val="24"/>
          <w:szCs w:val="24"/>
          <w:lang w:val="en-US" w:eastAsia="en-DE"/>
        </w:rPr>
        <w:t>D</w:t>
      </w:r>
      <w:r w:rsidR="00283F3F">
        <w:rPr>
          <w:rFonts w:ascii="Times New Roman" w:eastAsia="Times New Roman" w:hAnsi="Times New Roman" w:cs="Times New Roman"/>
          <w:color w:val="000000"/>
          <w:sz w:val="24"/>
          <w:szCs w:val="24"/>
          <w:lang w:val="en-US" w:eastAsia="en-DE"/>
        </w:rPr>
        <w:t>ata-cent</w:t>
      </w:r>
      <w:r w:rsidR="00C077BD">
        <w:rPr>
          <w:rFonts w:ascii="Times New Roman" w:eastAsia="Times New Roman" w:hAnsi="Times New Roman" w:cs="Times New Roman"/>
          <w:color w:val="000000"/>
          <w:sz w:val="24"/>
          <w:szCs w:val="24"/>
          <w:lang w:val="en-US" w:eastAsia="en-DE"/>
        </w:rPr>
        <w:t>e</w:t>
      </w:r>
      <w:r w:rsidR="00283F3F">
        <w:rPr>
          <w:rFonts w:ascii="Times New Roman" w:eastAsia="Times New Roman" w:hAnsi="Times New Roman" w:cs="Times New Roman"/>
          <w:color w:val="000000"/>
          <w:sz w:val="24"/>
          <w:szCs w:val="24"/>
          <w:lang w:val="en-US" w:eastAsia="en-DE"/>
        </w:rPr>
        <w:t>r</w:t>
      </w:r>
      <w:r w:rsidR="00C077BD">
        <w:rPr>
          <w:rFonts w:ascii="Times New Roman" w:eastAsia="Times New Roman" w:hAnsi="Times New Roman" w:cs="Times New Roman"/>
          <w:color w:val="000000"/>
          <w:sz w:val="24"/>
          <w:szCs w:val="24"/>
          <w:lang w:val="en-US" w:eastAsia="en-DE"/>
        </w:rPr>
        <w:t>ed</w:t>
      </w:r>
      <w:r w:rsidRPr="00553899">
        <w:rPr>
          <w:rFonts w:ascii="Times New Roman" w:eastAsia="Times New Roman" w:hAnsi="Times New Roman" w:cs="Times New Roman"/>
          <w:color w:val="000000"/>
          <w:sz w:val="24"/>
          <w:szCs w:val="24"/>
          <w:lang w:val="en-DE" w:eastAsia="en-DE"/>
        </w:rPr>
        <w:t xml:space="preserve"> assessments</w:t>
      </w:r>
      <w:r>
        <w:rPr>
          <w:rFonts w:ascii="Times New Roman" w:eastAsia="Times New Roman" w:hAnsi="Times New Roman" w:cs="Times New Roman"/>
          <w:color w:val="000000"/>
          <w:sz w:val="24"/>
          <w:szCs w:val="24"/>
          <w:lang w:val="en-US" w:eastAsia="en-DE"/>
        </w:rPr>
        <w:t>.</w:t>
      </w:r>
    </w:p>
    <w:p w14:paraId="0FAF188D" w14:textId="77777777" w:rsidR="009F1019" w:rsidRPr="00553899" w:rsidRDefault="009F1019" w:rsidP="009F1019">
      <w:pPr>
        <w:spacing w:line="360" w:lineRule="auto"/>
        <w:rPr>
          <w:rFonts w:ascii="Times New Roman" w:eastAsia="Times New Roman" w:hAnsi="Times New Roman" w:cs="Times New Roman"/>
          <w:sz w:val="24"/>
          <w:szCs w:val="24"/>
          <w:lang w:val="en-DE" w:eastAsia="en-DE"/>
        </w:rPr>
      </w:pPr>
    </w:p>
    <w:tbl>
      <w:tblPr>
        <w:tblW w:w="9480" w:type="dxa"/>
        <w:tblCellMar>
          <w:top w:w="15" w:type="dxa"/>
          <w:left w:w="15" w:type="dxa"/>
          <w:bottom w:w="15" w:type="dxa"/>
          <w:right w:w="15" w:type="dxa"/>
        </w:tblCellMar>
        <w:tblLook w:val="04A0" w:firstRow="1" w:lastRow="0" w:firstColumn="1" w:lastColumn="0" w:noHBand="0" w:noVBand="1"/>
      </w:tblPr>
      <w:tblGrid>
        <w:gridCol w:w="2160"/>
        <w:gridCol w:w="1158"/>
        <w:gridCol w:w="1157"/>
        <w:gridCol w:w="1173"/>
        <w:gridCol w:w="1286"/>
        <w:gridCol w:w="1302"/>
        <w:gridCol w:w="1244"/>
      </w:tblGrid>
      <w:tr w:rsidR="009F1019" w:rsidRPr="00553899" w14:paraId="4C876A55" w14:textId="77777777" w:rsidTr="00AD3FA2">
        <w:trPr>
          <w:trHeight w:val="518"/>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D81E9" w14:textId="77777777" w:rsidR="009F1019" w:rsidRPr="00A15909" w:rsidRDefault="009F1019" w:rsidP="00AD3FA2">
            <w:pPr>
              <w:spacing w:before="240" w:after="240" w:line="360" w:lineRule="auto"/>
              <w:rPr>
                <w:rFonts w:ascii="Times New Roman" w:eastAsia="Times New Roman" w:hAnsi="Times New Roman" w:cs="Times New Roman"/>
                <w:color w:val="000000"/>
                <w:sz w:val="24"/>
                <w:szCs w:val="24"/>
                <w:lang w:val="en-US" w:eastAsia="en-DE"/>
              </w:rPr>
            </w:pPr>
            <w:r w:rsidRPr="00553899">
              <w:rPr>
                <w:rFonts w:ascii="Times New Roman" w:eastAsia="Times New Roman" w:hAnsi="Times New Roman" w:cs="Times New Roman"/>
                <w:color w:val="000000"/>
                <w:sz w:val="24"/>
                <w:szCs w:val="24"/>
                <w:lang w:val="en-DE" w:eastAsia="en-DE"/>
              </w:rPr>
              <w:t>Year</w:t>
            </w:r>
            <w:r>
              <w:rPr>
                <w:rFonts w:ascii="Times New Roman" w:eastAsia="Times New Roman" w:hAnsi="Times New Roman" w:cs="Times New Roman"/>
                <w:color w:val="000000"/>
                <w:sz w:val="24"/>
                <w:szCs w:val="24"/>
                <w:lang w:val="en-US" w:eastAsia="en-DE"/>
              </w:rPr>
              <w:t xml:space="preserve"> (September) </w:t>
            </w:r>
          </w:p>
        </w:tc>
        <w:tc>
          <w:tcPr>
            <w:tcW w:w="1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D9352" w14:textId="77777777" w:rsidR="009F1019" w:rsidRPr="0084665C" w:rsidRDefault="009F1019" w:rsidP="00AD3FA2">
            <w:pPr>
              <w:spacing w:before="240" w:after="240" w:line="360" w:lineRule="auto"/>
              <w:jc w:val="center"/>
              <w:rPr>
                <w:rFonts w:ascii="Times New Roman" w:eastAsia="Times New Roman" w:hAnsi="Times New Roman" w:cs="Times New Roman"/>
                <w:color w:val="000000"/>
                <w:sz w:val="24"/>
                <w:szCs w:val="24"/>
                <w:lang w:val="en-DE" w:eastAsia="en-DE"/>
              </w:rPr>
            </w:pPr>
            <w:r w:rsidRPr="00553899">
              <w:rPr>
                <w:rFonts w:ascii="Times New Roman" w:eastAsia="Times New Roman" w:hAnsi="Times New Roman" w:cs="Times New Roman"/>
                <w:color w:val="000000"/>
                <w:sz w:val="24"/>
                <w:szCs w:val="24"/>
                <w:lang w:val="en-DE" w:eastAsia="en-DE"/>
              </w:rPr>
              <w:t>1991</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99C2A" w14:textId="77777777" w:rsidR="009F1019" w:rsidRDefault="009F1019" w:rsidP="00AD3FA2">
            <w:pPr>
              <w:spacing w:before="240" w:after="240" w:line="360" w:lineRule="auto"/>
              <w:jc w:val="center"/>
              <w:rPr>
                <w:rFonts w:ascii="Times New Roman" w:eastAsia="Times New Roman" w:hAnsi="Times New Roman" w:cs="Times New Roman"/>
                <w:color w:val="000000"/>
                <w:sz w:val="24"/>
                <w:szCs w:val="24"/>
                <w:lang w:val="en-DE" w:eastAsia="en-DE"/>
              </w:rPr>
            </w:pPr>
            <w:r w:rsidRPr="00553899">
              <w:rPr>
                <w:rFonts w:ascii="Times New Roman" w:eastAsia="Times New Roman" w:hAnsi="Times New Roman" w:cs="Times New Roman"/>
                <w:color w:val="000000"/>
                <w:sz w:val="24"/>
                <w:szCs w:val="24"/>
                <w:lang w:val="en-DE" w:eastAsia="en-DE"/>
              </w:rPr>
              <w:t>1995</w:t>
            </w:r>
          </w:p>
          <w:p w14:paraId="6538B5F9" w14:textId="77777777" w:rsidR="009F1019" w:rsidRPr="00A15909" w:rsidRDefault="009F1019" w:rsidP="00AD3FA2">
            <w:pPr>
              <w:spacing w:before="240" w:after="240" w:line="360" w:lineRule="auto"/>
              <w:jc w:val="center"/>
              <w:rPr>
                <w:rFonts w:ascii="Times New Roman" w:eastAsia="Times New Roman" w:hAnsi="Times New Roman" w:cs="Times New Roman"/>
                <w:sz w:val="24"/>
                <w:szCs w:val="24"/>
                <w:lang w:val="en-US" w:eastAsia="en-DE"/>
              </w:rPr>
            </w:pP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9EC92" w14:textId="77777777" w:rsidR="009F1019" w:rsidRDefault="009F1019" w:rsidP="00AD3FA2">
            <w:pPr>
              <w:spacing w:before="240" w:after="240" w:line="360" w:lineRule="auto"/>
              <w:jc w:val="center"/>
              <w:rPr>
                <w:rFonts w:ascii="Times New Roman" w:eastAsia="Times New Roman" w:hAnsi="Times New Roman" w:cs="Times New Roman"/>
                <w:color w:val="000000"/>
                <w:sz w:val="24"/>
                <w:szCs w:val="24"/>
                <w:lang w:val="en-DE" w:eastAsia="en-DE"/>
              </w:rPr>
            </w:pPr>
            <w:r w:rsidRPr="00553899">
              <w:rPr>
                <w:rFonts w:ascii="Times New Roman" w:eastAsia="Times New Roman" w:hAnsi="Times New Roman" w:cs="Times New Roman"/>
                <w:color w:val="000000"/>
                <w:sz w:val="24"/>
                <w:szCs w:val="24"/>
                <w:lang w:val="en-DE" w:eastAsia="en-DE"/>
              </w:rPr>
              <w:t>1999</w:t>
            </w:r>
          </w:p>
          <w:p w14:paraId="50E57215" w14:textId="77777777" w:rsidR="009F1019" w:rsidRPr="00A15909" w:rsidRDefault="009F1019" w:rsidP="00AD3FA2">
            <w:pPr>
              <w:spacing w:before="240" w:after="240" w:line="360" w:lineRule="auto"/>
              <w:jc w:val="center"/>
              <w:rPr>
                <w:rFonts w:ascii="Times New Roman" w:eastAsia="Times New Roman" w:hAnsi="Times New Roman" w:cs="Times New Roman"/>
                <w:sz w:val="24"/>
                <w:szCs w:val="24"/>
                <w:lang w:val="en-US" w:eastAsia="en-DE"/>
              </w:rPr>
            </w:pP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66FB1" w14:textId="77777777" w:rsidR="009F1019" w:rsidRDefault="009F1019" w:rsidP="00AD3FA2">
            <w:pPr>
              <w:spacing w:before="240" w:after="240" w:line="360" w:lineRule="auto"/>
              <w:jc w:val="center"/>
              <w:rPr>
                <w:rFonts w:ascii="Times New Roman" w:eastAsia="Times New Roman" w:hAnsi="Times New Roman" w:cs="Times New Roman"/>
                <w:color w:val="000000"/>
                <w:sz w:val="24"/>
                <w:szCs w:val="24"/>
                <w:lang w:val="en-DE" w:eastAsia="en-DE"/>
              </w:rPr>
            </w:pPr>
            <w:r w:rsidRPr="00553899">
              <w:rPr>
                <w:rFonts w:ascii="Times New Roman" w:eastAsia="Times New Roman" w:hAnsi="Times New Roman" w:cs="Times New Roman"/>
                <w:color w:val="000000"/>
                <w:sz w:val="24"/>
                <w:szCs w:val="24"/>
                <w:lang w:val="en-DE" w:eastAsia="en-DE"/>
              </w:rPr>
              <w:t>2009</w:t>
            </w:r>
          </w:p>
          <w:p w14:paraId="48078788" w14:textId="77777777" w:rsidR="009F1019" w:rsidRPr="00A15909" w:rsidRDefault="009F1019" w:rsidP="00AD3FA2">
            <w:pPr>
              <w:spacing w:before="240" w:after="240" w:line="360" w:lineRule="auto"/>
              <w:jc w:val="center"/>
              <w:rPr>
                <w:rFonts w:ascii="Times New Roman" w:eastAsia="Times New Roman" w:hAnsi="Times New Roman" w:cs="Times New Roman"/>
                <w:sz w:val="24"/>
                <w:szCs w:val="24"/>
                <w:lang w:val="en-US" w:eastAsia="en-DE"/>
              </w:rPr>
            </w:pP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74904" w14:textId="77777777" w:rsidR="009F1019" w:rsidRDefault="009F1019" w:rsidP="00AD3FA2">
            <w:pPr>
              <w:spacing w:before="240" w:after="240" w:line="360" w:lineRule="auto"/>
              <w:jc w:val="center"/>
              <w:rPr>
                <w:rFonts w:ascii="Times New Roman" w:eastAsia="Times New Roman" w:hAnsi="Times New Roman" w:cs="Times New Roman"/>
                <w:color w:val="000000"/>
                <w:sz w:val="24"/>
                <w:szCs w:val="24"/>
                <w:lang w:val="en-DE" w:eastAsia="en-DE"/>
              </w:rPr>
            </w:pPr>
            <w:r w:rsidRPr="00553899">
              <w:rPr>
                <w:rFonts w:ascii="Times New Roman" w:eastAsia="Times New Roman" w:hAnsi="Times New Roman" w:cs="Times New Roman"/>
                <w:color w:val="000000"/>
                <w:sz w:val="24"/>
                <w:szCs w:val="24"/>
                <w:lang w:val="en-DE" w:eastAsia="en-DE"/>
              </w:rPr>
              <w:t>2019</w:t>
            </w:r>
          </w:p>
          <w:p w14:paraId="3AE90BC6" w14:textId="77777777" w:rsidR="009F1019" w:rsidRPr="00A15909" w:rsidRDefault="009F1019" w:rsidP="00AD3FA2">
            <w:pPr>
              <w:spacing w:before="240" w:after="240" w:line="360" w:lineRule="auto"/>
              <w:jc w:val="center"/>
              <w:rPr>
                <w:rFonts w:ascii="Times New Roman" w:eastAsia="Times New Roman" w:hAnsi="Times New Roman" w:cs="Times New Roman"/>
                <w:sz w:val="24"/>
                <w:szCs w:val="24"/>
                <w:lang w:val="en-US" w:eastAsia="en-DE"/>
              </w:rPr>
            </w:pP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5854C" w14:textId="77777777" w:rsidR="009F1019" w:rsidRPr="0084665C" w:rsidRDefault="009F1019" w:rsidP="00AD3FA2">
            <w:pPr>
              <w:spacing w:before="240" w:after="240" w:line="360" w:lineRule="auto"/>
              <w:jc w:val="center"/>
              <w:rPr>
                <w:rFonts w:ascii="Times New Roman" w:eastAsia="Times New Roman" w:hAnsi="Times New Roman" w:cs="Times New Roman"/>
                <w:color w:val="000000"/>
                <w:sz w:val="24"/>
                <w:szCs w:val="24"/>
                <w:lang w:val="en-DE" w:eastAsia="en-DE"/>
              </w:rPr>
            </w:pPr>
            <w:r w:rsidRPr="00553899">
              <w:rPr>
                <w:rFonts w:ascii="Times New Roman" w:eastAsia="Times New Roman" w:hAnsi="Times New Roman" w:cs="Times New Roman"/>
                <w:color w:val="000000"/>
                <w:sz w:val="24"/>
                <w:szCs w:val="24"/>
                <w:lang w:val="en-DE" w:eastAsia="en-DE"/>
              </w:rPr>
              <w:t>Overall</w:t>
            </w:r>
          </w:p>
        </w:tc>
      </w:tr>
      <w:tr w:rsidR="009F1019" w:rsidRPr="00553899" w14:paraId="64BA4850" w14:textId="77777777" w:rsidTr="00AD3FA2">
        <w:trPr>
          <w:trHeight w:val="518"/>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721CA" w14:textId="77777777" w:rsidR="009F1019" w:rsidRPr="00553899" w:rsidRDefault="009F1019" w:rsidP="00AD3FA2">
            <w:pPr>
              <w:spacing w:before="240" w:after="240" w:line="360" w:lineRule="auto"/>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color w:val="000000"/>
                <w:sz w:val="24"/>
                <w:szCs w:val="24"/>
                <w:lang w:val="en-US" w:eastAsia="en-DE"/>
              </w:rPr>
              <w:t>No. of viable papers</w:t>
            </w:r>
          </w:p>
        </w:tc>
        <w:tc>
          <w:tcPr>
            <w:tcW w:w="1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7ECDD" w14:textId="77777777" w:rsidR="009F1019" w:rsidRPr="00553899" w:rsidRDefault="009F1019" w:rsidP="00AD3FA2">
            <w:pPr>
              <w:spacing w:before="240" w:after="240" w:line="360" w:lineRule="auto"/>
              <w:jc w:val="center"/>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sz w:val="24"/>
                <w:szCs w:val="24"/>
                <w:lang w:val="en-US" w:eastAsia="en-DE"/>
              </w:rPr>
              <w:t>18</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6DA1D" w14:textId="77777777" w:rsidR="009F1019" w:rsidRPr="00553899" w:rsidRDefault="009F1019" w:rsidP="00AD3FA2">
            <w:pPr>
              <w:spacing w:before="240" w:after="240" w:line="360" w:lineRule="auto"/>
              <w:jc w:val="center"/>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sz w:val="24"/>
                <w:szCs w:val="24"/>
                <w:lang w:val="en-US" w:eastAsia="en-DE"/>
              </w:rPr>
              <w:t>15</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76BA" w14:textId="77777777" w:rsidR="009F1019" w:rsidRPr="00553899" w:rsidRDefault="009F1019" w:rsidP="00AD3FA2">
            <w:pPr>
              <w:spacing w:before="240" w:after="240" w:line="360" w:lineRule="auto"/>
              <w:jc w:val="center"/>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sz w:val="24"/>
                <w:szCs w:val="24"/>
                <w:lang w:val="en-US" w:eastAsia="en-DE"/>
              </w:rPr>
              <w:t>83</w:t>
            </w: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9C8DC" w14:textId="77777777" w:rsidR="009F1019" w:rsidRPr="00553899" w:rsidRDefault="009F1019" w:rsidP="00AD3FA2">
            <w:pPr>
              <w:spacing w:before="240" w:after="240" w:line="360" w:lineRule="auto"/>
              <w:jc w:val="center"/>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color w:val="000000"/>
                <w:sz w:val="24"/>
                <w:szCs w:val="24"/>
                <w:lang w:val="en-US" w:eastAsia="en-DE"/>
              </w:rPr>
              <w:t>666</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B9389" w14:textId="77777777" w:rsidR="009F1019" w:rsidRPr="00553899" w:rsidRDefault="009F1019" w:rsidP="00AD3FA2">
            <w:pPr>
              <w:spacing w:before="240" w:after="240" w:line="360" w:lineRule="auto"/>
              <w:jc w:val="center"/>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color w:val="000000"/>
                <w:sz w:val="24"/>
                <w:szCs w:val="24"/>
                <w:lang w:val="en-US" w:eastAsia="en-DE"/>
              </w:rPr>
              <w:t>1925</w:t>
            </w: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7D319" w14:textId="77777777" w:rsidR="009F1019" w:rsidRPr="00553899" w:rsidRDefault="009F1019" w:rsidP="00AD3FA2">
            <w:pPr>
              <w:spacing w:before="240" w:after="240" w:line="360" w:lineRule="auto"/>
              <w:jc w:val="center"/>
              <w:rPr>
                <w:rFonts w:ascii="Times New Roman" w:eastAsia="Times New Roman" w:hAnsi="Times New Roman" w:cs="Times New Roman"/>
                <w:color w:val="000000"/>
                <w:sz w:val="24"/>
                <w:szCs w:val="24"/>
                <w:lang w:val="en-DE" w:eastAsia="en-DE"/>
              </w:rPr>
            </w:pPr>
            <w:r>
              <w:rPr>
                <w:rFonts w:ascii="Times New Roman" w:eastAsia="Times New Roman" w:hAnsi="Times New Roman" w:cs="Times New Roman"/>
                <w:sz w:val="24"/>
                <w:szCs w:val="24"/>
                <w:lang w:val="en-US" w:eastAsia="en-DE"/>
              </w:rPr>
              <w:t>2707</w:t>
            </w:r>
          </w:p>
        </w:tc>
      </w:tr>
      <w:tr w:rsidR="009F1019" w:rsidRPr="00553899" w14:paraId="4AE7AA4A" w14:textId="77777777" w:rsidTr="00AD3FA2">
        <w:trPr>
          <w:trHeight w:val="905"/>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503EC" w14:textId="77777777" w:rsidR="009F1019" w:rsidRPr="00E978BB" w:rsidRDefault="009F1019" w:rsidP="00AD3FA2">
            <w:pPr>
              <w:spacing w:before="240" w:after="240" w:line="360" w:lineRule="auto"/>
              <w:rPr>
                <w:rFonts w:ascii="Times New Roman" w:eastAsia="Times New Roman" w:hAnsi="Times New Roman" w:cs="Times New Roman"/>
                <w:sz w:val="24"/>
                <w:szCs w:val="24"/>
                <w:lang w:val="en-US" w:eastAsia="en-DE"/>
              </w:rPr>
            </w:pPr>
            <w:r w:rsidRPr="00553899">
              <w:rPr>
                <w:rFonts w:ascii="Times New Roman" w:eastAsia="Times New Roman" w:hAnsi="Times New Roman" w:cs="Times New Roman"/>
                <w:color w:val="000000"/>
                <w:sz w:val="24"/>
                <w:szCs w:val="24"/>
                <w:lang w:val="en-DE" w:eastAsia="en-DE"/>
              </w:rPr>
              <w:t>AGW support in abstract</w:t>
            </w:r>
            <w:r>
              <w:rPr>
                <w:rFonts w:ascii="Times New Roman" w:eastAsia="Times New Roman" w:hAnsi="Times New Roman" w:cs="Times New Roman"/>
                <w:color w:val="000000"/>
                <w:sz w:val="24"/>
                <w:szCs w:val="24"/>
                <w:lang w:val="en-US" w:eastAsia="en-DE"/>
              </w:rPr>
              <w:t xml:space="preserve"> (Cook methodology) </w:t>
            </w:r>
          </w:p>
        </w:tc>
        <w:tc>
          <w:tcPr>
            <w:tcW w:w="1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44CEC" w14:textId="77777777" w:rsidR="009F1019" w:rsidRPr="00553899" w:rsidRDefault="009F1019" w:rsidP="00AD3FA2">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100%</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7F1EC" w14:textId="77777777" w:rsidR="009F1019" w:rsidRPr="00553899" w:rsidRDefault="009F1019" w:rsidP="00AD3FA2">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88% </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8ABB2" w14:textId="77777777" w:rsidR="009F1019" w:rsidRPr="00553899" w:rsidRDefault="009F1019" w:rsidP="00AD3FA2">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 xml:space="preserve"> 80%</w:t>
            </w: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FB802" w14:textId="77777777" w:rsidR="009F1019" w:rsidRPr="00553899" w:rsidRDefault="009F1019" w:rsidP="00AD3FA2">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93%</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3230E" w14:textId="77777777" w:rsidR="009F1019" w:rsidRPr="00553899" w:rsidRDefault="009F1019" w:rsidP="00AD3FA2">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96%</w:t>
            </w: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4B384" w14:textId="77777777" w:rsidR="009F1019" w:rsidRPr="00553899" w:rsidRDefault="009F1019" w:rsidP="00AD3FA2">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94% </w:t>
            </w:r>
          </w:p>
        </w:tc>
      </w:tr>
      <w:tr w:rsidR="009F1019" w:rsidRPr="00553899" w14:paraId="2AFC280D" w14:textId="77777777" w:rsidTr="00AD3FA2">
        <w:trPr>
          <w:trHeight w:val="1167"/>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CC2D5" w14:textId="5991FAB0" w:rsidR="009F1019" w:rsidRPr="00E978BB" w:rsidRDefault="009F1019" w:rsidP="00AD3FA2">
            <w:pPr>
              <w:spacing w:before="240" w:after="240" w:line="360" w:lineRule="auto"/>
              <w:rPr>
                <w:rFonts w:ascii="Times New Roman" w:eastAsia="Times New Roman" w:hAnsi="Times New Roman" w:cs="Times New Roman"/>
                <w:sz w:val="24"/>
                <w:szCs w:val="24"/>
                <w:lang w:val="en-US" w:eastAsia="en-DE"/>
              </w:rPr>
            </w:pPr>
            <w:r>
              <w:rPr>
                <w:rFonts w:ascii="Times New Roman" w:eastAsia="Times New Roman" w:hAnsi="Times New Roman" w:cs="Times New Roman"/>
                <w:color w:val="000000"/>
                <w:sz w:val="24"/>
                <w:szCs w:val="24"/>
                <w:lang w:val="en-US" w:eastAsia="en-DE"/>
              </w:rPr>
              <w:t>Data supporting</w:t>
            </w:r>
            <w:r w:rsidRPr="00553899">
              <w:rPr>
                <w:rFonts w:ascii="Times New Roman" w:eastAsia="Times New Roman" w:hAnsi="Times New Roman" w:cs="Times New Roman"/>
                <w:color w:val="000000"/>
                <w:sz w:val="24"/>
                <w:szCs w:val="24"/>
                <w:lang w:val="en-DE" w:eastAsia="en-DE"/>
              </w:rPr>
              <w:t xml:space="preserve"> AGW</w:t>
            </w:r>
            <w:r>
              <w:rPr>
                <w:rFonts w:ascii="Times New Roman" w:eastAsia="Times New Roman" w:hAnsi="Times New Roman" w:cs="Times New Roman"/>
                <w:color w:val="000000"/>
                <w:sz w:val="24"/>
                <w:szCs w:val="24"/>
                <w:lang w:val="en-US" w:eastAsia="en-DE"/>
              </w:rPr>
              <w:t xml:space="preserve"> </w:t>
            </w:r>
            <w:r w:rsidR="00283F3F">
              <w:rPr>
                <w:rFonts w:ascii="Times New Roman" w:eastAsia="Times New Roman" w:hAnsi="Times New Roman" w:cs="Times New Roman"/>
                <w:color w:val="000000"/>
                <w:sz w:val="24"/>
                <w:szCs w:val="24"/>
                <w:lang w:val="en-US" w:eastAsia="en-DE"/>
              </w:rPr>
              <w:t>(data-centric methodology)</w:t>
            </w:r>
          </w:p>
        </w:tc>
        <w:tc>
          <w:tcPr>
            <w:tcW w:w="11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B3913" w14:textId="77777777" w:rsidR="009F1019" w:rsidRPr="00553899" w:rsidRDefault="009F1019" w:rsidP="00AD3FA2">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0%</w:t>
            </w:r>
          </w:p>
        </w:tc>
        <w:tc>
          <w:tcPr>
            <w:tcW w:w="1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9639F" w14:textId="77777777" w:rsidR="009F1019" w:rsidRPr="00553899" w:rsidRDefault="009F1019" w:rsidP="00AD3FA2">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 xml:space="preserve"> 0%</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CF9CD0" w14:textId="77777777" w:rsidR="009F1019" w:rsidRPr="00553899" w:rsidRDefault="009F1019" w:rsidP="00AD3FA2">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0% </w:t>
            </w:r>
          </w:p>
        </w:tc>
        <w:tc>
          <w:tcPr>
            <w:tcW w:w="1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F8711" w14:textId="77777777" w:rsidR="009F1019" w:rsidRPr="00553899" w:rsidRDefault="009F1019" w:rsidP="00AD3FA2">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7.7%</w:t>
            </w:r>
          </w:p>
        </w:tc>
        <w:tc>
          <w:tcPr>
            <w:tcW w:w="13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D7729" w14:textId="77777777" w:rsidR="009F1019" w:rsidRPr="00553899" w:rsidRDefault="009F1019" w:rsidP="00AD3FA2">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8.3%</w:t>
            </w:r>
          </w:p>
        </w:tc>
        <w:tc>
          <w:tcPr>
            <w:tcW w:w="1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12D85" w14:textId="77777777" w:rsidR="009F1019" w:rsidRPr="00553899" w:rsidRDefault="009F1019" w:rsidP="00AD3FA2">
            <w:pPr>
              <w:spacing w:before="240" w:after="240" w:line="360" w:lineRule="auto"/>
              <w:jc w:val="center"/>
              <w:rPr>
                <w:rFonts w:ascii="Times New Roman" w:eastAsia="Times New Roman" w:hAnsi="Times New Roman" w:cs="Times New Roman"/>
                <w:sz w:val="24"/>
                <w:szCs w:val="24"/>
                <w:lang w:val="en-DE" w:eastAsia="en-DE"/>
              </w:rPr>
            </w:pPr>
            <w:r w:rsidRPr="00553899">
              <w:rPr>
                <w:rFonts w:ascii="Times New Roman" w:eastAsia="Times New Roman" w:hAnsi="Times New Roman" w:cs="Times New Roman"/>
                <w:color w:val="000000"/>
                <w:sz w:val="24"/>
                <w:szCs w:val="24"/>
                <w:lang w:val="en-DE" w:eastAsia="en-DE"/>
              </w:rPr>
              <w:t xml:space="preserve"> 4%</w:t>
            </w:r>
          </w:p>
        </w:tc>
      </w:tr>
    </w:tbl>
    <w:p w14:paraId="7846FD19" w14:textId="77777777" w:rsidR="008A6F8C" w:rsidRDefault="008A6F8C"/>
    <w:sectPr w:rsidR="008A6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019"/>
    <w:rsid w:val="00013CCE"/>
    <w:rsid w:val="00283F3F"/>
    <w:rsid w:val="004B6E81"/>
    <w:rsid w:val="005E652B"/>
    <w:rsid w:val="008A6F8C"/>
    <w:rsid w:val="009F1019"/>
    <w:rsid w:val="00C077BD"/>
    <w:rsid w:val="00FA0B23"/>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3C4E"/>
  <w15:chartTrackingRefBased/>
  <w15:docId w15:val="{D8421048-578F-49BA-BF9F-9A6F4043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019"/>
    <w:pPr>
      <w:spacing w:after="0" w:line="276" w:lineRule="auto"/>
    </w:pPr>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Relook</dc:creator>
  <cp:keywords/>
  <dc:description/>
  <cp:lastModifiedBy>Ade Relook</cp:lastModifiedBy>
  <cp:revision>5</cp:revision>
  <dcterms:created xsi:type="dcterms:W3CDTF">2021-05-21T13:21:00Z</dcterms:created>
  <dcterms:modified xsi:type="dcterms:W3CDTF">2021-05-28T12:57:00Z</dcterms:modified>
</cp:coreProperties>
</file>