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04D706" w14:textId="77777777" w:rsidR="002A72BF" w:rsidRPr="00D906D3" w:rsidRDefault="002A72BF" w:rsidP="002A72BF">
      <w:pPr>
        <w:rPr>
          <w:b/>
          <w:bCs/>
        </w:rPr>
      </w:pPr>
      <w:r w:rsidRPr="00D906D3">
        <w:rPr>
          <w:b/>
          <w:bCs/>
        </w:rPr>
        <w:t>Methods</w:t>
      </w:r>
    </w:p>
    <w:p w14:paraId="43B9D03B" w14:textId="77777777" w:rsidR="002A72BF" w:rsidRPr="00D906D3" w:rsidRDefault="002A72BF" w:rsidP="002A72BF">
      <w:r w:rsidRPr="00D906D3">
        <w:t xml:space="preserve">We built linear mixed models using the R package lme4 </w:t>
      </w:r>
      <w:r w:rsidRPr="00D906D3">
        <w:fldChar w:fldCharType="begin"/>
      </w:r>
      <w:r w:rsidRPr="00D906D3">
        <w:instrText xml:space="preserve"> ADDIN ZOTERO_ITEM CSL_CITATION {"citationID":"9FMliedk","properties":{"formattedCitation":"(Bates et al., 2015)","plainCitation":"(Bates et al., 2015)","noteIndex":0},"citationItems":[{"id":2787,"uris":["http://zotero.org/users/local/PH6y1fne/items/C2MTC8P6"],"uri":["http://zotero.org/users/local/PH6y1fne/items/C2MTC8P6"],"itemData":{"id":2787,"type":"article-journal","abstract":"Maximum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lmer.","container-title":"Journal of Statistical Software","DOI":"10.18637/jss.v067.i01","issue":"1","page":"1-48","title":"Fitting Linear Mixed-Effects Models Using lme4","volume":"67","author":[{"family":"Bates","given":"Douglas"},{"family":"Mächler","given":"Martin"},{"family":"Bolker","given":"Ben"},{"family":"Walker","given":"Steve"}],"issued":{"date-parts":[["2015"]]}}}],"schema":"https://github.com/citation-style-language/schema/raw/master/csl-citation.json"} </w:instrText>
      </w:r>
      <w:r w:rsidRPr="00D906D3">
        <w:fldChar w:fldCharType="separate"/>
      </w:r>
      <w:r w:rsidRPr="00D906D3">
        <w:rPr>
          <w:noProof/>
        </w:rPr>
        <w:t>(Bates et al., 2015)</w:t>
      </w:r>
      <w:r w:rsidRPr="00D906D3">
        <w:fldChar w:fldCharType="end"/>
      </w:r>
      <w:r w:rsidRPr="00D906D3">
        <w:t xml:space="preserve">, in association with the R package </w:t>
      </w:r>
      <w:proofErr w:type="spellStart"/>
      <w:r w:rsidRPr="00D906D3">
        <w:t>blme</w:t>
      </w:r>
      <w:proofErr w:type="spellEnd"/>
      <w:r w:rsidRPr="00D906D3">
        <w:t xml:space="preserve"> </w:t>
      </w:r>
      <w:r w:rsidRPr="00D906D3">
        <w:fldChar w:fldCharType="begin"/>
      </w:r>
      <w:r w:rsidRPr="00D906D3">
        <w:instrText xml:space="preserve"> ADDIN ZOTERO_ITEM CSL_CITATION {"citationID":"G23OoAD2","properties":{"formattedCitation":"(Chung et al., 2013)","plainCitation":"(Chung et al., 2013)","noteIndex":0},"citationItems":[{"id":3268,"uris":["http://zotero.org/users/local/PH6y1fne/items/LPZUJ84A"],"uri":["http://zotero.org/users/local/PH6y1fne/items/LPZUJ84A"],"itemData":{"id":3268,"type":"article-journal","abstract":"Group-level variance estimates of zero often arise when ﬁtting multilevel or hierarchical linear models, especially when the number of groups is small. For situations where zero variances are implausible a priori, we propose a maximum penalized likelihood approach to avoid such boundary estimates. This approach is equivalent to estimating variance parameters by their posterior mode, given a weakly informative prior distribution. By choosing the penalty from the log-gamma family with shape parameter greater than 1, we ensure that the estimated variance will be positive. We suggest a default log-gamma(2, λ) penalty with λ → 0, which ensures that the maximum penalized likelihood estimate is approximately one standard error from zero when the maximum likelihood estimate is zero, thus remaining consistent with the data while being nondegenerate. We also show that the maximum penalized likelihood estimator with this default penalty is a good approximation to the posterior median obtained under a noninformative prior. Our default method provides better estimates of model parameters and standard errors than the maximum likelihood or the restricted maximum likelihood estimators. The log-gamma family can also be used to convey substantive prior information. In either case—pure penalization or prior information—our recommended procedure gives nondegenerate estimates and in the limit coincides with maximum likelihood as the number of groups increases.","container-title":"Psychometrika","DOI":"10.1007/s11336-013-9328-2","ISSN":"0033-3123, 1860-0980","issue":"4","journalAbbreviation":"Psychometrika","language":"en","page":"685-709","source":"DOI.org (Crossref)","title":"A Nondegenerate Penalized Likelihood Estimator for Variance Parameters in Multilevel Models","volume":"78","author":[{"family":"Chung","given":"Yeojin"},{"family":"Rabe-Hesketh","given":"Sophia"},{"family":"Dorie","given":"Vincent"},{"family":"Gelman","given":"Andrew"},{"family":"Liu","given":"Jingchen"}],"issued":{"date-parts":[["2013",10]]}}}],"schema":"https://github.com/citation-style-language/schema/raw/master/csl-citation.json"} </w:instrText>
      </w:r>
      <w:r w:rsidRPr="00D906D3">
        <w:fldChar w:fldCharType="separate"/>
      </w:r>
      <w:r w:rsidRPr="00D906D3">
        <w:t>(Chung et al., 2013)</w:t>
      </w:r>
      <w:r w:rsidRPr="00D906D3">
        <w:fldChar w:fldCharType="end"/>
      </w:r>
      <w:r w:rsidRPr="00D906D3">
        <w:t xml:space="preserve"> when singularity was detected, to investigate the relationships between timing of spring migration and breeding site availability (explanatory variable: average snow-free date from 2001 to 2015 at nesting location). Our response variable representing timing of spring migration was the departure date from the last shared stopover area. Year was included as a random factor.</w:t>
      </w:r>
    </w:p>
    <w:p w14:paraId="3393A48C" w14:textId="5A467643" w:rsidR="002A72BF" w:rsidRPr="00D906D3" w:rsidRDefault="002A72BF" w:rsidP="002A72BF">
      <w:r w:rsidRPr="00D906D3">
        <w:t xml:space="preserve">Although sample size was too low to fully investigate annual variation in the relationships, we reran the analysis using only the three </w:t>
      </w:r>
      <w:r w:rsidRPr="00D906D3">
        <w:rPr>
          <w:color w:val="000000"/>
        </w:rPr>
        <w:t>years with more than five data points (2013, 2014, 2015)</w:t>
      </w:r>
      <w:r w:rsidRPr="00D906D3">
        <w:t xml:space="preserve">. We also built a model with YEAR as random slope to examine if the fit was better. We compared models based on their AIC. </w:t>
      </w:r>
    </w:p>
    <w:p w14:paraId="421C4D80" w14:textId="77777777" w:rsidR="002A72BF" w:rsidRPr="00D906D3" w:rsidRDefault="002A72BF" w:rsidP="002A72BF">
      <w:pPr>
        <w:rPr>
          <w:b/>
          <w:bCs/>
        </w:rPr>
      </w:pPr>
      <w:r w:rsidRPr="00D906D3">
        <w:rPr>
          <w:b/>
          <w:bCs/>
        </w:rPr>
        <w:t>Results</w:t>
      </w:r>
    </w:p>
    <w:p w14:paraId="52D5FBA5" w14:textId="77777777" w:rsidR="002A72BF" w:rsidRPr="00D906D3" w:rsidRDefault="002A72BF" w:rsidP="002A72BF">
      <w:r w:rsidRPr="00D906D3">
        <w:t>The departure date from the last shared stopover area was positively related to the average snow-free date at the nesting location (</w:t>
      </w:r>
      <w:r w:rsidRPr="00D906D3">
        <w:rPr>
          <w:i/>
          <w:iCs/>
        </w:rPr>
        <w:t>B</w:t>
      </w:r>
      <w:r w:rsidRPr="00D906D3">
        <w:t>: 0.25, CI: [0.11, 0.40], n = 23; R</w:t>
      </w:r>
      <w:r w:rsidRPr="00D906D3">
        <w:rPr>
          <w:vertAlign w:val="superscript"/>
        </w:rPr>
        <w:t>2</w:t>
      </w:r>
      <w:r w:rsidRPr="00D906D3">
        <w:t>m=0.31, R</w:t>
      </w:r>
      <w:r w:rsidRPr="00D906D3">
        <w:rPr>
          <w:vertAlign w:val="superscript"/>
        </w:rPr>
        <w:t>2</w:t>
      </w:r>
      <w:r w:rsidRPr="00D906D3">
        <w:t>c=0.57, Figure 3). The relationship remained strong after removing the same individual again identified as an outlier (B: 0.22, CI: [0.11, 0.34], n = 22, R</w:t>
      </w:r>
      <w:r w:rsidRPr="00D906D3">
        <w:rPr>
          <w:vertAlign w:val="superscript"/>
        </w:rPr>
        <w:t>2</w:t>
      </w:r>
      <w:r w:rsidRPr="00D906D3">
        <w:t>m=0.37, R</w:t>
      </w:r>
      <w:r w:rsidRPr="00D906D3">
        <w:rPr>
          <w:vertAlign w:val="superscript"/>
        </w:rPr>
        <w:t>2</w:t>
      </w:r>
      <w:r w:rsidRPr="00D906D3">
        <w:t xml:space="preserve">c=0.59, Figure 4). </w:t>
      </w:r>
    </w:p>
    <w:p w14:paraId="7623C21A" w14:textId="77777777" w:rsidR="002A72BF" w:rsidRPr="00D906D3" w:rsidRDefault="002A72BF" w:rsidP="002A72BF">
      <w:pPr>
        <w:rPr>
          <w:color w:val="000000"/>
        </w:rPr>
      </w:pPr>
      <w:r w:rsidRPr="00D906D3">
        <w:t xml:space="preserve">By keeping only </w:t>
      </w:r>
      <w:r w:rsidRPr="00D906D3">
        <w:rPr>
          <w:color w:val="000000"/>
        </w:rPr>
        <w:t xml:space="preserve">years with more than 5 individuals (2013, 2014, 2015), we found a similar positive relationships </w:t>
      </w:r>
      <w:r w:rsidRPr="00D906D3">
        <w:t>(B: 0.20, CI: [0.11, 0.36], n = 19, R</w:t>
      </w:r>
      <w:r w:rsidRPr="00D906D3">
        <w:rPr>
          <w:vertAlign w:val="superscript"/>
        </w:rPr>
        <w:t>2</w:t>
      </w:r>
      <w:r w:rsidRPr="00D906D3">
        <w:t>m=0.21, R</w:t>
      </w:r>
      <w:r w:rsidRPr="00D906D3">
        <w:rPr>
          <w:vertAlign w:val="superscript"/>
        </w:rPr>
        <w:t>2</w:t>
      </w:r>
      <w:r w:rsidRPr="00D906D3">
        <w:t xml:space="preserve">c=0.70, AIC: 48.27, Figure 4). The model with YEAR as a random slope showed </w:t>
      </w:r>
      <w:r w:rsidRPr="00D906D3">
        <w:rPr>
          <w:color w:val="000000"/>
        </w:rPr>
        <w:t xml:space="preserve">similar positive slopes. However, this was not the best model (AIC of 52.27; </w:t>
      </w:r>
      <w:r w:rsidRPr="00D906D3">
        <w:rPr>
          <w:color w:val="000000"/>
        </w:rPr>
        <w:sym w:font="Symbol" w:char="F044"/>
      </w:r>
      <w:r w:rsidRPr="00D906D3">
        <w:rPr>
          <w:color w:val="000000"/>
        </w:rPr>
        <w:t>AIC: 4.00). Overall, it suggests that slopes and intercepts were similar across years.</w:t>
      </w:r>
    </w:p>
    <w:p w14:paraId="54DA657E" w14:textId="77777777" w:rsidR="002A72BF" w:rsidRPr="00D906D3" w:rsidRDefault="002A72BF" w:rsidP="002A72BF">
      <w:pPr>
        <w:spacing w:after="0"/>
        <w:rPr>
          <w:color w:val="000000"/>
        </w:rPr>
      </w:pPr>
      <w:r w:rsidRPr="00D906D3">
        <w:rPr>
          <w:color w:val="000000"/>
        </w:rPr>
        <w:br w:type="page"/>
      </w:r>
    </w:p>
    <w:p w14:paraId="59746AF6" w14:textId="77777777" w:rsidR="002A72BF" w:rsidRPr="00D906D3" w:rsidRDefault="002A72BF" w:rsidP="002A72BF">
      <w:pPr>
        <w:rPr>
          <w:color w:val="000000"/>
        </w:rPr>
      </w:pPr>
    </w:p>
    <w:p w14:paraId="6238578D" w14:textId="77777777" w:rsidR="002A72BF" w:rsidRPr="00D906D3" w:rsidRDefault="002A72BF" w:rsidP="00A87F88">
      <w:pPr>
        <w:pStyle w:val="CommentText"/>
        <w:jc w:val="center"/>
      </w:pPr>
      <w:r w:rsidRPr="00D906D3">
        <w:rPr>
          <w:noProof/>
          <w:lang w:eastAsia="fr-CA"/>
        </w:rPr>
        <w:drawing>
          <wp:inline distT="0" distB="0" distL="0" distR="0" wp14:anchorId="6686900A" wp14:editId="69E1BB65">
            <wp:extent cx="30480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2683A38D" w14:textId="7AEDFAD8" w:rsidR="002A72BF" w:rsidRPr="00D906D3" w:rsidRDefault="002A72BF" w:rsidP="002A72BF">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D906D3">
        <w:tab/>
        <w:t>Relationships between timing of breeding site availability</w:t>
      </w:r>
      <w:r w:rsidRPr="00D906D3">
        <w:rPr>
          <w:rFonts w:eastAsia="Arial"/>
        </w:rPr>
        <w:t xml:space="preserve"> (mean snow-free date at individual nesting location between 2001 and 2015) and individual departure date from the last shared stopover site in the </w:t>
      </w:r>
      <w:proofErr w:type="spellStart"/>
      <w:r w:rsidRPr="00D906D3">
        <w:t>nearctic</w:t>
      </w:r>
      <w:proofErr w:type="spellEnd"/>
      <w:r w:rsidRPr="00D906D3">
        <w:t xml:space="preserve"> temperate grasslands of the Midwestern </w:t>
      </w:r>
      <w:r w:rsidRPr="00D906D3">
        <w:rPr>
          <w:color w:val="000000" w:themeColor="text1"/>
        </w:rPr>
        <w:t>USA</w:t>
      </w:r>
      <w:r w:rsidRPr="00D906D3">
        <w:rPr>
          <w:rFonts w:eastAsia="Arial"/>
        </w:rPr>
        <w:t xml:space="preserve"> in tundra nesting American Golden-plover (</w:t>
      </w:r>
      <w:proofErr w:type="spellStart"/>
      <w:r w:rsidRPr="00D906D3">
        <w:rPr>
          <w:i/>
          <w:iCs/>
        </w:rPr>
        <w:t>Pluvialis</w:t>
      </w:r>
      <w:proofErr w:type="spellEnd"/>
      <w:r w:rsidRPr="00D906D3">
        <w:rPr>
          <w:i/>
          <w:iCs/>
        </w:rPr>
        <w:t xml:space="preserve"> </w:t>
      </w:r>
      <w:proofErr w:type="spellStart"/>
      <w:r w:rsidRPr="00D906D3">
        <w:rPr>
          <w:i/>
          <w:iCs/>
        </w:rPr>
        <w:t>dominica</w:t>
      </w:r>
      <w:proofErr w:type="spellEnd"/>
      <w:r w:rsidRPr="00D906D3">
        <w:rPr>
          <w:rFonts w:eastAsia="Arial"/>
        </w:rPr>
        <w:t>)</w:t>
      </w:r>
      <w:r w:rsidRPr="00D906D3">
        <w:rPr>
          <w:color w:val="000000" w:themeColor="text1"/>
        </w:rPr>
        <w:t>. B</w:t>
      </w:r>
      <w:r w:rsidRPr="00D906D3">
        <w:t>lack dashed line represents the fit of the mixed effect model for all individuals (n=19). Relationship obtained for each year separately (random intercept) are also illustrated (2013: n=7; in green, 2014: n=6; in dark blue, 2015: n=6; in light blue). To help visualize geographical relationships, axes have been transposed. A slight neutral offset was added to overlapping points to facilitate interpretation. Day 1 = January 1</w:t>
      </w:r>
      <w:r w:rsidRPr="00D906D3">
        <w:rPr>
          <w:vertAlign w:val="superscript"/>
        </w:rPr>
        <w:t>st</w:t>
      </w:r>
      <w:r w:rsidRPr="00D906D3">
        <w:t>.</w:t>
      </w:r>
    </w:p>
    <w:p w14:paraId="23261E35" w14:textId="5A3AEFAA" w:rsidR="002A72BF" w:rsidRPr="00D906D3" w:rsidRDefault="002A72BF" w:rsidP="002A72BF">
      <w:pPr>
        <w:rPr>
          <w:rFonts w:eastAsia="Arial"/>
        </w:rPr>
      </w:pPr>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D906D3">
        <w:tab/>
        <w:t>Intercept (</w:t>
      </w:r>
      <w:r w:rsidRPr="00D906D3">
        <w:rPr>
          <w:sz w:val="22"/>
          <w:shd w:val="clear" w:color="auto" w:fill="FFFFFF"/>
        </w:rPr>
        <w:t>± SE</w:t>
      </w:r>
      <w:r w:rsidRPr="00D906D3">
        <w:t>) of the relationships between timing of breeding site availability</w:t>
      </w:r>
      <w:r w:rsidRPr="00D906D3">
        <w:rPr>
          <w:rFonts w:eastAsia="Arial"/>
        </w:rPr>
        <w:t xml:space="preserve"> (mean snow-free date at individual nesting location between 2001 and 2015) and individual departure date from the last shared stopover site in the </w:t>
      </w:r>
      <w:proofErr w:type="spellStart"/>
      <w:r w:rsidRPr="00D906D3">
        <w:t>nearctic</w:t>
      </w:r>
      <w:proofErr w:type="spellEnd"/>
      <w:r w:rsidRPr="00D906D3">
        <w:t xml:space="preserve"> temperate grasslands of the Midwestern </w:t>
      </w:r>
      <w:r w:rsidRPr="00D906D3">
        <w:rPr>
          <w:color w:val="000000" w:themeColor="text1"/>
        </w:rPr>
        <w:t>USA</w:t>
      </w:r>
      <w:r w:rsidRPr="00D906D3">
        <w:rPr>
          <w:rFonts w:eastAsia="Arial"/>
        </w:rPr>
        <w:t xml:space="preserve"> in tundra nesting American Golden-plover (</w:t>
      </w:r>
      <w:proofErr w:type="spellStart"/>
      <w:r w:rsidRPr="00D906D3">
        <w:rPr>
          <w:i/>
          <w:iCs/>
        </w:rPr>
        <w:t>Pluvialis</w:t>
      </w:r>
      <w:proofErr w:type="spellEnd"/>
      <w:r w:rsidRPr="00D906D3">
        <w:rPr>
          <w:i/>
          <w:iCs/>
        </w:rPr>
        <w:t xml:space="preserve"> </w:t>
      </w:r>
      <w:proofErr w:type="spellStart"/>
      <w:r w:rsidRPr="00D906D3">
        <w:rPr>
          <w:i/>
          <w:iCs/>
        </w:rPr>
        <w:t>dominica</w:t>
      </w:r>
      <w:proofErr w:type="spellEnd"/>
      <w:r w:rsidRPr="00D906D3">
        <w:rPr>
          <w:rFonts w:eastAsia="Arial"/>
        </w:rPr>
        <w:t xml:space="preserve">) for years with more than 5 individuals represented. </w:t>
      </w:r>
      <w:r w:rsidRPr="00D906D3">
        <w:rPr>
          <w:color w:val="000000" w:themeColor="text1"/>
        </w:rPr>
        <w:t xml:space="preserve">Intercept coefficient </w:t>
      </w:r>
      <w:r w:rsidRPr="00D906D3">
        <w:t>(B1) extracted from the mixed effect model illustrated in Figure S1.</w:t>
      </w:r>
      <w:r w:rsidRPr="00D906D3">
        <w:rPr>
          <w:color w:val="000000" w:themeColor="text1"/>
        </w:rPr>
        <w:t xml:space="preserve"> </w:t>
      </w:r>
    </w:p>
    <w:tbl>
      <w:tblPr>
        <w:tblStyle w:val="TableGrid"/>
        <w:tblW w:w="0" w:type="auto"/>
        <w:jc w:val="center"/>
        <w:tblLook w:val="04A0" w:firstRow="1" w:lastRow="0" w:firstColumn="1" w:lastColumn="0" w:noHBand="0" w:noVBand="1"/>
      </w:tblPr>
      <w:tblGrid>
        <w:gridCol w:w="2159"/>
        <w:gridCol w:w="2159"/>
      </w:tblGrid>
      <w:tr w:rsidR="002A72BF" w:rsidRPr="00D906D3" w14:paraId="7639B02D" w14:textId="77777777" w:rsidTr="004859EF">
        <w:trPr>
          <w:trHeight w:val="57"/>
          <w:jc w:val="center"/>
        </w:trPr>
        <w:tc>
          <w:tcPr>
            <w:tcW w:w="2159" w:type="dxa"/>
          </w:tcPr>
          <w:p w14:paraId="0861A3C2" w14:textId="77777777" w:rsidR="002A72BF" w:rsidRPr="00D906D3" w:rsidRDefault="002A72BF" w:rsidP="00A87F88">
            <w:pPr>
              <w:spacing w:after="0"/>
              <w:jc w:val="center"/>
            </w:pPr>
            <w:r w:rsidRPr="00D906D3">
              <w:t>Year</w:t>
            </w:r>
          </w:p>
        </w:tc>
        <w:tc>
          <w:tcPr>
            <w:tcW w:w="2159" w:type="dxa"/>
          </w:tcPr>
          <w:p w14:paraId="24D40E6A" w14:textId="77777777" w:rsidR="002A72BF" w:rsidRPr="00D906D3" w:rsidRDefault="002A72BF" w:rsidP="00A87F88">
            <w:pPr>
              <w:spacing w:after="0"/>
              <w:jc w:val="center"/>
            </w:pPr>
            <w:r w:rsidRPr="00D906D3">
              <w:t>B</w:t>
            </w:r>
            <w:r w:rsidRPr="00D906D3">
              <w:rPr>
                <w:vertAlign w:val="subscript"/>
              </w:rPr>
              <w:t xml:space="preserve">1 </w:t>
            </w:r>
            <w:r w:rsidRPr="00D906D3">
              <w:rPr>
                <w:rFonts w:ascii="Calibri" w:hAnsi="Calibri" w:cs="Arial"/>
                <w:shd w:val="clear" w:color="auto" w:fill="FFFFFF"/>
              </w:rPr>
              <w:t>± SE</w:t>
            </w:r>
          </w:p>
        </w:tc>
      </w:tr>
      <w:tr w:rsidR="002A72BF" w:rsidRPr="00D906D3" w14:paraId="7D15C29D" w14:textId="77777777" w:rsidTr="004859EF">
        <w:trPr>
          <w:trHeight w:val="57"/>
          <w:jc w:val="center"/>
        </w:trPr>
        <w:tc>
          <w:tcPr>
            <w:tcW w:w="2159" w:type="dxa"/>
          </w:tcPr>
          <w:p w14:paraId="1E28ACFB" w14:textId="77777777" w:rsidR="002A72BF" w:rsidRPr="00D906D3" w:rsidRDefault="002A72BF" w:rsidP="00A87F88">
            <w:pPr>
              <w:spacing w:after="0"/>
              <w:jc w:val="center"/>
            </w:pPr>
            <w:r w:rsidRPr="00D906D3">
              <w:t>2012</w:t>
            </w:r>
          </w:p>
        </w:tc>
        <w:tc>
          <w:tcPr>
            <w:tcW w:w="2159" w:type="dxa"/>
          </w:tcPr>
          <w:p w14:paraId="1980CBC3" w14:textId="77777777" w:rsidR="002A72BF" w:rsidRPr="00D906D3" w:rsidRDefault="002A72BF" w:rsidP="00A87F88">
            <w:pPr>
              <w:spacing w:after="0"/>
              <w:jc w:val="center"/>
            </w:pPr>
            <w:r w:rsidRPr="00D906D3">
              <w:t xml:space="preserve">104.6 </w:t>
            </w:r>
            <w:r w:rsidRPr="00D906D3">
              <w:rPr>
                <w:rFonts w:ascii="Calibri" w:hAnsi="Calibri" w:cs="Arial"/>
                <w:shd w:val="clear" w:color="auto" w:fill="FFFFFF"/>
              </w:rPr>
              <w:t>±1.08</w:t>
            </w:r>
          </w:p>
        </w:tc>
      </w:tr>
      <w:tr w:rsidR="002A72BF" w:rsidRPr="00D906D3" w14:paraId="36EC2B1D" w14:textId="77777777" w:rsidTr="004859EF">
        <w:trPr>
          <w:trHeight w:val="57"/>
          <w:jc w:val="center"/>
        </w:trPr>
        <w:tc>
          <w:tcPr>
            <w:tcW w:w="2159" w:type="dxa"/>
          </w:tcPr>
          <w:p w14:paraId="46D80BE1" w14:textId="77777777" w:rsidR="002A72BF" w:rsidRPr="00D906D3" w:rsidRDefault="002A72BF" w:rsidP="00A87F88">
            <w:pPr>
              <w:spacing w:after="0"/>
              <w:jc w:val="center"/>
            </w:pPr>
            <w:r w:rsidRPr="00D906D3">
              <w:t>2013</w:t>
            </w:r>
          </w:p>
        </w:tc>
        <w:tc>
          <w:tcPr>
            <w:tcW w:w="2159" w:type="dxa"/>
          </w:tcPr>
          <w:p w14:paraId="694C808A" w14:textId="77777777" w:rsidR="002A72BF" w:rsidRPr="00D906D3" w:rsidRDefault="002A72BF" w:rsidP="00A87F88">
            <w:pPr>
              <w:spacing w:after="0"/>
              <w:jc w:val="center"/>
            </w:pPr>
            <w:r w:rsidRPr="00D906D3">
              <w:t xml:space="preserve">104.8 </w:t>
            </w:r>
            <w:r w:rsidRPr="00D906D3">
              <w:rPr>
                <w:rFonts w:ascii="Calibri" w:hAnsi="Calibri" w:cs="Arial"/>
                <w:shd w:val="clear" w:color="auto" w:fill="FFFFFF"/>
              </w:rPr>
              <w:t>±1.16</w:t>
            </w:r>
          </w:p>
        </w:tc>
      </w:tr>
      <w:tr w:rsidR="002A72BF" w:rsidRPr="00D906D3" w14:paraId="180DDA90" w14:textId="77777777" w:rsidTr="004859EF">
        <w:trPr>
          <w:trHeight w:val="57"/>
          <w:jc w:val="center"/>
        </w:trPr>
        <w:tc>
          <w:tcPr>
            <w:tcW w:w="2159" w:type="dxa"/>
          </w:tcPr>
          <w:p w14:paraId="1D3ED07A" w14:textId="77777777" w:rsidR="002A72BF" w:rsidRPr="00D906D3" w:rsidRDefault="002A72BF" w:rsidP="00A87F88">
            <w:pPr>
              <w:spacing w:after="0"/>
              <w:jc w:val="center"/>
            </w:pPr>
            <w:r w:rsidRPr="00D906D3">
              <w:t>2014</w:t>
            </w:r>
          </w:p>
        </w:tc>
        <w:tc>
          <w:tcPr>
            <w:tcW w:w="2159" w:type="dxa"/>
          </w:tcPr>
          <w:p w14:paraId="0DD0A31A" w14:textId="77777777" w:rsidR="002A72BF" w:rsidRPr="00D906D3" w:rsidRDefault="002A72BF" w:rsidP="00A87F88">
            <w:pPr>
              <w:spacing w:after="0"/>
              <w:jc w:val="center"/>
            </w:pPr>
            <w:r w:rsidRPr="00D906D3">
              <w:t xml:space="preserve">104.4 </w:t>
            </w:r>
            <w:r w:rsidRPr="00D906D3">
              <w:rPr>
                <w:rFonts w:ascii="Calibri" w:hAnsi="Calibri" w:cs="Arial"/>
                <w:shd w:val="clear" w:color="auto" w:fill="FFFFFF"/>
              </w:rPr>
              <w:t>±1.16</w:t>
            </w:r>
          </w:p>
        </w:tc>
      </w:tr>
    </w:tbl>
    <w:p w14:paraId="6754D378" w14:textId="77777777" w:rsidR="00994A3D" w:rsidRPr="001549D3" w:rsidRDefault="00994A3D" w:rsidP="00994A3D">
      <w:pPr>
        <w:keepNext/>
        <w:rPr>
          <w:rFonts w:cs="Times New Roman"/>
          <w:szCs w:val="24"/>
        </w:rPr>
      </w:pPr>
    </w:p>
    <w:p w14:paraId="7B65BC41" w14:textId="77777777" w:rsidR="00DE23E8" w:rsidRPr="001549D3" w:rsidRDefault="00DE23E8" w:rsidP="00654E8F">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4FA4" w14:textId="77777777" w:rsidR="009A01C1" w:rsidRDefault="009A01C1" w:rsidP="00117666">
      <w:pPr>
        <w:spacing w:after="0"/>
      </w:pPr>
      <w:r>
        <w:separator/>
      </w:r>
    </w:p>
  </w:endnote>
  <w:endnote w:type="continuationSeparator" w:id="0">
    <w:p w14:paraId="7F6BEEB3" w14:textId="77777777" w:rsidR="009A01C1" w:rsidRDefault="009A01C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E5A2" w14:textId="77777777" w:rsidR="009A01C1" w:rsidRDefault="009A01C1" w:rsidP="00117666">
      <w:pPr>
        <w:spacing w:after="0"/>
      </w:pPr>
      <w:r>
        <w:separator/>
      </w:r>
    </w:p>
  </w:footnote>
  <w:footnote w:type="continuationSeparator" w:id="0">
    <w:p w14:paraId="2517B8CD" w14:textId="77777777" w:rsidR="009A01C1" w:rsidRDefault="009A01C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A72BF"/>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3666A"/>
    <w:rsid w:val="00943573"/>
    <w:rsid w:val="00964134"/>
    <w:rsid w:val="00970F7D"/>
    <w:rsid w:val="00994A3D"/>
    <w:rsid w:val="009A01C1"/>
    <w:rsid w:val="009C2B12"/>
    <w:rsid w:val="00A174D9"/>
    <w:rsid w:val="00A87F88"/>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qFormat/>
    <w:rsid w:val="00AB6715"/>
    <w:rPr>
      <w:sz w:val="20"/>
      <w:szCs w:val="20"/>
    </w:rPr>
  </w:style>
  <w:style w:type="character" w:customStyle="1" w:styleId="CommentTextChar">
    <w:name w:val="Comment Text Char"/>
    <w:basedOn w:val="DefaultParagraphFont"/>
    <w:link w:val="CommentText"/>
    <w:uiPriority w:val="99"/>
    <w:qFormat/>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6</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JF Lamarre</cp:lastModifiedBy>
  <cp:revision>4</cp:revision>
  <cp:lastPrinted>2013-10-03T12:51:00Z</cp:lastPrinted>
  <dcterms:created xsi:type="dcterms:W3CDTF">2018-11-23T08:58:00Z</dcterms:created>
  <dcterms:modified xsi:type="dcterms:W3CDTF">2021-09-30T18:04:00Z</dcterms:modified>
</cp:coreProperties>
</file>