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FC3E" w14:textId="08D32171" w:rsidR="00F400C9" w:rsidRDefault="007A01DB" w:rsidP="00EA059B">
      <w:pPr>
        <w:spacing w:line="240" w:lineRule="auto"/>
      </w:pPr>
      <w:r w:rsidRPr="00B92F92">
        <w:rPr>
          <w:b/>
          <w:bCs/>
        </w:rPr>
        <w:t>Supplementary Table 5</w:t>
      </w:r>
      <w:r w:rsidR="009719DF">
        <w:t xml:space="preserve">. </w:t>
      </w:r>
      <w:r w:rsidR="00A91747">
        <w:t xml:space="preserve">Recalculated cost for non-dengue fever patients based on several hypothetical scenarios </w:t>
      </w:r>
      <w:r w:rsidR="009A63B6">
        <w:t>assuming RT-PCR based exclusion of dengue diagnosis was available on admission.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D36B90" w:rsidRPr="00B92F92" w14:paraId="2366FA37" w14:textId="77777777" w:rsidTr="00B92F9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F55DC2A" w14:textId="24E46BB9" w:rsidR="00D36B90" w:rsidRPr="00B92F92" w:rsidRDefault="00D36B90" w:rsidP="00CC532B">
            <w:pPr>
              <w:rPr>
                <w:b/>
                <w:bCs/>
              </w:rPr>
            </w:pPr>
            <w:r w:rsidRPr="00B92F92">
              <w:rPr>
                <w:b/>
                <w:bCs/>
              </w:rPr>
              <w:t>Scenario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3BEBEF3B" w14:textId="05A100A8" w:rsidR="00D36B90" w:rsidRPr="00B92F92" w:rsidRDefault="00D36B90" w:rsidP="00CC532B">
            <w:pPr>
              <w:rPr>
                <w:b/>
                <w:bCs/>
              </w:rPr>
            </w:pPr>
            <w:r w:rsidRPr="00B92F92">
              <w:rPr>
                <w:b/>
                <w:bCs/>
              </w:rPr>
              <w:t>Patients in Q1</w:t>
            </w:r>
            <w:r w:rsidR="003E6B7D">
              <w:rPr>
                <w:b/>
                <w:bCs/>
              </w:rPr>
              <w:t>*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65457835" w14:textId="0CA2D426" w:rsidR="00D36B90" w:rsidRPr="00B92F92" w:rsidRDefault="00D36B90" w:rsidP="00CC532B">
            <w:pPr>
              <w:rPr>
                <w:b/>
                <w:bCs/>
              </w:rPr>
            </w:pPr>
            <w:r w:rsidRPr="00B92F92">
              <w:rPr>
                <w:b/>
                <w:bCs/>
              </w:rPr>
              <w:t>Patients in Q2, Q3</w:t>
            </w:r>
            <w:r w:rsidR="003E6B7D">
              <w:rPr>
                <w:b/>
                <w:bCs/>
              </w:rPr>
              <w:t>*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52177ED" w14:textId="5DB1623C" w:rsidR="00D36B90" w:rsidRPr="00B92F92" w:rsidRDefault="00D36B90" w:rsidP="00CC532B">
            <w:pPr>
              <w:rPr>
                <w:b/>
                <w:bCs/>
              </w:rPr>
            </w:pPr>
            <w:r w:rsidRPr="00B92F92">
              <w:rPr>
                <w:b/>
                <w:bCs/>
              </w:rPr>
              <w:t>Patients in Q4</w:t>
            </w:r>
            <w:r w:rsidR="003E6B7D">
              <w:rPr>
                <w:b/>
                <w:bCs/>
              </w:rPr>
              <w:t>*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60027D70" w14:textId="11E95F8D" w:rsidR="00D36B90" w:rsidRPr="00B92F92" w:rsidRDefault="009C26F4" w:rsidP="00CC532B">
            <w:pPr>
              <w:rPr>
                <w:b/>
                <w:bCs/>
              </w:rPr>
            </w:pPr>
            <w:r>
              <w:rPr>
                <w:b/>
                <w:bCs/>
              </w:rPr>
              <w:t>Average c</w:t>
            </w:r>
            <w:r w:rsidR="00D36B90" w:rsidRPr="00B92F92">
              <w:rPr>
                <w:b/>
                <w:bCs/>
              </w:rPr>
              <w:t>ost per patient in USD (SD)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511EBDDF" w14:textId="1E8C1B4F" w:rsidR="00D36B90" w:rsidRPr="00B92F92" w:rsidRDefault="009C26F4" w:rsidP="00CC532B">
            <w:pPr>
              <w:rPr>
                <w:b/>
                <w:bCs/>
              </w:rPr>
            </w:pPr>
            <w:r>
              <w:rPr>
                <w:b/>
                <w:bCs/>
              </w:rPr>
              <w:t>Average c</w:t>
            </w:r>
            <w:r w:rsidR="00D36B90" w:rsidRPr="00B92F92">
              <w:rPr>
                <w:b/>
                <w:bCs/>
              </w:rPr>
              <w:t>ost per patient in LKR (SD)</w:t>
            </w:r>
            <w:r w:rsidR="004E46A8">
              <w:rPr>
                <w:b/>
                <w:bCs/>
              </w:rPr>
              <w:t>**</w:t>
            </w:r>
          </w:p>
        </w:tc>
      </w:tr>
      <w:tr w:rsidR="000879C9" w14:paraId="5722B290" w14:textId="77777777" w:rsidTr="00B92F92">
        <w:tc>
          <w:tcPr>
            <w:tcW w:w="2324" w:type="dxa"/>
            <w:tcBorders>
              <w:top w:val="single" w:sz="4" w:space="0" w:color="auto"/>
            </w:tcBorders>
          </w:tcPr>
          <w:p w14:paraId="4099E087" w14:textId="6A055559" w:rsidR="000879C9" w:rsidRDefault="000879C9" w:rsidP="00CC532B">
            <w:r>
              <w:t>1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6A477EFF" w14:textId="69697923" w:rsidR="000879C9" w:rsidRDefault="000879C9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53DFE250" w14:textId="50658AF6" w:rsidR="000879C9" w:rsidRDefault="0073133F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8A46887" w14:textId="3389ED6C" w:rsidR="00E001C5" w:rsidRDefault="00E001C5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RT_PCR+ NS1+ Investigation costs during stay + base cost </w:t>
            </w:r>
          </w:p>
          <w:p w14:paraId="4EFA038F" w14:textId="77777777" w:rsidR="000879C9" w:rsidRDefault="000879C9" w:rsidP="00CC532B"/>
        </w:tc>
        <w:tc>
          <w:tcPr>
            <w:tcW w:w="2325" w:type="dxa"/>
            <w:tcBorders>
              <w:top w:val="single" w:sz="4" w:space="0" w:color="auto"/>
            </w:tcBorders>
          </w:tcPr>
          <w:p w14:paraId="7B8389C3" w14:textId="3347B02D" w:rsidR="002C17B7" w:rsidRDefault="002C17B7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35.74</w:t>
            </w:r>
            <w:r w:rsidR="007317F0">
              <w:rPr>
                <w:rFonts w:ascii="Calibri" w:hAnsi="Calibri" w:cs="Calibri"/>
                <w:color w:val="000000"/>
              </w:rPr>
              <w:t xml:space="preserve"> (</w:t>
            </w:r>
            <w:r w:rsidR="00F23791">
              <w:rPr>
                <w:rFonts w:ascii="Calibri" w:hAnsi="Calibri" w:cs="Calibri"/>
                <w:color w:val="000000"/>
              </w:rPr>
              <w:t>18.52)</w:t>
            </w:r>
          </w:p>
          <w:p w14:paraId="68675F63" w14:textId="77777777" w:rsidR="000879C9" w:rsidRDefault="000879C9" w:rsidP="00CC532B"/>
        </w:tc>
        <w:tc>
          <w:tcPr>
            <w:tcW w:w="2325" w:type="dxa"/>
            <w:tcBorders>
              <w:top w:val="single" w:sz="4" w:space="0" w:color="auto"/>
            </w:tcBorders>
          </w:tcPr>
          <w:p w14:paraId="1EDAAF33" w14:textId="4A35ECE8" w:rsidR="00B95693" w:rsidRDefault="00B95693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6627</w:t>
            </w:r>
            <w:r w:rsidR="00EF2A40">
              <w:rPr>
                <w:rFonts w:ascii="Calibri" w:hAnsi="Calibri" w:cs="Calibri"/>
                <w:color w:val="000000"/>
              </w:rPr>
              <w:t xml:space="preserve"> (</w:t>
            </w:r>
            <w:r w:rsidR="001E6203">
              <w:rPr>
                <w:rFonts w:ascii="Calibri" w:hAnsi="Calibri" w:cs="Calibri"/>
                <w:color w:val="000000"/>
              </w:rPr>
              <w:t>3434)</w:t>
            </w:r>
          </w:p>
          <w:p w14:paraId="5520672B" w14:textId="77777777" w:rsidR="000879C9" w:rsidRDefault="000879C9" w:rsidP="00CC532B"/>
        </w:tc>
      </w:tr>
      <w:tr w:rsidR="00E001C5" w14:paraId="09EC93FB" w14:textId="77777777" w:rsidTr="00B92F92">
        <w:tc>
          <w:tcPr>
            <w:tcW w:w="2324" w:type="dxa"/>
          </w:tcPr>
          <w:p w14:paraId="69292543" w14:textId="69A81990" w:rsidR="00E001C5" w:rsidRDefault="00E001C5" w:rsidP="00CC532B">
            <w:r>
              <w:t>2</w:t>
            </w:r>
          </w:p>
        </w:tc>
        <w:tc>
          <w:tcPr>
            <w:tcW w:w="2325" w:type="dxa"/>
          </w:tcPr>
          <w:p w14:paraId="6A876B35" w14:textId="0AC5A29D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5" w:type="dxa"/>
          </w:tcPr>
          <w:p w14:paraId="6828B15C" w14:textId="16424D47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FBC+RT_PCR+NS1+20% IgM</w:t>
            </w:r>
          </w:p>
        </w:tc>
        <w:tc>
          <w:tcPr>
            <w:tcW w:w="2324" w:type="dxa"/>
          </w:tcPr>
          <w:p w14:paraId="7C28FFD8" w14:textId="70BABD17" w:rsidR="00E001C5" w:rsidRDefault="00E001C5" w:rsidP="00CC532B">
            <w:r w:rsidRPr="001015ED">
              <w:rPr>
                <w:rFonts w:ascii="Calibri" w:hAnsi="Calibri" w:cs="Calibri"/>
                <w:color w:val="000000"/>
              </w:rPr>
              <w:t xml:space="preserve">RT_PCR+ NS1+ Investigation costs during stay + base cost </w:t>
            </w:r>
          </w:p>
        </w:tc>
        <w:tc>
          <w:tcPr>
            <w:tcW w:w="2325" w:type="dxa"/>
          </w:tcPr>
          <w:p w14:paraId="5A755F73" w14:textId="0A99F81B" w:rsidR="009F0886" w:rsidRDefault="009F0886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36.05</w:t>
            </w:r>
            <w:r w:rsidR="00F23791">
              <w:rPr>
                <w:rFonts w:ascii="Calibri" w:hAnsi="Calibri" w:cs="Calibri"/>
                <w:color w:val="000000"/>
              </w:rPr>
              <w:t xml:space="preserve"> (18.42)</w:t>
            </w:r>
          </w:p>
          <w:p w14:paraId="4BEBF11D" w14:textId="77777777" w:rsidR="00E001C5" w:rsidRDefault="00E001C5" w:rsidP="00CC532B"/>
        </w:tc>
        <w:tc>
          <w:tcPr>
            <w:tcW w:w="2325" w:type="dxa"/>
          </w:tcPr>
          <w:p w14:paraId="0A5A4F50" w14:textId="13840930" w:rsidR="00FD146F" w:rsidRDefault="00FD146F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6686</w:t>
            </w:r>
            <w:r w:rsidR="001E6203">
              <w:rPr>
                <w:rFonts w:ascii="Calibri" w:hAnsi="Calibri" w:cs="Calibri"/>
                <w:color w:val="000000"/>
              </w:rPr>
              <w:t xml:space="preserve"> (3415)</w:t>
            </w:r>
          </w:p>
          <w:p w14:paraId="27873AEE" w14:textId="77777777" w:rsidR="00E001C5" w:rsidRDefault="00E001C5" w:rsidP="00CC532B"/>
        </w:tc>
      </w:tr>
      <w:tr w:rsidR="00E001C5" w14:paraId="7C52AD88" w14:textId="77777777" w:rsidTr="00B92F92">
        <w:tc>
          <w:tcPr>
            <w:tcW w:w="2324" w:type="dxa"/>
          </w:tcPr>
          <w:p w14:paraId="53F5BDA7" w14:textId="70E9882B" w:rsidR="00E001C5" w:rsidRDefault="00E001C5" w:rsidP="00CC532B">
            <w:r>
              <w:t>3</w:t>
            </w:r>
          </w:p>
        </w:tc>
        <w:tc>
          <w:tcPr>
            <w:tcW w:w="2325" w:type="dxa"/>
          </w:tcPr>
          <w:p w14:paraId="157995B9" w14:textId="4D1D8DCD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5" w:type="dxa"/>
          </w:tcPr>
          <w:p w14:paraId="74719CD1" w14:textId="1C8A2FF8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FBC+RT_PCR+NS1+50% IgM</w:t>
            </w:r>
          </w:p>
        </w:tc>
        <w:tc>
          <w:tcPr>
            <w:tcW w:w="2324" w:type="dxa"/>
          </w:tcPr>
          <w:p w14:paraId="4599EA1F" w14:textId="46F51DA8" w:rsidR="00E001C5" w:rsidRDefault="00E001C5" w:rsidP="00CC532B">
            <w:r w:rsidRPr="001015ED">
              <w:rPr>
                <w:rFonts w:ascii="Calibri" w:hAnsi="Calibri" w:cs="Calibri"/>
                <w:color w:val="000000"/>
              </w:rPr>
              <w:t xml:space="preserve">RT_PCR+ NS1+ Investigation costs during stay + base cost </w:t>
            </w:r>
          </w:p>
        </w:tc>
        <w:tc>
          <w:tcPr>
            <w:tcW w:w="2325" w:type="dxa"/>
          </w:tcPr>
          <w:p w14:paraId="3CB78C31" w14:textId="597A4619" w:rsidR="00E001C5" w:rsidRDefault="009F0886" w:rsidP="00CC532B">
            <w:r>
              <w:t>36.53</w:t>
            </w:r>
            <w:r w:rsidR="00F23791">
              <w:t xml:space="preserve"> (18.25)</w:t>
            </w:r>
          </w:p>
        </w:tc>
        <w:tc>
          <w:tcPr>
            <w:tcW w:w="2325" w:type="dxa"/>
          </w:tcPr>
          <w:p w14:paraId="4F955CBE" w14:textId="3CC62461" w:rsidR="00FD146F" w:rsidRDefault="00FD146F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6773</w:t>
            </w:r>
            <w:r w:rsidR="001E6203">
              <w:rPr>
                <w:rFonts w:ascii="Calibri" w:hAnsi="Calibri" w:cs="Calibri"/>
                <w:color w:val="000000"/>
              </w:rPr>
              <w:t xml:space="preserve"> (3384)</w:t>
            </w:r>
          </w:p>
          <w:p w14:paraId="6B2B6F1D" w14:textId="77777777" w:rsidR="00E001C5" w:rsidRDefault="00E001C5" w:rsidP="00CC532B"/>
        </w:tc>
      </w:tr>
      <w:tr w:rsidR="00E001C5" w14:paraId="3D625EDC" w14:textId="77777777" w:rsidTr="00B92F92">
        <w:tc>
          <w:tcPr>
            <w:tcW w:w="2324" w:type="dxa"/>
          </w:tcPr>
          <w:p w14:paraId="0AD8404F" w14:textId="4A19D82D" w:rsidR="00E001C5" w:rsidRDefault="00E001C5" w:rsidP="00CC532B">
            <w:r>
              <w:t>4</w:t>
            </w:r>
          </w:p>
        </w:tc>
        <w:tc>
          <w:tcPr>
            <w:tcW w:w="2325" w:type="dxa"/>
          </w:tcPr>
          <w:p w14:paraId="2527BA98" w14:textId="03C2B845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5" w:type="dxa"/>
          </w:tcPr>
          <w:p w14:paraId="002E0CEC" w14:textId="36DFE316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4" w:type="dxa"/>
          </w:tcPr>
          <w:p w14:paraId="01B279F4" w14:textId="447F8B13" w:rsidR="00E001C5" w:rsidRDefault="00E001C5" w:rsidP="00CC532B">
            <w:r w:rsidRPr="001015ED">
              <w:rPr>
                <w:rFonts w:ascii="Calibri" w:hAnsi="Calibri" w:cs="Calibri"/>
                <w:color w:val="000000"/>
              </w:rPr>
              <w:t xml:space="preserve">RT_PCR+ NS1+ Investigation costs during stay + base cost </w:t>
            </w:r>
          </w:p>
        </w:tc>
        <w:tc>
          <w:tcPr>
            <w:tcW w:w="2325" w:type="dxa"/>
          </w:tcPr>
          <w:p w14:paraId="7C1D1A56" w14:textId="5E1987E2" w:rsidR="00C53892" w:rsidRDefault="00C53892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78.92</w:t>
            </w:r>
            <w:r w:rsidR="00F23791">
              <w:rPr>
                <w:rFonts w:ascii="Calibri" w:hAnsi="Calibri" w:cs="Calibri"/>
                <w:color w:val="000000"/>
              </w:rPr>
              <w:t xml:space="preserve"> (</w:t>
            </w:r>
            <w:r w:rsidR="00EF2A40">
              <w:rPr>
                <w:rFonts w:ascii="Calibri" w:hAnsi="Calibri" w:cs="Calibri"/>
                <w:color w:val="000000"/>
              </w:rPr>
              <w:t>18.52)</w:t>
            </w:r>
          </w:p>
          <w:p w14:paraId="36FD2C4E" w14:textId="77777777" w:rsidR="00E001C5" w:rsidRDefault="00E001C5" w:rsidP="00CC532B"/>
        </w:tc>
        <w:tc>
          <w:tcPr>
            <w:tcW w:w="2325" w:type="dxa"/>
          </w:tcPr>
          <w:p w14:paraId="6A223E48" w14:textId="1CF7F13C" w:rsidR="007317F0" w:rsidRDefault="007317F0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14635</w:t>
            </w:r>
            <w:r w:rsidR="001E6203">
              <w:rPr>
                <w:rFonts w:ascii="Calibri" w:hAnsi="Calibri" w:cs="Calibri"/>
                <w:color w:val="000000"/>
              </w:rPr>
              <w:t xml:space="preserve"> (3434)</w:t>
            </w:r>
          </w:p>
          <w:p w14:paraId="2912480A" w14:textId="77777777" w:rsidR="00E001C5" w:rsidRDefault="00E001C5" w:rsidP="00CC532B"/>
        </w:tc>
      </w:tr>
      <w:tr w:rsidR="00E001C5" w14:paraId="13693168" w14:textId="77777777" w:rsidTr="00B92F92">
        <w:tc>
          <w:tcPr>
            <w:tcW w:w="2324" w:type="dxa"/>
          </w:tcPr>
          <w:p w14:paraId="01DDE362" w14:textId="5C87083E" w:rsidR="00E001C5" w:rsidRDefault="00E001C5" w:rsidP="00CC532B">
            <w:r>
              <w:t>5</w:t>
            </w:r>
          </w:p>
        </w:tc>
        <w:tc>
          <w:tcPr>
            <w:tcW w:w="2325" w:type="dxa"/>
          </w:tcPr>
          <w:p w14:paraId="3868E8B0" w14:textId="5C9CCCD0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5" w:type="dxa"/>
          </w:tcPr>
          <w:p w14:paraId="2BB389B9" w14:textId="46178BE6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FBC+RT_PCR+NS1+20% IgM</w:t>
            </w:r>
          </w:p>
        </w:tc>
        <w:tc>
          <w:tcPr>
            <w:tcW w:w="2324" w:type="dxa"/>
          </w:tcPr>
          <w:p w14:paraId="21B74A43" w14:textId="6C0737F5" w:rsidR="00E001C5" w:rsidRDefault="00E001C5" w:rsidP="00CC532B">
            <w:r w:rsidRPr="001015ED">
              <w:rPr>
                <w:rFonts w:ascii="Calibri" w:hAnsi="Calibri" w:cs="Calibri"/>
                <w:color w:val="000000"/>
              </w:rPr>
              <w:t xml:space="preserve">RT_PCR+ NS1+ Investigation costs during stay + base cost </w:t>
            </w:r>
          </w:p>
        </w:tc>
        <w:tc>
          <w:tcPr>
            <w:tcW w:w="2325" w:type="dxa"/>
          </w:tcPr>
          <w:p w14:paraId="59991655" w14:textId="360672D7" w:rsidR="00C53892" w:rsidRDefault="00C53892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79.24</w:t>
            </w:r>
            <w:r w:rsidR="00EF2A40">
              <w:rPr>
                <w:rFonts w:ascii="Calibri" w:hAnsi="Calibri" w:cs="Calibri"/>
                <w:color w:val="000000"/>
              </w:rPr>
              <w:t xml:space="preserve"> (18.42)</w:t>
            </w:r>
          </w:p>
          <w:p w14:paraId="0FA8ADD5" w14:textId="77777777" w:rsidR="00E001C5" w:rsidRDefault="00E001C5" w:rsidP="00CC532B"/>
        </w:tc>
        <w:tc>
          <w:tcPr>
            <w:tcW w:w="2325" w:type="dxa"/>
          </w:tcPr>
          <w:p w14:paraId="5FF5BC3E" w14:textId="4B7093FD" w:rsidR="007317F0" w:rsidRDefault="007317F0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14694</w:t>
            </w:r>
            <w:r w:rsidR="001E6203">
              <w:rPr>
                <w:rFonts w:ascii="Calibri" w:hAnsi="Calibri" w:cs="Calibri"/>
                <w:color w:val="000000"/>
              </w:rPr>
              <w:t xml:space="preserve"> (3415)</w:t>
            </w:r>
          </w:p>
          <w:p w14:paraId="4F553899" w14:textId="77777777" w:rsidR="00E001C5" w:rsidRDefault="00E001C5" w:rsidP="00CC532B"/>
        </w:tc>
      </w:tr>
      <w:tr w:rsidR="00E001C5" w14:paraId="27CE7E83" w14:textId="77777777" w:rsidTr="00B92F92">
        <w:tc>
          <w:tcPr>
            <w:tcW w:w="2324" w:type="dxa"/>
            <w:tcBorders>
              <w:bottom w:val="single" w:sz="4" w:space="0" w:color="auto"/>
            </w:tcBorders>
          </w:tcPr>
          <w:p w14:paraId="459924DE" w14:textId="435420D1" w:rsidR="00E001C5" w:rsidRDefault="00E001C5" w:rsidP="00CC532B">
            <w:r>
              <w:t>6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1F283A6F" w14:textId="34EE6BC8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6556695F" w14:textId="105EC648" w:rsidR="00E001C5" w:rsidRDefault="00E001C5" w:rsidP="00CC532B">
            <w:r>
              <w:rPr>
                <w:rFonts w:ascii="Calibri" w:hAnsi="Calibri" w:cs="Calibri"/>
                <w:color w:val="000000"/>
              </w:rPr>
              <w:t>FBC+RT_PCR+NS1+50% IgM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3F15526E" w14:textId="6BFAACF5" w:rsidR="00E001C5" w:rsidRDefault="00E001C5" w:rsidP="00CC532B">
            <w:r w:rsidRPr="001015ED">
              <w:rPr>
                <w:rFonts w:ascii="Calibri" w:hAnsi="Calibri" w:cs="Calibri"/>
                <w:color w:val="000000"/>
              </w:rPr>
              <w:t xml:space="preserve">RT_PCR+ NS1+ Investigation costs during stay + base cost 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3646010" w14:textId="0C73EA90" w:rsidR="00C53892" w:rsidRDefault="00C53892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79.71</w:t>
            </w:r>
            <w:r w:rsidR="00EF2A40">
              <w:rPr>
                <w:rFonts w:ascii="Calibri" w:hAnsi="Calibri" w:cs="Calibri"/>
                <w:color w:val="000000"/>
              </w:rPr>
              <w:t xml:space="preserve"> (18.25)</w:t>
            </w:r>
          </w:p>
          <w:p w14:paraId="30081589" w14:textId="77777777" w:rsidR="00E001C5" w:rsidRDefault="00E001C5" w:rsidP="00CC532B"/>
        </w:tc>
        <w:tc>
          <w:tcPr>
            <w:tcW w:w="2325" w:type="dxa"/>
            <w:tcBorders>
              <w:bottom w:val="single" w:sz="4" w:space="0" w:color="auto"/>
            </w:tcBorders>
          </w:tcPr>
          <w:p w14:paraId="610182D5" w14:textId="23C65D5E" w:rsidR="007317F0" w:rsidRDefault="007317F0" w:rsidP="00CC53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14781</w:t>
            </w:r>
            <w:r w:rsidR="001E6203">
              <w:rPr>
                <w:rFonts w:ascii="Calibri" w:hAnsi="Calibri" w:cs="Calibri"/>
                <w:color w:val="000000"/>
              </w:rPr>
              <w:t xml:space="preserve"> (3384)</w:t>
            </w:r>
          </w:p>
          <w:p w14:paraId="2D4E16D4" w14:textId="77777777" w:rsidR="00E001C5" w:rsidRDefault="00E001C5" w:rsidP="00CC532B"/>
        </w:tc>
      </w:tr>
    </w:tbl>
    <w:p w14:paraId="57B77CAE" w14:textId="00007966" w:rsidR="003E6B7D" w:rsidRDefault="003E6B7D" w:rsidP="00EA059B">
      <w:pPr>
        <w:spacing w:line="240" w:lineRule="auto"/>
      </w:pPr>
      <w:r>
        <w:t xml:space="preserve">*Patients are divided </w:t>
      </w:r>
      <w:r w:rsidR="004A7E15">
        <w:t>into</w:t>
      </w:r>
      <w:r>
        <w:t xml:space="preserve"> quartiles based on a symptom score </w:t>
      </w:r>
      <w:r w:rsidR="004A7E15">
        <w:t>(see methods) on admission with Q1 having least symptomatic and Q4 having the most symptomatic patients</w:t>
      </w:r>
      <w:r w:rsidR="001574C5">
        <w:t>.</w:t>
      </w:r>
    </w:p>
    <w:p w14:paraId="2D3DED69" w14:textId="282DF595" w:rsidR="004E46A8" w:rsidRDefault="004E46A8" w:rsidP="00EA059B">
      <w:pPr>
        <w:spacing w:line="240" w:lineRule="auto"/>
      </w:pPr>
      <w:r>
        <w:t>**Exchange rate: USD 1 = LKR 185.43</w:t>
      </w:r>
      <w:r w:rsidR="00F717D9">
        <w:t xml:space="preserve"> (average exchange rate in 2020)</w:t>
      </w:r>
    </w:p>
    <w:p w14:paraId="07ED7740" w14:textId="78B7FF44" w:rsidR="009A63B6" w:rsidRDefault="00B92F92" w:rsidP="00EA059B">
      <w:pPr>
        <w:spacing w:line="240" w:lineRule="auto"/>
      </w:pPr>
      <w:r>
        <w:t xml:space="preserve">Scenario 1: </w:t>
      </w:r>
      <w:r w:rsidR="003E6B7D">
        <w:t>All patients have RT-PCR</w:t>
      </w:r>
      <w:r w:rsidR="00E03733">
        <w:t xml:space="preserve"> (at a subsidised rate of </w:t>
      </w:r>
      <w:r w:rsidR="0043619D">
        <w:t xml:space="preserve">USD </w:t>
      </w:r>
      <w:r w:rsidR="00E03733">
        <w:t>22.</w:t>
      </w:r>
      <w:r w:rsidR="0014527B">
        <w:t>4</w:t>
      </w:r>
      <w:r w:rsidR="0043619D">
        <w:t>)</w:t>
      </w:r>
      <w:r w:rsidR="003E6B7D">
        <w:t xml:space="preserve"> and an NS1 test on </w:t>
      </w:r>
      <w:r w:rsidR="004A7E15">
        <w:t>admission</w:t>
      </w:r>
      <w:r w:rsidR="001574C5">
        <w:t>. Patients in Q1, Q2 and Q3 are discharged home without any hospital stay</w:t>
      </w:r>
      <w:r w:rsidR="00E03733">
        <w:t xml:space="preserve"> and none of them return follow up. Patients in Q4 remain admitted incur the same costs as they </w:t>
      </w:r>
      <w:proofErr w:type="gramStart"/>
      <w:r w:rsidR="00E03733">
        <w:t>actually did</w:t>
      </w:r>
      <w:proofErr w:type="gramEnd"/>
      <w:r w:rsidR="00E03733">
        <w:t xml:space="preserve"> in real life.</w:t>
      </w:r>
    </w:p>
    <w:p w14:paraId="5CD4B513" w14:textId="3C923977" w:rsidR="00E03733" w:rsidRDefault="00E03733" w:rsidP="00EA059B">
      <w:pPr>
        <w:spacing w:line="240" w:lineRule="auto"/>
      </w:pPr>
      <w:r>
        <w:t>Scenario 2:</w:t>
      </w:r>
      <w:r w:rsidR="0075662A">
        <w:t xml:space="preserve"> As in Scenario 1 but assumes 20% of patients in </w:t>
      </w:r>
      <w:r w:rsidR="00FF1138">
        <w:t xml:space="preserve">Q2 and Q3 will return for a dengue IgM test </w:t>
      </w:r>
    </w:p>
    <w:p w14:paraId="50B35B74" w14:textId="6804A37F" w:rsidR="00FF1138" w:rsidRDefault="00FF1138" w:rsidP="00EA059B">
      <w:pPr>
        <w:spacing w:line="240" w:lineRule="auto"/>
      </w:pPr>
      <w:r>
        <w:t>Scenario 3: As in Scenario 1 but assumes 50% of patients in Q2 and Q3 will return for a dengue IgM test</w:t>
      </w:r>
    </w:p>
    <w:p w14:paraId="15011A8D" w14:textId="24FA5101" w:rsidR="00FF1138" w:rsidRDefault="00FF1138" w:rsidP="00EA059B">
      <w:pPr>
        <w:spacing w:line="240" w:lineRule="auto"/>
      </w:pPr>
      <w:r>
        <w:lastRenderedPageBreak/>
        <w:t xml:space="preserve">Scenarios 4-6: Corresponding to scenarios 1-3 respectively, but assumes a commercial rate for RT-PCR (USD </w:t>
      </w:r>
      <w:r w:rsidR="0012559D">
        <w:t>65.6)</w:t>
      </w:r>
    </w:p>
    <w:p w14:paraId="02A4AEE1" w14:textId="77777777" w:rsidR="001D6A28" w:rsidRDefault="001D6A28" w:rsidP="00CC532B">
      <w:pPr>
        <w:spacing w:after="0" w:line="240" w:lineRule="auto"/>
      </w:pPr>
    </w:p>
    <w:sectPr w:rsidR="001D6A28" w:rsidSect="00F40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8B8"/>
    <w:multiLevelType w:val="hybridMultilevel"/>
    <w:tmpl w:val="B2C01D1E"/>
    <w:lvl w:ilvl="0" w:tplc="7C58AD94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B2"/>
    <w:rsid w:val="00075911"/>
    <w:rsid w:val="000879C9"/>
    <w:rsid w:val="0012559D"/>
    <w:rsid w:val="0012693E"/>
    <w:rsid w:val="0014527B"/>
    <w:rsid w:val="001574C5"/>
    <w:rsid w:val="001B22D2"/>
    <w:rsid w:val="001D6A28"/>
    <w:rsid w:val="001E6203"/>
    <w:rsid w:val="00264BDE"/>
    <w:rsid w:val="0028247D"/>
    <w:rsid w:val="002C17B7"/>
    <w:rsid w:val="00366B2B"/>
    <w:rsid w:val="00366BB3"/>
    <w:rsid w:val="003E6B7D"/>
    <w:rsid w:val="0043619D"/>
    <w:rsid w:val="00491E9C"/>
    <w:rsid w:val="004A7E15"/>
    <w:rsid w:val="004E46A8"/>
    <w:rsid w:val="005376A5"/>
    <w:rsid w:val="005805E5"/>
    <w:rsid w:val="005F5AC1"/>
    <w:rsid w:val="006B5FDB"/>
    <w:rsid w:val="0073133F"/>
    <w:rsid w:val="007317F0"/>
    <w:rsid w:val="0075662A"/>
    <w:rsid w:val="007A01DB"/>
    <w:rsid w:val="00816C90"/>
    <w:rsid w:val="00865589"/>
    <w:rsid w:val="00890219"/>
    <w:rsid w:val="009311C8"/>
    <w:rsid w:val="009719DF"/>
    <w:rsid w:val="009A63B6"/>
    <w:rsid w:val="009C26F4"/>
    <w:rsid w:val="009F0886"/>
    <w:rsid w:val="00A457EA"/>
    <w:rsid w:val="00A91747"/>
    <w:rsid w:val="00AA4976"/>
    <w:rsid w:val="00B652B0"/>
    <w:rsid w:val="00B92F92"/>
    <w:rsid w:val="00B95693"/>
    <w:rsid w:val="00BF7143"/>
    <w:rsid w:val="00C53892"/>
    <w:rsid w:val="00C945D5"/>
    <w:rsid w:val="00CC532B"/>
    <w:rsid w:val="00CF43B2"/>
    <w:rsid w:val="00D36B90"/>
    <w:rsid w:val="00D41AB3"/>
    <w:rsid w:val="00E001C5"/>
    <w:rsid w:val="00E03733"/>
    <w:rsid w:val="00EA059B"/>
    <w:rsid w:val="00EF2A40"/>
    <w:rsid w:val="00F23791"/>
    <w:rsid w:val="00F400C9"/>
    <w:rsid w:val="00F717D9"/>
    <w:rsid w:val="00FA6A4D"/>
    <w:rsid w:val="00FD146F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03E2"/>
  <w15:chartTrackingRefBased/>
  <w15:docId w15:val="{8C334C57-438B-49DE-A0CB-9D39442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B7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40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0C9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4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Chaturaka Rodrigo</dc:creator>
  <cp:keywords/>
  <dc:description/>
  <cp:lastModifiedBy>chn off29</cp:lastModifiedBy>
  <cp:revision>3</cp:revision>
  <dcterms:created xsi:type="dcterms:W3CDTF">2021-05-05T02:47:00Z</dcterms:created>
  <dcterms:modified xsi:type="dcterms:W3CDTF">2021-10-01T03:33:00Z</dcterms:modified>
</cp:coreProperties>
</file>