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A588" w14:textId="7AF828A9" w:rsidR="00871FE1" w:rsidRPr="00572E8A" w:rsidRDefault="00871FE1" w:rsidP="00871FE1">
      <w:pPr>
        <w:spacing w:line="480" w:lineRule="auto"/>
        <w:rPr>
          <w:rFonts w:cs="Arial"/>
          <w:b/>
          <w:bCs/>
          <w:color w:val="auto"/>
          <w:lang w:val="en-GB" w:eastAsia="en-GB"/>
        </w:rPr>
      </w:pPr>
      <w:r>
        <w:rPr>
          <w:rFonts w:cs="Arial"/>
          <w:b/>
          <w:bCs/>
          <w:color w:val="auto"/>
          <w:lang w:val="en-GB" w:eastAsia="en-GB"/>
        </w:rPr>
        <w:t>A</w:t>
      </w:r>
      <w:r w:rsidRPr="00572E8A">
        <w:rPr>
          <w:rFonts w:cs="Arial"/>
          <w:b/>
          <w:bCs/>
          <w:color w:val="auto"/>
          <w:lang w:val="en-GB" w:eastAsia="en-GB"/>
        </w:rPr>
        <w:t>ppendix A: Calculation of the skeletal-specific S-values</w:t>
      </w:r>
    </w:p>
    <w:p w14:paraId="64AF2F64" w14:textId="77777777" w:rsidR="00871FE1" w:rsidRDefault="00871FE1" w:rsidP="00871FE1">
      <w:pPr>
        <w:spacing w:line="480" w:lineRule="auto"/>
      </w:pPr>
      <w:r>
        <w:t xml:space="preserve">Absorbed dose was calculated using the MIRD-formalism. The time integrated activity of each site, </w:t>
      </w:r>
      <m:oMath>
        <m:groupChr>
          <m:groupChrPr>
            <m:chr m:val="̃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</w:rPr>
              <m:t>A</m:t>
            </m:r>
          </m:e>
        </m:groupChr>
      </m:oMath>
      <w:r>
        <w:t xml:space="preserve"> and site volume </w:t>
      </w:r>
      <m:oMath>
        <m:r>
          <w:rPr>
            <w:rFonts w:ascii="Cambria Math" w:hAnsi="Cambria Math"/>
          </w:rPr>
          <m:t>V</m:t>
        </m:r>
      </m:oMath>
      <w:r>
        <w:t xml:space="preserve"> were determined from volumes of interest drawn with PMOD vs 3.8 (PMOD industries, Zurich). The volume was corrected with the ICRP-cellularity factor (70 %) and a correction for trabecular volume fractions taken from table 4 in (O’Reilly et al. 2016) and table 1 from (Hough et al. 2011) for female (0.1260) and male (0.1025) patients, respectively. A mass density of 1.03 g/ml was also used in accordance with both look-up-tables to form the mass of the red marrow: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7655"/>
        <w:gridCol w:w="701"/>
      </w:tblGrid>
      <w:tr w:rsidR="00871FE1" w14:paraId="2A9F2967" w14:textId="77777777" w:rsidTr="00F00600">
        <w:tc>
          <w:tcPr>
            <w:tcW w:w="690" w:type="dxa"/>
            <w:vAlign w:val="center"/>
          </w:tcPr>
          <w:p w14:paraId="2FB9F921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655" w:type="dxa"/>
            <w:vAlign w:val="center"/>
          </w:tcPr>
          <w:p w14:paraId="0C972CC0" w14:textId="77777777" w:rsidR="00871FE1" w:rsidRDefault="00871FE1" w:rsidP="00F00600">
            <w:pPr>
              <w:pStyle w:val="Brdtekst"/>
              <w:spacing w:line="480" w:lineRule="auto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</m:sub>
                </m:sSub>
                <m:r>
                  <w:rPr>
                    <w:rFonts w:ascii="Cambria Math" w:hAnsi="Cambria Math"/>
                  </w:rPr>
                  <m:t>=V(1-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TBM</m:t>
                    </m:r>
                  </m:sub>
                </m:sSub>
                <m:r>
                  <w:rPr>
                    <w:rFonts w:ascii="Cambria Math" w:hAnsi="Cambria Math"/>
                  </w:rPr>
                  <m:t>)⋅CF</m:t>
                </m:r>
              </m:oMath>
            </m:oMathPara>
          </w:p>
          <w:p w14:paraId="1E9C7959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01" w:type="dxa"/>
            <w:vAlign w:val="center"/>
          </w:tcPr>
          <w:p w14:paraId="73E81CA0" w14:textId="77777777" w:rsidR="00871FE1" w:rsidRDefault="00871FE1" w:rsidP="00F00600">
            <w:pPr>
              <w:pStyle w:val="Brdtekst"/>
              <w:spacing w:line="480" w:lineRule="auto"/>
              <w:jc w:val="center"/>
            </w:pPr>
            <w:r>
              <w:t>(A1)</w:t>
            </w:r>
          </w:p>
        </w:tc>
      </w:tr>
    </w:tbl>
    <w:p w14:paraId="370410E3" w14:textId="77777777" w:rsidR="00871FE1" w:rsidRDefault="00871FE1" w:rsidP="00871FE1">
      <w:pPr>
        <w:spacing w:line="480" w:lineRule="auto"/>
      </w:pPr>
    </w:p>
    <w:p w14:paraId="32089E58" w14:textId="77777777" w:rsidR="00871FE1" w:rsidRDefault="00871FE1" w:rsidP="00871FE1">
      <w:pPr>
        <w:spacing w:line="480" w:lineRule="auto"/>
      </w:pPr>
      <w:r>
        <w:t>CF- specific absorbed energy fractions were calculated by the specific uptake fractions found in the tables A1-A13 of the appendices of (O’Reilly et al. 2016) and (Hough et al. 2011) multiplied by the red marrow masses. The reference masses were calculated using tables 4 and 1 from (O’Reilly et al. 2016) and (Hough et al. 2011) respectively, and equations (2) and (4) from (Hough et al. 2011).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7655"/>
        <w:gridCol w:w="701"/>
      </w:tblGrid>
      <w:tr w:rsidR="00871FE1" w14:paraId="1954F025" w14:textId="77777777" w:rsidTr="00F00600">
        <w:trPr>
          <w:trHeight w:val="1231"/>
        </w:trPr>
        <w:tc>
          <w:tcPr>
            <w:tcW w:w="690" w:type="dxa"/>
            <w:vAlign w:val="center"/>
          </w:tcPr>
          <w:p w14:paraId="0FAF738F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655" w:type="dxa"/>
            <w:vAlign w:val="center"/>
          </w:tcPr>
          <w:p w14:paraId="58F0E367" w14:textId="77777777" w:rsidR="00871FE1" w:rsidRDefault="00871FE1" w:rsidP="00F00600">
            <w:pPr>
              <w:pStyle w:val="Brdtekst"/>
              <w:spacing w:line="480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ϕ(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←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,CF,E)=Φ(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←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,CF,E)⋅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AM-ref</m:t>
                    </m:r>
                  </m:sub>
                </m:sSub>
              </m:oMath>
            </m:oMathPara>
          </w:p>
          <w:p w14:paraId="2C50D7F0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01" w:type="dxa"/>
            <w:vAlign w:val="center"/>
          </w:tcPr>
          <w:p w14:paraId="3478CCC8" w14:textId="77777777" w:rsidR="00871FE1" w:rsidRDefault="00871FE1" w:rsidP="00F00600">
            <w:pPr>
              <w:pStyle w:val="Brdtekst"/>
              <w:spacing w:line="480" w:lineRule="auto"/>
              <w:jc w:val="center"/>
            </w:pPr>
            <w:r>
              <w:t>(A2)</w:t>
            </w:r>
          </w:p>
        </w:tc>
      </w:tr>
    </w:tbl>
    <w:p w14:paraId="6A8D8CF6" w14:textId="77777777" w:rsidR="00871FE1" w:rsidRDefault="00871FE1" w:rsidP="00871FE1">
      <w:pPr>
        <w:spacing w:line="480" w:lineRule="auto"/>
      </w:pPr>
      <w:r>
        <w:t xml:space="preserve">The final </w:t>
      </w:r>
      <m:oMath>
        <m:r>
          <w:rPr>
            <w:rFonts w:ascii="Cambria Math" w:hAnsi="Cambria Math"/>
          </w:rPr>
          <m:t>S</m:t>
        </m:r>
      </m:oMath>
      <w:r>
        <w:t xml:space="preserve">-factor was found by summation of the mean energy,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and corresponding </w:t>
      </w:r>
      <m:oMath>
        <m:r>
          <w:rPr>
            <w:rFonts w:ascii="Cambria Math" w:hAnsi="Cambria Math"/>
          </w:rPr>
          <m:t>ϕ</m:t>
        </m:r>
      </m:oMath>
      <w:r>
        <w:t xml:space="preserve"> for all </w:t>
      </w:r>
      <m:oMath>
        <m:r>
          <w:rPr>
            <w:rFonts w:ascii="Cambria Math" w:hAnsi="Cambria Math"/>
          </w:rPr>
          <m:t>β-</m:t>
        </m:r>
      </m:oMath>
      <w:r>
        <w:t>, internal conversion and auger-electron-emission (</w:t>
      </w:r>
      <m:oMath>
        <m:r>
          <w:rPr>
            <w:rFonts w:ascii="Cambria Math" w:hAnsi="Cambria Math"/>
          </w:rPr>
          <m:t>i</m:t>
        </m:r>
      </m:oMath>
      <w:r>
        <w:t xml:space="preserve">) of </w:t>
      </w:r>
      <w:r w:rsidRPr="00593717">
        <w:rPr>
          <w:vertAlign w:val="superscript"/>
        </w:rPr>
        <w:t>177</w:t>
      </w:r>
      <w:r>
        <w:t xml:space="preserve">Lu. These were extracted </w:t>
      </w:r>
      <w:r>
        <w:lastRenderedPageBreak/>
        <w:t>from the software program DECDATA version 2.7, which contains the data of ICRP-publication 107 (International Commission on Radiological Protection 2008).</w:t>
      </w:r>
    </w:p>
    <w:p w14:paraId="5365AB2F" w14:textId="77777777" w:rsidR="00871FE1" w:rsidRDefault="00871FE1" w:rsidP="00871FE1">
      <w:pPr>
        <w:spacing w:line="48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7655"/>
        <w:gridCol w:w="701"/>
      </w:tblGrid>
      <w:tr w:rsidR="00871FE1" w14:paraId="1BA03506" w14:textId="77777777" w:rsidTr="00F00600">
        <w:trPr>
          <w:trHeight w:val="1231"/>
        </w:trPr>
        <w:tc>
          <w:tcPr>
            <w:tcW w:w="690" w:type="dxa"/>
            <w:vAlign w:val="center"/>
          </w:tcPr>
          <w:p w14:paraId="7E65008A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655" w:type="dxa"/>
            <w:vAlign w:val="center"/>
          </w:tcPr>
          <w:p w14:paraId="03D29F81" w14:textId="77777777" w:rsidR="00871FE1" w:rsidRDefault="00871FE1" w:rsidP="00F00600">
            <w:pPr>
              <w:pStyle w:val="Brdtekst"/>
              <w:spacing w:line="480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←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,CF)=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ϕ(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←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,CF,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423DC498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01" w:type="dxa"/>
            <w:vAlign w:val="center"/>
          </w:tcPr>
          <w:p w14:paraId="56ABE5EA" w14:textId="77777777" w:rsidR="00871FE1" w:rsidRDefault="00871FE1" w:rsidP="00F00600">
            <w:pPr>
              <w:pStyle w:val="Brdtekst"/>
              <w:spacing w:line="480" w:lineRule="auto"/>
              <w:jc w:val="center"/>
            </w:pPr>
            <w:r>
              <w:t>(A3)</w:t>
            </w:r>
          </w:p>
        </w:tc>
      </w:tr>
      <w:tr w:rsidR="00871FE1" w14:paraId="0BFCE5CA" w14:textId="77777777" w:rsidTr="00F00600">
        <w:trPr>
          <w:trHeight w:val="1231"/>
        </w:trPr>
        <w:tc>
          <w:tcPr>
            <w:tcW w:w="690" w:type="dxa"/>
          </w:tcPr>
          <w:p w14:paraId="6C1EFA0C" w14:textId="77777777" w:rsidR="00871FE1" w:rsidRDefault="00871FE1" w:rsidP="00F00600">
            <w:pPr>
              <w:pStyle w:val="Brdtekst"/>
              <w:spacing w:line="480" w:lineRule="auto"/>
              <w:jc w:val="center"/>
            </w:pPr>
          </w:p>
        </w:tc>
        <w:tc>
          <w:tcPr>
            <w:tcW w:w="7655" w:type="dxa"/>
          </w:tcPr>
          <w:p w14:paraId="7B6B9A83" w14:textId="77777777" w:rsidR="00871FE1" w:rsidRDefault="00871FE1" w:rsidP="00F00600">
            <w:pPr>
              <w:pStyle w:val="Brdtekst"/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AM</m:t>
                </m:r>
                <m:r>
                  <w:rPr>
                    <w:rFonts w:ascii="Cambria Math" w:hAnsi="Cambria Math"/>
                  </w:rPr>
                  <m:t>,CF)=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groupChr>
                      <m:groupChrPr>
                        <m:chr m:val="̃"/>
                        <m:pos m:val="top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groupChr>
                    <m:r>
                      <w:rPr>
                        <w:rFonts w:ascii="Cambria Math" w:hAnsi="Cambria Math"/>
                      </w:rPr>
                      <m:t>⋅S(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  <m:r>
                      <w:rPr>
                        <w:rFonts w:ascii="Cambria Math" w:hAnsi="Cambria Math"/>
                      </w:rPr>
                      <m:t>←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AM</m:t>
                    </m:r>
                    <m:r>
                      <w:rPr>
                        <w:rFonts w:ascii="Cambria Math" w:hAnsi="Cambria Math"/>
                      </w:rPr>
                      <m:t>,CF)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01" w:type="dxa"/>
          </w:tcPr>
          <w:p w14:paraId="6A13930A" w14:textId="77777777" w:rsidR="00871FE1" w:rsidRDefault="00871FE1" w:rsidP="00F00600">
            <w:pPr>
              <w:pStyle w:val="Brdtekst"/>
              <w:spacing w:line="480" w:lineRule="auto"/>
              <w:jc w:val="center"/>
            </w:pPr>
            <w:r>
              <w:t>(A4)</w:t>
            </w:r>
          </w:p>
        </w:tc>
      </w:tr>
    </w:tbl>
    <w:p w14:paraId="0008333B" w14:textId="77777777" w:rsidR="00871FE1" w:rsidRDefault="00871FE1" w:rsidP="00871FE1">
      <w:pPr>
        <w:spacing w:line="480" w:lineRule="auto"/>
      </w:pPr>
    </w:p>
    <w:p w14:paraId="55A1FE6D" w14:textId="77777777" w:rsidR="00871FE1" w:rsidRDefault="00871FE1" w:rsidP="00871FE1">
      <w:pPr>
        <w:spacing w:line="480" w:lineRule="auto"/>
        <w:rPr>
          <w:color w:val="00B0F0"/>
        </w:rPr>
      </w:pPr>
      <w:r>
        <w:t xml:space="preserve">The required values to do the dose calculations were implemented as a python-class object to create a phantom from specific absorption fractions and energy spectrum from DECDATA, together with associated class-methods to do dosimetry calculation based on input in the form of time integrated activity and volume measurements (python version 3.7.6). The software with included documentation is freely available on </w:t>
      </w:r>
      <w:proofErr w:type="spellStart"/>
      <w:r>
        <w:t>github</w:t>
      </w:r>
      <w:proofErr w:type="spellEnd"/>
      <w:r>
        <w:t xml:space="preserve">: </w:t>
      </w:r>
      <w:hyperlink r:id="rId5" w:history="1">
        <w:r w:rsidRPr="00826346">
          <w:rPr>
            <w:rStyle w:val="Hyperkobling"/>
          </w:rPr>
          <w:t>https://github.com/blakkisrud/RedMarrowSFactor</w:t>
        </w:r>
      </w:hyperlink>
      <w:r>
        <w:rPr>
          <w:color w:val="00B0F0"/>
        </w:rPr>
        <w:t>.</w:t>
      </w:r>
    </w:p>
    <w:p w14:paraId="42AA8AF1" w14:textId="77777777" w:rsidR="00871FE1" w:rsidRPr="009417B0" w:rsidRDefault="00871FE1" w:rsidP="00871FE1">
      <w:pPr>
        <w:spacing w:line="480" w:lineRule="auto"/>
        <w:rPr>
          <w:b/>
          <w:bCs/>
        </w:rPr>
      </w:pPr>
      <w:r w:rsidRPr="009417B0">
        <w:rPr>
          <w:b/>
          <w:bCs/>
        </w:rPr>
        <w:t>Appendix references</w:t>
      </w:r>
    </w:p>
    <w:p w14:paraId="23A123E2" w14:textId="77777777" w:rsidR="00871FE1" w:rsidRDefault="00871FE1" w:rsidP="00871FE1">
      <w:pPr>
        <w:pStyle w:val="Listeavsnitt"/>
        <w:numPr>
          <w:ilvl w:val="0"/>
          <w:numId w:val="1"/>
        </w:numPr>
        <w:spacing w:line="480" w:lineRule="auto"/>
      </w:pPr>
      <w:r w:rsidRPr="009417B0">
        <w:t xml:space="preserve">Matthew Hough et al </w:t>
      </w:r>
      <w:r w:rsidRPr="009417B0">
        <w:rPr>
          <w:i/>
          <w:iCs/>
        </w:rPr>
        <w:t>An image-based skeletal dosimetry model for the ICRP reference adult male—internal electron sources.</w:t>
      </w:r>
      <w:r w:rsidRPr="009417B0">
        <w:t xml:space="preserve"> 2011 Phys. Med. Biol. 56 2309</w:t>
      </w:r>
    </w:p>
    <w:p w14:paraId="77EA50E4" w14:textId="77777777" w:rsidR="00871FE1" w:rsidRDefault="00871FE1" w:rsidP="00871FE1">
      <w:pPr>
        <w:pStyle w:val="Listeavsnitt"/>
        <w:numPr>
          <w:ilvl w:val="0"/>
          <w:numId w:val="1"/>
        </w:numPr>
        <w:spacing w:line="480" w:lineRule="auto"/>
      </w:pPr>
      <w:r w:rsidRPr="009417B0">
        <w:t>Shannon E O’Reilly et al</w:t>
      </w:r>
      <w:r>
        <w:t xml:space="preserve"> </w:t>
      </w:r>
      <w:r w:rsidRPr="009417B0">
        <w:rPr>
          <w:i/>
          <w:iCs/>
        </w:rPr>
        <w:t>An image-based skeletal dosimetry model for the ICRP reference adult female—internal electron sources</w:t>
      </w:r>
      <w:r>
        <w:rPr>
          <w:i/>
          <w:iCs/>
        </w:rPr>
        <w:t>.</w:t>
      </w:r>
      <w:r w:rsidRPr="009417B0">
        <w:t xml:space="preserve"> 2016 Phys. Med. Biol. 61 8794</w:t>
      </w:r>
    </w:p>
    <w:p w14:paraId="732E3914" w14:textId="77777777" w:rsidR="00871FE1" w:rsidRPr="009417B0" w:rsidRDefault="00871FE1" w:rsidP="00871FE1">
      <w:pPr>
        <w:pStyle w:val="Listeavsnitt"/>
        <w:numPr>
          <w:ilvl w:val="0"/>
          <w:numId w:val="1"/>
        </w:numPr>
        <w:spacing w:line="480" w:lineRule="auto"/>
      </w:pPr>
      <w:r>
        <w:t>ICRP</w:t>
      </w:r>
      <w:r w:rsidRPr="009417B0">
        <w:rPr>
          <w:i/>
          <w:iCs/>
        </w:rPr>
        <w:t xml:space="preserve">. Nuclear Decay Data for </w:t>
      </w:r>
      <w:proofErr w:type="spellStart"/>
      <w:r w:rsidRPr="009417B0">
        <w:rPr>
          <w:i/>
          <w:iCs/>
        </w:rPr>
        <w:t>Dosimetric</w:t>
      </w:r>
      <w:proofErr w:type="spellEnd"/>
      <w:r w:rsidRPr="009417B0">
        <w:rPr>
          <w:i/>
          <w:iCs/>
        </w:rPr>
        <w:t xml:space="preserve"> Calculations.</w:t>
      </w:r>
      <w:r>
        <w:t xml:space="preserve"> ICRP Publication 107. 2008 Ann. ICRP 38</w:t>
      </w:r>
    </w:p>
    <w:p w14:paraId="4F50B704" w14:textId="77777777" w:rsidR="00871FE1" w:rsidRDefault="00871FE1" w:rsidP="00871FE1">
      <w:pPr>
        <w:spacing w:line="480" w:lineRule="auto"/>
      </w:pPr>
    </w:p>
    <w:p w14:paraId="495A4FDD" w14:textId="77777777" w:rsidR="007527D3" w:rsidRDefault="007527D3"/>
    <w:sectPr w:rsidR="007527D3" w:rsidSect="00AA7BFB">
      <w:footerReference w:type="default" r:id="rId6"/>
      <w:footerReference w:type="firs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024818"/>
      <w:docPartObj>
        <w:docPartGallery w:val="Page Numbers (Bottom of Page)"/>
        <w:docPartUnique/>
      </w:docPartObj>
    </w:sdtPr>
    <w:sdtEndPr/>
    <w:sdtContent>
      <w:p w14:paraId="6689ECF1" w14:textId="77777777" w:rsidR="00EE713A" w:rsidRDefault="00871FE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609">
          <w:rPr>
            <w:noProof/>
            <w:lang w:val="nb-NO"/>
          </w:rPr>
          <w:t>19</w:t>
        </w:r>
        <w:r>
          <w:fldChar w:fldCharType="end"/>
        </w:r>
      </w:p>
    </w:sdtContent>
  </w:sdt>
  <w:p w14:paraId="5453C73F" w14:textId="77777777" w:rsidR="00EE713A" w:rsidRDefault="00871F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498670"/>
      <w:docPartObj>
        <w:docPartGallery w:val="Page Numbers (Bottom of Page)"/>
        <w:docPartUnique/>
      </w:docPartObj>
    </w:sdtPr>
    <w:sdtEndPr/>
    <w:sdtContent>
      <w:p w14:paraId="497CD76A" w14:textId="77777777" w:rsidR="00EE713A" w:rsidRDefault="00871FE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609">
          <w:rPr>
            <w:noProof/>
            <w:lang w:val="nb-NO"/>
          </w:rPr>
          <w:t>1</w:t>
        </w:r>
        <w:r>
          <w:fldChar w:fldCharType="end"/>
        </w:r>
      </w:p>
    </w:sdtContent>
  </w:sdt>
  <w:p w14:paraId="5560E249" w14:textId="77777777" w:rsidR="00EE713A" w:rsidRDefault="00871FE1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2134"/>
    <w:multiLevelType w:val="hybridMultilevel"/>
    <w:tmpl w:val="37681A76"/>
    <w:lvl w:ilvl="0" w:tplc="9B6020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7527D3"/>
    <w:rsid w:val="008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709B"/>
  <w15:chartTrackingRefBased/>
  <w15:docId w15:val="{8B389A43-8F6E-4367-B47E-D8FB1FA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E1"/>
    <w:pPr>
      <w:suppressAutoHyphens/>
      <w:spacing w:before="180" w:after="180" w:line="240" w:lineRule="auto"/>
    </w:pPr>
    <w:rPr>
      <w:rFonts w:ascii="Times New Roman" w:eastAsia="Droid Sans Fallback" w:hAnsi="Times New Roman" w:cs="Times New Roman"/>
      <w:color w:val="00000A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1"/>
    <w:uiPriority w:val="99"/>
    <w:rsid w:val="00871FE1"/>
    <w:pPr>
      <w:spacing w:after="120" w:line="288" w:lineRule="auto"/>
    </w:pPr>
  </w:style>
  <w:style w:type="character" w:customStyle="1" w:styleId="BrdtekstTegn">
    <w:name w:val="Brødtekst Tegn"/>
    <w:basedOn w:val="Standardskriftforavsnitt"/>
    <w:uiPriority w:val="99"/>
    <w:semiHidden/>
    <w:rsid w:val="00871FE1"/>
    <w:rPr>
      <w:rFonts w:ascii="Times New Roman" w:eastAsia="Droid Sans Fallback" w:hAnsi="Times New Roman" w:cs="Times New Roman"/>
      <w:color w:val="00000A"/>
      <w:sz w:val="24"/>
      <w:szCs w:val="24"/>
      <w:lang w:val="en-US"/>
    </w:rPr>
  </w:style>
  <w:style w:type="character" w:customStyle="1" w:styleId="BrdtekstTegn1">
    <w:name w:val="Brødtekst Tegn1"/>
    <w:basedOn w:val="Standardskriftforavsnitt"/>
    <w:link w:val="Brdtekst"/>
    <w:uiPriority w:val="99"/>
    <w:rsid w:val="00871FE1"/>
    <w:rPr>
      <w:rFonts w:ascii="Times New Roman" w:eastAsia="Droid Sans Fallback" w:hAnsi="Times New Roman" w:cs="Times New Roman"/>
      <w:color w:val="00000A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rsid w:val="00871FE1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rsid w:val="00871FE1"/>
    <w:pPr>
      <w:spacing w:after="0" w:line="240" w:lineRule="auto"/>
    </w:pPr>
    <w:rPr>
      <w:rFonts w:ascii="Cambria" w:eastAsia="Droid Sans Fallback" w:hAnsi="Cambria" w:cs="Cambria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871FE1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71FE1"/>
    <w:rPr>
      <w:rFonts w:ascii="Times New Roman" w:eastAsia="Droid Sans Fallback" w:hAnsi="Times New Roman" w:cs="Times New Roman"/>
      <w:color w:val="00000A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87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github.com/blakkisrud/RedMarrowSFac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Blakkisrud</dc:creator>
  <cp:keywords/>
  <dc:description/>
  <cp:lastModifiedBy>Johan Blakkisrud</cp:lastModifiedBy>
  <cp:revision>1</cp:revision>
  <dcterms:created xsi:type="dcterms:W3CDTF">2021-07-20T08:37:00Z</dcterms:created>
  <dcterms:modified xsi:type="dcterms:W3CDTF">2021-07-20T08:37:00Z</dcterms:modified>
</cp:coreProperties>
</file>