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CC4307B" w14:textId="77777777" w:rsidR="003D1462" w:rsidRDefault="003D1462">
      <w:pPr>
        <w:spacing w:before="0" w:after="200" w:line="276" w:lineRule="auto"/>
        <w:sectPr w:rsidR="003D1462" w:rsidSect="009342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br w:type="page"/>
      </w:r>
    </w:p>
    <w:p w14:paraId="63D7C2B0" w14:textId="1E260329" w:rsidR="00994A3D" w:rsidRPr="001549D3" w:rsidRDefault="00994A3D" w:rsidP="0001436A">
      <w:pPr>
        <w:pStyle w:val="Heading2"/>
      </w:pPr>
      <w:r w:rsidRPr="0001436A">
        <w:lastRenderedPageBreak/>
        <w:t>Supplementary</w:t>
      </w:r>
      <w:r w:rsidRPr="001549D3">
        <w:t xml:space="preserve"> Figures</w:t>
      </w:r>
    </w:p>
    <w:p w14:paraId="3C419443" w14:textId="53FE0E32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0270C29" w14:textId="5FAE2D02" w:rsidR="0071550C" w:rsidRDefault="0071550C">
      <w:pPr>
        <w:spacing w:before="0" w:after="200" w:line="276" w:lineRule="auto"/>
        <w:rPr>
          <w:rFonts w:cs="Times New Roman"/>
          <w:szCs w:val="24"/>
        </w:rPr>
      </w:pPr>
    </w:p>
    <w:p w14:paraId="22BF0803" w14:textId="001B6C41" w:rsidR="00994A3D" w:rsidRPr="0071550C" w:rsidRDefault="0071550C" w:rsidP="003D1462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AF06F0A" wp14:editId="54C688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03615" cy="180340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1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195A6" w14:textId="729708C4" w:rsidR="0071550C" w:rsidRDefault="0071550C" w:rsidP="00762946">
      <w:pPr>
        <w:keepNext/>
        <w:spacing w:before="0" w:after="0"/>
        <w:jc w:val="both"/>
        <w:rPr>
          <w:rFonts w:cs="Times New Roman"/>
          <w:szCs w:val="24"/>
        </w:rPr>
        <w:sectPr w:rsidR="0071550C" w:rsidSect="003D1462"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bookmarkStart w:id="0" w:name="_Hlk57643899"/>
      <w:r w:rsidRPr="003D1462">
        <w:rPr>
          <w:rFonts w:cs="Times New Roman"/>
          <w:b/>
          <w:szCs w:val="24"/>
        </w:rPr>
        <w:t xml:space="preserve">Supplementary Figure </w:t>
      </w:r>
      <w:r w:rsidR="00484140">
        <w:rPr>
          <w:rFonts w:cs="Times New Roman"/>
          <w:b/>
          <w:szCs w:val="24"/>
        </w:rPr>
        <w:t>1</w:t>
      </w:r>
      <w:r w:rsidRPr="003D1462">
        <w:rPr>
          <w:rFonts w:cs="Times New Roman"/>
          <w:b/>
          <w:szCs w:val="24"/>
        </w:rPr>
        <w:t>.</w:t>
      </w:r>
      <w:r w:rsidRPr="003D1462">
        <w:rPr>
          <w:rFonts w:cs="Times New Roman"/>
          <w:szCs w:val="24"/>
        </w:rPr>
        <w:t xml:space="preserve"> </w:t>
      </w:r>
      <w:r w:rsidRPr="0071550C">
        <w:rPr>
          <w:rFonts w:cs="Times New Roman"/>
          <w:szCs w:val="24"/>
        </w:rPr>
        <w:t>Bathymetric profile of the South Sandwich Islands from north (left) to south (right). Profile follows shallowest line between each island and is derived from the Leat et al. (201</w:t>
      </w:r>
      <w:r w:rsidR="00374153">
        <w:rPr>
          <w:rFonts w:cs="Times New Roman"/>
          <w:szCs w:val="24"/>
        </w:rPr>
        <w:t>6</w:t>
      </w:r>
      <w:r w:rsidRPr="0071550C">
        <w:rPr>
          <w:rFonts w:cs="Times New Roman"/>
          <w:szCs w:val="24"/>
        </w:rPr>
        <w:t>) digital elevation model.</w:t>
      </w:r>
    </w:p>
    <w:bookmarkEnd w:id="0"/>
    <w:p w14:paraId="054CA159" w14:textId="36EE7108" w:rsidR="0071550C" w:rsidRDefault="0071550C" w:rsidP="0071550C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00B0AD3" wp14:editId="6FDACC6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05220" cy="5964555"/>
            <wp:effectExtent l="0" t="0" r="508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1D508" w14:textId="3987A7F3" w:rsidR="00762946" w:rsidRDefault="0071550C" w:rsidP="00762946">
      <w:pPr>
        <w:spacing w:before="0" w:after="0"/>
        <w:jc w:val="both"/>
        <w:rPr>
          <w:rFonts w:cs="Times New Roman"/>
          <w:szCs w:val="24"/>
        </w:rPr>
        <w:sectPr w:rsidR="00762946" w:rsidSect="0071550C"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71550C">
        <w:rPr>
          <w:b/>
        </w:rPr>
        <w:t xml:space="preserve">Supplementary Figure </w:t>
      </w:r>
      <w:r w:rsidR="00484140">
        <w:rPr>
          <w:b/>
        </w:rPr>
        <w:t>2</w:t>
      </w:r>
      <w:r w:rsidRPr="0071550C">
        <w:rPr>
          <w:b/>
        </w:rPr>
        <w:t>.</w:t>
      </w:r>
      <w:r w:rsidRPr="0071550C">
        <w:t xml:space="preserve"> </w:t>
      </w:r>
      <w:r w:rsidRPr="0071550C">
        <w:rPr>
          <w:rFonts w:cs="Times New Roman"/>
          <w:szCs w:val="24"/>
        </w:rPr>
        <w:t>Importance of environmental variables for predicting distributions of 21 benthic functional groups (see Table 2). Importance was calculated by weighting the functional group-level predictor importance by the functional group R</w:t>
      </w:r>
      <w:r w:rsidRPr="0071550C">
        <w:rPr>
          <w:rFonts w:cs="Times New Roman"/>
          <w:szCs w:val="24"/>
          <w:vertAlign w:val="superscript"/>
        </w:rPr>
        <w:t>2</w:t>
      </w:r>
      <w:r w:rsidRPr="0071550C">
        <w:rPr>
          <w:rFonts w:cs="Times New Roman"/>
          <w:szCs w:val="24"/>
        </w:rPr>
        <w:t xml:space="preserve"> and then averaging. For descriptions of environmental variables see </w:t>
      </w:r>
      <w:r w:rsidR="009350BB">
        <w:rPr>
          <w:rFonts w:cs="Times New Roman"/>
          <w:szCs w:val="24"/>
        </w:rPr>
        <w:t xml:space="preserve">Supplementary </w:t>
      </w:r>
      <w:r w:rsidRPr="0071550C">
        <w:rPr>
          <w:rFonts w:cs="Times New Roman"/>
          <w:szCs w:val="24"/>
        </w:rPr>
        <w:t>Table</w:t>
      </w:r>
      <w:r w:rsidR="009350BB">
        <w:rPr>
          <w:rFonts w:cs="Times New Roman"/>
          <w:szCs w:val="24"/>
        </w:rPr>
        <w:t xml:space="preserve"> 1.</w:t>
      </w:r>
    </w:p>
    <w:p w14:paraId="62F8DD15" w14:textId="11B16705" w:rsidR="003C4D40" w:rsidRDefault="003D1782" w:rsidP="00762946">
      <w:pPr>
        <w:spacing w:before="0" w:after="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97F13E2" wp14:editId="04CD73DB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8608695" cy="4736465"/>
            <wp:effectExtent l="0" t="0" r="1905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695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46" w:rsidRPr="0071550C">
        <w:rPr>
          <w:b/>
        </w:rPr>
        <w:t xml:space="preserve">Supplementary Figure </w:t>
      </w:r>
      <w:r w:rsidR="00484140">
        <w:rPr>
          <w:b/>
        </w:rPr>
        <w:t>3</w:t>
      </w:r>
      <w:r w:rsidR="00762946" w:rsidRPr="0071550C">
        <w:rPr>
          <w:b/>
        </w:rPr>
        <w:t>.</w:t>
      </w:r>
      <w:r w:rsidR="00762946" w:rsidRPr="0071550C">
        <w:t xml:space="preserve"> </w:t>
      </w:r>
      <w:r w:rsidR="00762946" w:rsidRPr="00762946">
        <w:rPr>
          <w:lang w:val="en-GB"/>
        </w:rPr>
        <w:t xml:space="preserve">Environmental characterisation of the 12 mapping clusters shown in Figure </w:t>
      </w:r>
      <w:r w:rsidR="00762946">
        <w:rPr>
          <w:lang w:val="en-GB"/>
        </w:rPr>
        <w:t>7</w:t>
      </w:r>
      <w:r w:rsidR="00762946" w:rsidRPr="00762946">
        <w:rPr>
          <w:lang w:val="en-GB"/>
        </w:rPr>
        <w:t>. In each box plot the middle line represents the median; the upper and lower extent of the box represent the first and third quartile.</w:t>
      </w:r>
    </w:p>
    <w:p w14:paraId="10FCBED6" w14:textId="11AFC1F6" w:rsidR="002F09D0" w:rsidRDefault="002F09D0" w:rsidP="002F09D0">
      <w:pPr>
        <w:spacing w:before="0" w:after="200" w:line="276" w:lineRule="auto"/>
        <w:rPr>
          <w:lang w:val="en-GB"/>
        </w:rPr>
      </w:pPr>
    </w:p>
    <w:p w14:paraId="4FDDDA0F" w14:textId="77777777" w:rsidR="002F09D0" w:rsidRDefault="002F09D0" w:rsidP="002F09D0">
      <w:pPr>
        <w:spacing w:before="0" w:after="0"/>
        <w:rPr>
          <w:lang w:val="en-GB"/>
        </w:rPr>
      </w:pPr>
    </w:p>
    <w:p w14:paraId="393D8670" w14:textId="73E3CA7F" w:rsidR="00762946" w:rsidRDefault="003D1782" w:rsidP="001E0D5A">
      <w:pPr>
        <w:spacing w:before="0" w:after="0"/>
        <w:rPr>
          <w:lang w:val="en-GB"/>
        </w:rPr>
      </w:pPr>
      <w:r w:rsidRPr="002F09D0">
        <w:rPr>
          <w:lang w:val="en-GB"/>
        </w:rPr>
        <w:br w:type="page"/>
      </w:r>
      <w:r w:rsidR="00675E3F" w:rsidRPr="00675E3F">
        <w:rPr>
          <w:b/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3BC3DBD9" wp14:editId="4A9CE1E1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7410450" cy="5451475"/>
            <wp:effectExtent l="0" t="0" r="0" b="0"/>
            <wp:wrapTopAndBottom/>
            <wp:docPr id="2" name="Picture 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E3F">
        <w:rPr>
          <w:b/>
        </w:rPr>
        <w:t>S</w:t>
      </w:r>
      <w:r w:rsidR="00675E3F" w:rsidRPr="00675E3F">
        <w:rPr>
          <w:b/>
        </w:rPr>
        <w:t>upplementary</w:t>
      </w:r>
      <w:r w:rsidR="002F09D0" w:rsidRPr="0071550C">
        <w:rPr>
          <w:b/>
        </w:rPr>
        <w:t xml:space="preserve"> Figure </w:t>
      </w:r>
      <w:r w:rsidR="00675E3F">
        <w:rPr>
          <w:b/>
        </w:rPr>
        <w:t>4</w:t>
      </w:r>
      <w:r w:rsidR="002F09D0" w:rsidRPr="0071550C">
        <w:rPr>
          <w:b/>
        </w:rPr>
        <w:t>.</w:t>
      </w:r>
      <w:r w:rsidR="002F09D0" w:rsidRPr="0071550C">
        <w:t xml:space="preserve"> </w:t>
      </w:r>
      <w:r w:rsidR="001E0D5A" w:rsidRPr="001E0D5A">
        <w:rPr>
          <w:lang w:val="en-GB"/>
        </w:rPr>
        <w:t>Faunal characterisation of the 12 mapping clusters</w:t>
      </w:r>
      <w:r w:rsidR="001E0D5A">
        <w:rPr>
          <w:lang w:val="en-GB"/>
        </w:rPr>
        <w:t xml:space="preserve"> </w:t>
      </w:r>
      <w:r w:rsidR="001E0D5A" w:rsidRPr="001E0D5A">
        <w:rPr>
          <w:lang w:val="en-GB"/>
        </w:rPr>
        <w:t>shown in Figure 7. Plots show the ratio of presences (black) to absences (grey) of</w:t>
      </w:r>
      <w:r w:rsidR="001E0D5A">
        <w:rPr>
          <w:lang w:val="en-GB"/>
        </w:rPr>
        <w:t xml:space="preserve"> </w:t>
      </w:r>
      <w:r w:rsidR="001E0D5A" w:rsidRPr="001E0D5A">
        <w:rPr>
          <w:lang w:val="en-GB"/>
        </w:rPr>
        <w:t>21 functional groups (Table 1) for each mapping cluster.</w:t>
      </w:r>
    </w:p>
    <w:p w14:paraId="04DC59EF" w14:textId="77777777" w:rsidR="001E0D5A" w:rsidRPr="00947A38" w:rsidRDefault="001E0D5A" w:rsidP="001E0D5A">
      <w:pPr>
        <w:spacing w:before="0" w:after="0"/>
        <w:rPr>
          <w:lang w:val="en-GB"/>
        </w:rPr>
      </w:pPr>
    </w:p>
    <w:tbl>
      <w:tblPr>
        <w:tblpPr w:leftFromText="180" w:rightFromText="180" w:vertAnchor="page" w:horzAnchor="margin" w:tblpY="2256"/>
        <w:tblW w:w="12190" w:type="dxa"/>
        <w:tblLayout w:type="fixed"/>
        <w:tblLook w:val="04A0" w:firstRow="1" w:lastRow="0" w:firstColumn="1" w:lastColumn="0" w:noHBand="0" w:noVBand="1"/>
      </w:tblPr>
      <w:tblGrid>
        <w:gridCol w:w="2551"/>
        <w:gridCol w:w="4678"/>
        <w:gridCol w:w="2551"/>
        <w:gridCol w:w="1276"/>
        <w:gridCol w:w="143"/>
        <w:gridCol w:w="93"/>
        <w:gridCol w:w="505"/>
        <w:gridCol w:w="393"/>
      </w:tblGrid>
      <w:tr w:rsidR="00DA37A2" w:rsidRPr="003D1782" w14:paraId="58E4117B" w14:textId="77777777" w:rsidTr="00DA37A2">
        <w:trPr>
          <w:trHeight w:val="255"/>
        </w:trPr>
        <w:tc>
          <w:tcPr>
            <w:tcW w:w="2551" w:type="dxa"/>
            <w:tcBorders>
              <w:bottom w:val="single" w:sz="8" w:space="0" w:color="808080"/>
            </w:tcBorders>
            <w:shd w:val="clear" w:color="auto" w:fill="auto"/>
          </w:tcPr>
          <w:p w14:paraId="025C333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lastRenderedPageBreak/>
              <w:t>Environmental Variables</w:t>
            </w:r>
          </w:p>
        </w:tc>
        <w:tc>
          <w:tcPr>
            <w:tcW w:w="4678" w:type="dxa"/>
            <w:tcBorders>
              <w:bottom w:val="single" w:sz="8" w:space="0" w:color="808080"/>
            </w:tcBorders>
            <w:shd w:val="clear" w:color="auto" w:fill="auto"/>
          </w:tcPr>
          <w:p w14:paraId="2624BDD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t>Description</w:t>
            </w:r>
          </w:p>
        </w:tc>
        <w:tc>
          <w:tcPr>
            <w:tcW w:w="2551" w:type="dxa"/>
            <w:tcBorders>
              <w:bottom w:val="single" w:sz="8" w:space="0" w:color="808080"/>
            </w:tcBorders>
          </w:tcPr>
          <w:p w14:paraId="6A929454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t>Source</w:t>
            </w:r>
          </w:p>
        </w:tc>
        <w:tc>
          <w:tcPr>
            <w:tcW w:w="1419" w:type="dxa"/>
            <w:gridSpan w:val="2"/>
            <w:tcBorders>
              <w:bottom w:val="single" w:sz="8" w:space="0" w:color="808080"/>
            </w:tcBorders>
          </w:tcPr>
          <w:p w14:paraId="14513B1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t>Unit</w:t>
            </w:r>
          </w:p>
        </w:tc>
        <w:tc>
          <w:tcPr>
            <w:tcW w:w="991" w:type="dxa"/>
            <w:gridSpan w:val="3"/>
            <w:tcBorders>
              <w:bottom w:val="single" w:sz="8" w:space="0" w:color="808080"/>
            </w:tcBorders>
            <w:shd w:val="clear" w:color="auto" w:fill="auto"/>
          </w:tcPr>
          <w:p w14:paraId="0B550D18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8"/>
                <w:szCs w:val="18"/>
                <w:u w:val="single"/>
                <w:lang w:val="en-GB" w:eastAsia="en-GB"/>
              </w:rPr>
              <w:t>Scale</w:t>
            </w:r>
          </w:p>
        </w:tc>
      </w:tr>
      <w:tr w:rsidR="00DA37A2" w:rsidRPr="003D1782" w14:paraId="02982356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407F8BA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4678" w:type="dxa"/>
            <w:shd w:val="clear" w:color="auto" w:fill="auto"/>
          </w:tcPr>
          <w:p w14:paraId="781C6133" w14:textId="77777777" w:rsidR="00DA37A2" w:rsidRPr="003D1782" w:rsidRDefault="00DA37A2" w:rsidP="00DA37A2">
            <w:pPr>
              <w:spacing w:before="0" w:after="0"/>
              <w:jc w:val="center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551" w:type="dxa"/>
            <w:shd w:val="clear" w:color="auto" w:fill="auto"/>
          </w:tcPr>
          <w:p w14:paraId="73C9C6D4" w14:textId="77777777" w:rsidR="00DA37A2" w:rsidRPr="003D1782" w:rsidRDefault="00DA37A2" w:rsidP="00DA37A2">
            <w:pPr>
              <w:spacing w:before="0" w:after="0"/>
              <w:jc w:val="center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276" w:type="dxa"/>
          </w:tcPr>
          <w:p w14:paraId="1EDDA309" w14:textId="77777777" w:rsidR="00DA37A2" w:rsidRPr="003D1782" w:rsidRDefault="00DA37A2" w:rsidP="00DA37A2">
            <w:pPr>
              <w:spacing w:before="0" w:after="0"/>
              <w:jc w:val="center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14:paraId="37C45907" w14:textId="77777777" w:rsidR="00DA37A2" w:rsidRPr="003D1782" w:rsidRDefault="00DA37A2" w:rsidP="00DA37A2">
            <w:pPr>
              <w:spacing w:before="0" w:after="0"/>
              <w:jc w:val="center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</w:p>
        </w:tc>
      </w:tr>
      <w:tr w:rsidR="00DA37A2" w:rsidRPr="003D1782" w14:paraId="2E59B17C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219039C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Depth</w:t>
            </w:r>
          </w:p>
        </w:tc>
        <w:tc>
          <w:tcPr>
            <w:tcW w:w="4678" w:type="dxa"/>
            <w:shd w:val="clear" w:color="auto" w:fill="auto"/>
          </w:tcPr>
          <w:p w14:paraId="3505BFEB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Digital elevation model (DEM) of the South Sandwich Islands, South Sandwich Trench and East Scotia Ridge.</w:t>
            </w:r>
          </w:p>
        </w:tc>
        <w:tc>
          <w:tcPr>
            <w:tcW w:w="2551" w:type="dxa"/>
          </w:tcPr>
          <w:p w14:paraId="38A07A6E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Leat et al. (2014)</w:t>
            </w:r>
          </w:p>
        </w:tc>
        <w:tc>
          <w:tcPr>
            <w:tcW w:w="1419" w:type="dxa"/>
            <w:gridSpan w:val="2"/>
          </w:tcPr>
          <w:p w14:paraId="7F85A28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4B9FE33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668C6E80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41FABC69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Slope</w:t>
            </w:r>
          </w:p>
        </w:tc>
        <w:tc>
          <w:tcPr>
            <w:tcW w:w="4678" w:type="dxa"/>
            <w:shd w:val="clear" w:color="auto" w:fill="auto"/>
          </w:tcPr>
          <w:p w14:paraId="4B1AE43B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A first derivative of DEM representing the rate of change in depth from one cell to its neighbours.</w:t>
            </w:r>
          </w:p>
        </w:tc>
        <w:tc>
          <w:tcPr>
            <w:tcW w:w="2551" w:type="dxa"/>
            <w:shd w:val="clear" w:color="auto" w:fill="auto"/>
          </w:tcPr>
          <w:p w14:paraId="61B28E5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1A0B707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°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3E5EB9B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0B118297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3478127F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Rugosity  </w:t>
            </w:r>
          </w:p>
        </w:tc>
        <w:tc>
          <w:tcPr>
            <w:tcW w:w="4678" w:type="dxa"/>
            <w:shd w:val="clear" w:color="auto" w:fill="auto"/>
          </w:tcPr>
          <w:p w14:paraId="7D6A5E7C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A measure of rugosity calculated as the ratio of the three-dimensional DEM surface area to the two-dimensional planar area of a cell.</w:t>
            </w:r>
          </w:p>
        </w:tc>
        <w:tc>
          <w:tcPr>
            <w:tcW w:w="2551" w:type="dxa"/>
          </w:tcPr>
          <w:p w14:paraId="74B7BEC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481E71FE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-</w:t>
            </w:r>
          </w:p>
          <w:p w14:paraId="530802C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91" w:type="dxa"/>
            <w:gridSpan w:val="3"/>
            <w:shd w:val="clear" w:color="auto" w:fill="auto"/>
          </w:tcPr>
          <w:p w14:paraId="7560510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6BAAB0C5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39CB96E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Profile curvature</w:t>
            </w:r>
          </w:p>
        </w:tc>
        <w:tc>
          <w:tcPr>
            <w:tcW w:w="4678" w:type="dxa"/>
            <w:shd w:val="clear" w:color="auto" w:fill="auto"/>
          </w:tcPr>
          <w:p w14:paraId="5267D5CF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A second derivative of DEM measuring the rate of change in the slope gradient.</w:t>
            </w:r>
          </w:p>
        </w:tc>
        <w:tc>
          <w:tcPr>
            <w:tcW w:w="2551" w:type="dxa"/>
            <w:shd w:val="clear" w:color="auto" w:fill="auto"/>
          </w:tcPr>
          <w:p w14:paraId="7482362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4264226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-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6879D5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09164C06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0E4C63F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Topographic Position Index (TPI)</w:t>
            </w:r>
          </w:p>
        </w:tc>
        <w:tc>
          <w:tcPr>
            <w:tcW w:w="4678" w:type="dxa"/>
            <w:shd w:val="clear" w:color="auto" w:fill="auto"/>
          </w:tcPr>
          <w:p w14:paraId="23A2B718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>A measure of whether a cell is positioned on a topographic peak, in a depression on in a region of constant gradient.</w:t>
            </w:r>
          </w:p>
        </w:tc>
        <w:tc>
          <w:tcPr>
            <w:tcW w:w="2551" w:type="dxa"/>
          </w:tcPr>
          <w:p w14:paraId="3456E37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04604A1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-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D06CDE9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707FAA39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376F36B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Channel Network Base Level</w:t>
            </w:r>
          </w:p>
        </w:tc>
        <w:tc>
          <w:tcPr>
            <w:tcW w:w="4678" w:type="dxa"/>
            <w:shd w:val="clear" w:color="auto" w:fill="auto"/>
          </w:tcPr>
          <w:p w14:paraId="40927DE5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 xml:space="preserve">Used to distinguish topographic highs and lows using a channel network attributed with a Strahler order. </w:t>
            </w:r>
            <w:r w:rsidRPr="003D1782">
              <w:rPr>
                <w:rFonts w:ascii="Calibri" w:eastAsia="Calibri" w:hAnsi="Calibri" w:cs="Times New Roman"/>
                <w:sz w:val="16"/>
                <w:szCs w:val="16"/>
                <w:lang w:val="en-GB"/>
              </w:rPr>
              <w:t xml:space="preserve"> </w:t>
            </w: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>The channel network base level is an interpolated elevation surface connecting the channel elevations</w:t>
            </w:r>
          </w:p>
        </w:tc>
        <w:tc>
          <w:tcPr>
            <w:tcW w:w="2551" w:type="dxa"/>
          </w:tcPr>
          <w:p w14:paraId="4EF4804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14E8EAB9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6817C0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2D0F6663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6CB247D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Channel Network Distance</w:t>
            </w:r>
          </w:p>
        </w:tc>
        <w:tc>
          <w:tcPr>
            <w:tcW w:w="4678" w:type="dxa"/>
            <w:shd w:val="clear" w:color="auto" w:fill="auto"/>
          </w:tcPr>
          <w:p w14:paraId="0E79E130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>The channel network distance is calculated as the vertical distance between the depth DEM elevation and the channel network base level elevation</w:t>
            </w:r>
          </w:p>
        </w:tc>
        <w:tc>
          <w:tcPr>
            <w:tcW w:w="2551" w:type="dxa"/>
          </w:tcPr>
          <w:p w14:paraId="74C0B431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1FCDC02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33505D13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527C91C7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42D7BE8E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Valley Depth</w:t>
            </w:r>
          </w:p>
        </w:tc>
        <w:tc>
          <w:tcPr>
            <w:tcW w:w="4678" w:type="dxa"/>
            <w:shd w:val="clear" w:color="auto" w:fill="auto"/>
          </w:tcPr>
          <w:p w14:paraId="69B61836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>Valley depth is calculated as the vertical distance to the lowest elevation of source flow</w:t>
            </w:r>
          </w:p>
        </w:tc>
        <w:tc>
          <w:tcPr>
            <w:tcW w:w="2551" w:type="dxa"/>
          </w:tcPr>
          <w:p w14:paraId="09CBCC8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6A7202A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32DC8F9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5DC6594C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0FF172E9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LS-Factor</w:t>
            </w:r>
          </w:p>
        </w:tc>
        <w:tc>
          <w:tcPr>
            <w:tcW w:w="4678" w:type="dxa"/>
            <w:shd w:val="clear" w:color="auto" w:fill="auto"/>
          </w:tcPr>
          <w:p w14:paraId="3CD21289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color w:val="000000"/>
                <w:sz w:val="16"/>
                <w:szCs w:val="16"/>
                <w:lang w:val="en-GB" w:eastAsia="en-GB"/>
              </w:rPr>
              <w:t>The LS-factor, a combination of slope length and steepness (gradient over the length). It reflects the potential stability of sediment deposits and hence the likelihood of exposed hard substrata.</w:t>
            </w:r>
          </w:p>
        </w:tc>
        <w:tc>
          <w:tcPr>
            <w:tcW w:w="2551" w:type="dxa"/>
          </w:tcPr>
          <w:p w14:paraId="621DECF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Derived from Leat et al. (2014)</w:t>
            </w:r>
          </w:p>
        </w:tc>
        <w:tc>
          <w:tcPr>
            <w:tcW w:w="1419" w:type="dxa"/>
            <w:gridSpan w:val="2"/>
          </w:tcPr>
          <w:p w14:paraId="31184F04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C9C286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200m</w:t>
            </w:r>
          </w:p>
        </w:tc>
      </w:tr>
      <w:tr w:rsidR="00DA37A2" w:rsidRPr="003D1782" w14:paraId="743CB892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1D5C91B4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Net primary productivity</w:t>
            </w:r>
          </w:p>
        </w:tc>
        <w:tc>
          <w:tcPr>
            <w:tcW w:w="4678" w:type="dxa"/>
            <w:shd w:val="clear" w:color="auto" w:fill="auto"/>
          </w:tcPr>
          <w:p w14:paraId="034E58BF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sz w:val="16"/>
                <w:szCs w:val="16"/>
                <w:lang w:val="en-GB" w:eastAsia="en-GB"/>
              </w:rPr>
              <w:t>5-year (2014–2018) mean net primary productivity calculated using VGPM</w:t>
            </w:r>
            <w:r w:rsidRPr="003D1782">
              <w:rPr>
                <w:rFonts w:eastAsia="Calibri" w:cs="Arial"/>
                <w:iCs/>
                <w:sz w:val="16"/>
                <w:szCs w:val="16"/>
                <w:lang w:val="en-GB" w:eastAsia="en-GB"/>
              </w:rPr>
              <w:t>, a global "chlorophyll-based" model that estimate net primary production from chlorophyll.</w:t>
            </w:r>
          </w:p>
        </w:tc>
        <w:tc>
          <w:tcPr>
            <w:tcW w:w="2551" w:type="dxa"/>
          </w:tcPr>
          <w:p w14:paraId="6FAF4D4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Behrenfeld and Falkowski (1997) Data available from Oregon State</w:t>
            </w:r>
          </w:p>
        </w:tc>
        <w:tc>
          <w:tcPr>
            <w:tcW w:w="1419" w:type="dxa"/>
            <w:gridSpan w:val="2"/>
          </w:tcPr>
          <w:p w14:paraId="3333CDD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g C/m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vertAlign w:val="superscript"/>
                <w:lang w:val="en-GB" w:eastAsia="en-GB"/>
              </w:rPr>
              <w:t>2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/day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56BD0F8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vertAlign w:val="superscript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301659B3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5881AA41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Maximum primary productivity </w:t>
            </w:r>
          </w:p>
        </w:tc>
        <w:tc>
          <w:tcPr>
            <w:tcW w:w="4678" w:type="dxa"/>
            <w:shd w:val="clear" w:color="auto" w:fill="auto"/>
          </w:tcPr>
          <w:p w14:paraId="016D6B24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sz w:val="16"/>
                <w:szCs w:val="16"/>
                <w:lang w:val="en-GB" w:eastAsia="en-GB"/>
              </w:rPr>
            </w:pPr>
            <w:r w:rsidRPr="003D1782">
              <w:rPr>
                <w:rFonts w:eastAsia="Calibri" w:cs="Arial"/>
                <w:sz w:val="16"/>
                <w:szCs w:val="16"/>
                <w:lang w:val="en-GB" w:eastAsia="en-GB"/>
              </w:rPr>
              <w:t>5-year (2014–2018) peak primary productivity calculated using VGPM.</w:t>
            </w:r>
          </w:p>
        </w:tc>
        <w:tc>
          <w:tcPr>
            <w:tcW w:w="2551" w:type="dxa"/>
          </w:tcPr>
          <w:p w14:paraId="5DB3EA4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Behrenfeld and Falkowski (1997) Data available from Oregon State</w:t>
            </w:r>
          </w:p>
        </w:tc>
        <w:tc>
          <w:tcPr>
            <w:tcW w:w="1419" w:type="dxa"/>
            <w:gridSpan w:val="2"/>
          </w:tcPr>
          <w:p w14:paraId="5A300B2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g C/m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vertAlign w:val="superscript"/>
                <w:lang w:val="en-GB" w:eastAsia="en-GB"/>
              </w:rPr>
              <w:t>2</w:t>
            </w: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/day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028963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41554118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647BEC9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Sea ice extent</w:t>
            </w:r>
          </w:p>
        </w:tc>
        <w:tc>
          <w:tcPr>
            <w:tcW w:w="4678" w:type="dxa"/>
            <w:shd w:val="clear" w:color="auto" w:fill="auto"/>
          </w:tcPr>
          <w:p w14:paraId="01302670" w14:textId="77777777" w:rsidR="00DA37A2" w:rsidRPr="003D1782" w:rsidRDefault="00DA37A2" w:rsidP="00DA37A2">
            <w:pPr>
              <w:spacing w:before="0" w:after="0"/>
              <w:jc w:val="both"/>
              <w:rPr>
                <w:rFonts w:eastAsia="Calibri" w:cs="Arial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Number of sea ice coverage days per year calculated from median daily sea ice extent between 1981 and 2010.</w:t>
            </w:r>
          </w:p>
        </w:tc>
        <w:tc>
          <w:tcPr>
            <w:tcW w:w="2551" w:type="dxa"/>
          </w:tcPr>
          <w:p w14:paraId="2F3F586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National Snow and Ice Data Centre (NSIDC).</w:t>
            </w:r>
          </w:p>
        </w:tc>
        <w:tc>
          <w:tcPr>
            <w:tcW w:w="1419" w:type="dxa"/>
            <w:gridSpan w:val="2"/>
          </w:tcPr>
          <w:p w14:paraId="2C2F265C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Days/year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7DF6C94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-</w:t>
            </w:r>
          </w:p>
        </w:tc>
      </w:tr>
      <w:tr w:rsidR="00DA37A2" w:rsidRPr="003D1782" w14:paraId="5FB4D8E4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7EAF174F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Sea surface mean temperature</w:t>
            </w:r>
          </w:p>
        </w:tc>
        <w:tc>
          <w:tcPr>
            <w:tcW w:w="4678" w:type="dxa"/>
            <w:shd w:val="clear" w:color="auto" w:fill="auto"/>
          </w:tcPr>
          <w:p w14:paraId="1E1E354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Two-year mean sea surface temperature (2016-2019) for summer (Dec – Feb) and winter (Jun-Aug).</w:t>
            </w:r>
          </w:p>
        </w:tc>
        <w:tc>
          <w:tcPr>
            <w:tcW w:w="2551" w:type="dxa"/>
          </w:tcPr>
          <w:p w14:paraId="07EE96C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The Operational Mercator global ocean analysis and forecast system based on the NEMO ocean model. Accessed through the Copernicus.</w:t>
            </w:r>
          </w:p>
        </w:tc>
        <w:tc>
          <w:tcPr>
            <w:tcW w:w="1419" w:type="dxa"/>
            <w:gridSpan w:val="2"/>
          </w:tcPr>
          <w:p w14:paraId="671AE353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°C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D8FC63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0692ACF0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37F18EA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Seafloor mean temperature</w:t>
            </w:r>
          </w:p>
        </w:tc>
        <w:tc>
          <w:tcPr>
            <w:tcW w:w="4678" w:type="dxa"/>
            <w:shd w:val="clear" w:color="auto" w:fill="auto"/>
          </w:tcPr>
          <w:p w14:paraId="48FA5EC1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Two-year mean seafloor temperature (2016-2019) for summer (Dec – Feb) and winter (Jun-Aug).</w:t>
            </w:r>
          </w:p>
        </w:tc>
        <w:tc>
          <w:tcPr>
            <w:tcW w:w="2551" w:type="dxa"/>
          </w:tcPr>
          <w:p w14:paraId="4811F3E5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The Operational Mercator global ocean analysis and forecast system</w:t>
            </w:r>
          </w:p>
        </w:tc>
        <w:tc>
          <w:tcPr>
            <w:tcW w:w="1419" w:type="dxa"/>
            <w:gridSpan w:val="2"/>
          </w:tcPr>
          <w:p w14:paraId="73C6739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°C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F4DCBD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458AD584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440129E3" w14:textId="77777777" w:rsidR="00DA37A2" w:rsidRPr="003D1782" w:rsidRDefault="00DA37A2" w:rsidP="00DA37A2">
            <w:pPr>
              <w:spacing w:before="0" w:after="0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Seafloor annual temperature range </w:t>
            </w:r>
          </w:p>
        </w:tc>
        <w:tc>
          <w:tcPr>
            <w:tcW w:w="4678" w:type="dxa"/>
            <w:shd w:val="clear" w:color="auto" w:fill="auto"/>
          </w:tcPr>
          <w:p w14:paraId="7BB0B3DE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Two-year mean temperature differential between summer and winter seafloor temperature.</w:t>
            </w:r>
          </w:p>
        </w:tc>
        <w:tc>
          <w:tcPr>
            <w:tcW w:w="2551" w:type="dxa"/>
          </w:tcPr>
          <w:p w14:paraId="44F133A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The Operational Mercator global ocean analysis and forecast system</w:t>
            </w:r>
          </w:p>
        </w:tc>
        <w:tc>
          <w:tcPr>
            <w:tcW w:w="1419" w:type="dxa"/>
            <w:gridSpan w:val="2"/>
          </w:tcPr>
          <w:p w14:paraId="745745A3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°C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317725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07FAA114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7A2DF53A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Seafloor current speed</w:t>
            </w:r>
          </w:p>
        </w:tc>
        <w:tc>
          <w:tcPr>
            <w:tcW w:w="4678" w:type="dxa"/>
            <w:shd w:val="clear" w:color="auto" w:fill="auto"/>
          </w:tcPr>
          <w:p w14:paraId="5025AED3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Two-year mean seafloor current speed (2016-2019) for summer (Dec – Feb) and winter (Jun-Aug).</w:t>
            </w:r>
          </w:p>
        </w:tc>
        <w:tc>
          <w:tcPr>
            <w:tcW w:w="2551" w:type="dxa"/>
          </w:tcPr>
          <w:p w14:paraId="50B0BF20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The Operational Mercator global ocean analysis and forecast system</w:t>
            </w:r>
          </w:p>
        </w:tc>
        <w:tc>
          <w:tcPr>
            <w:tcW w:w="1419" w:type="dxa"/>
            <w:gridSpan w:val="2"/>
          </w:tcPr>
          <w:p w14:paraId="27A10CB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m/s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872678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0083A9BF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3502397C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Seafloor salinity</w:t>
            </w:r>
          </w:p>
        </w:tc>
        <w:tc>
          <w:tcPr>
            <w:tcW w:w="4678" w:type="dxa"/>
            <w:shd w:val="clear" w:color="auto" w:fill="auto"/>
          </w:tcPr>
          <w:p w14:paraId="31640CE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Two-year mean seafloor salinity (2016-2019) for summer (Dec – Feb) and winter (Jun-Aug).</w:t>
            </w:r>
          </w:p>
        </w:tc>
        <w:tc>
          <w:tcPr>
            <w:tcW w:w="2551" w:type="dxa"/>
          </w:tcPr>
          <w:p w14:paraId="664F14D6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The Operational Mercator global ocean analysis and forecast system</w:t>
            </w:r>
          </w:p>
        </w:tc>
        <w:tc>
          <w:tcPr>
            <w:tcW w:w="1419" w:type="dxa"/>
            <w:gridSpan w:val="2"/>
          </w:tcPr>
          <w:p w14:paraId="02DF54AD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PSU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CC018C9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1/12°</w:t>
            </w:r>
          </w:p>
        </w:tc>
      </w:tr>
      <w:tr w:rsidR="00DA37A2" w:rsidRPr="003D1782" w14:paraId="0938EA5C" w14:textId="77777777" w:rsidTr="00DA37A2">
        <w:trPr>
          <w:trHeight w:val="255"/>
        </w:trPr>
        <w:tc>
          <w:tcPr>
            <w:tcW w:w="2551" w:type="dxa"/>
            <w:shd w:val="clear" w:color="auto" w:fill="auto"/>
          </w:tcPr>
          <w:p w14:paraId="5613BCE2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Latitude</w:t>
            </w:r>
          </w:p>
        </w:tc>
        <w:tc>
          <w:tcPr>
            <w:tcW w:w="4678" w:type="dxa"/>
            <w:shd w:val="clear" w:color="auto" w:fill="auto"/>
          </w:tcPr>
          <w:p w14:paraId="4E42024B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 xml:space="preserve">Decimal degrees recorded at the centroid of each raster </w:t>
            </w:r>
          </w:p>
        </w:tc>
        <w:tc>
          <w:tcPr>
            <w:tcW w:w="2551" w:type="dxa"/>
          </w:tcPr>
          <w:p w14:paraId="555ED488" w14:textId="77777777" w:rsidR="00DA37A2" w:rsidRPr="003D1782" w:rsidRDefault="00DA37A2" w:rsidP="00DA37A2">
            <w:pPr>
              <w:spacing w:before="0" w:after="0"/>
              <w:jc w:val="center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-</w:t>
            </w:r>
          </w:p>
        </w:tc>
        <w:tc>
          <w:tcPr>
            <w:tcW w:w="1419" w:type="dxa"/>
            <w:gridSpan w:val="2"/>
          </w:tcPr>
          <w:p w14:paraId="320C44B7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Decimal Degrees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BB4FC1F" w14:textId="77777777" w:rsidR="00DA37A2" w:rsidRPr="003D1782" w:rsidRDefault="00DA37A2" w:rsidP="00DA37A2">
            <w:pPr>
              <w:spacing w:before="0" w:after="0"/>
              <w:jc w:val="both"/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</w:pPr>
            <w:r w:rsidRPr="003D1782">
              <w:rPr>
                <w:rFonts w:eastAsia="Open Sans" w:cs="Arial"/>
                <w:color w:val="000000"/>
                <w:sz w:val="16"/>
                <w:szCs w:val="16"/>
                <w:lang w:val="en-GB" w:eastAsia="en-GB"/>
              </w:rPr>
              <w:t>Continuous</w:t>
            </w:r>
          </w:p>
        </w:tc>
      </w:tr>
      <w:tr w:rsidR="00DA37A2" w:rsidRPr="003D1782" w14:paraId="4B48ED24" w14:textId="77777777" w:rsidTr="00DA37A2">
        <w:trPr>
          <w:gridAfter w:val="1"/>
          <w:wAfter w:w="393" w:type="dxa"/>
          <w:trHeight w:val="255"/>
        </w:trPr>
        <w:tc>
          <w:tcPr>
            <w:tcW w:w="2551" w:type="dxa"/>
            <w:tcBorders>
              <w:bottom w:val="single" w:sz="8" w:space="0" w:color="808080"/>
            </w:tcBorders>
            <w:shd w:val="clear" w:color="auto" w:fill="auto"/>
          </w:tcPr>
          <w:p w14:paraId="67838EA1" w14:textId="77777777" w:rsidR="00DA37A2" w:rsidRPr="003D1782" w:rsidRDefault="00DA37A2" w:rsidP="00DA37A2">
            <w:pPr>
              <w:spacing w:before="0" w:after="0"/>
              <w:jc w:val="both"/>
              <w:rPr>
                <w:rFonts w:ascii="Garamond" w:eastAsia="Open Sans" w:hAnsi="Garamond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4678" w:type="dxa"/>
            <w:tcBorders>
              <w:bottom w:val="single" w:sz="8" w:space="0" w:color="808080"/>
            </w:tcBorders>
            <w:shd w:val="clear" w:color="auto" w:fill="auto"/>
          </w:tcPr>
          <w:p w14:paraId="3D03B412" w14:textId="77777777" w:rsidR="00DA37A2" w:rsidRPr="003D1782" w:rsidRDefault="00DA37A2" w:rsidP="00DA37A2">
            <w:pPr>
              <w:spacing w:before="0" w:after="0"/>
              <w:jc w:val="center"/>
              <w:rPr>
                <w:rFonts w:ascii="Garamond" w:eastAsia="Open Sans" w:hAnsi="Garamond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551" w:type="dxa"/>
            <w:tcBorders>
              <w:bottom w:val="single" w:sz="8" w:space="0" w:color="808080"/>
            </w:tcBorders>
            <w:shd w:val="clear" w:color="auto" w:fill="auto"/>
          </w:tcPr>
          <w:p w14:paraId="521FDA80" w14:textId="77777777" w:rsidR="00DA37A2" w:rsidRPr="003D1782" w:rsidRDefault="00DA37A2" w:rsidP="00DA37A2">
            <w:pPr>
              <w:spacing w:before="0" w:after="0"/>
              <w:jc w:val="center"/>
              <w:rPr>
                <w:rFonts w:ascii="Garamond" w:eastAsia="Open Sans" w:hAnsi="Garamond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276" w:type="dxa"/>
            <w:tcBorders>
              <w:bottom w:val="single" w:sz="8" w:space="0" w:color="808080"/>
            </w:tcBorders>
            <w:shd w:val="clear" w:color="auto" w:fill="auto"/>
          </w:tcPr>
          <w:p w14:paraId="2B0E30AD" w14:textId="77777777" w:rsidR="00DA37A2" w:rsidRPr="003D1782" w:rsidRDefault="00DA37A2" w:rsidP="00DA37A2">
            <w:pPr>
              <w:spacing w:before="0" w:after="0"/>
              <w:jc w:val="center"/>
              <w:rPr>
                <w:rFonts w:ascii="Garamond" w:eastAsia="Open Sans" w:hAnsi="Garamond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36" w:type="dxa"/>
            <w:gridSpan w:val="2"/>
            <w:tcBorders>
              <w:bottom w:val="single" w:sz="8" w:space="0" w:color="808080"/>
            </w:tcBorders>
            <w:shd w:val="clear" w:color="auto" w:fill="auto"/>
          </w:tcPr>
          <w:p w14:paraId="5A6E1DF6" w14:textId="77777777" w:rsidR="00DA37A2" w:rsidRPr="003D1782" w:rsidRDefault="00DA37A2" w:rsidP="00DA37A2">
            <w:pPr>
              <w:spacing w:before="0" w:after="0"/>
              <w:jc w:val="center"/>
              <w:rPr>
                <w:rFonts w:ascii="Garamond" w:eastAsia="Open Sans" w:hAnsi="Garamond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505" w:type="dxa"/>
            <w:tcBorders>
              <w:bottom w:val="single" w:sz="8" w:space="0" w:color="808080"/>
            </w:tcBorders>
            <w:shd w:val="clear" w:color="auto" w:fill="auto"/>
          </w:tcPr>
          <w:p w14:paraId="4D803A49" w14:textId="77777777" w:rsidR="00DA37A2" w:rsidRPr="003D1782" w:rsidRDefault="00DA37A2" w:rsidP="00DA37A2">
            <w:pPr>
              <w:spacing w:before="0" w:after="0"/>
              <w:jc w:val="center"/>
              <w:rPr>
                <w:rFonts w:ascii="Garamond" w:eastAsia="Open Sans" w:hAnsi="Garamond" w:cs="Arial"/>
                <w:color w:val="000000"/>
                <w:sz w:val="16"/>
                <w:szCs w:val="16"/>
                <w:lang w:val="en-GB" w:eastAsia="en-GB"/>
              </w:rPr>
            </w:pPr>
          </w:p>
        </w:tc>
      </w:tr>
    </w:tbl>
    <w:p w14:paraId="55E3BED8" w14:textId="2DCBBBC3" w:rsidR="001E0D5A" w:rsidRPr="001549D3" w:rsidRDefault="001E0D5A" w:rsidP="001E0D5A">
      <w:pPr>
        <w:pStyle w:val="Heading2"/>
        <w:numPr>
          <w:ilvl w:val="1"/>
          <w:numId w:val="14"/>
        </w:numPr>
      </w:pPr>
      <w:r w:rsidRPr="0001436A">
        <w:t>Supplementary</w:t>
      </w:r>
      <w:r w:rsidRPr="001549D3">
        <w:t xml:space="preserve"> </w:t>
      </w:r>
      <w:r>
        <w:t>Tables</w:t>
      </w:r>
    </w:p>
    <w:p w14:paraId="4720E763" w14:textId="47BE6A20" w:rsidR="003D1782" w:rsidRDefault="003D1782" w:rsidP="003D1782">
      <w:pPr>
        <w:rPr>
          <w:rFonts w:cs="Times New Roman"/>
          <w:szCs w:val="24"/>
        </w:rPr>
      </w:pPr>
      <w:r w:rsidRPr="003D1782">
        <w:rPr>
          <w:b/>
          <w:szCs w:val="24"/>
        </w:rPr>
        <w:t xml:space="preserve">Supplementary </w:t>
      </w:r>
      <w:r w:rsidRPr="003D1782">
        <w:rPr>
          <w:rFonts w:cs="Times New Roman"/>
          <w:b/>
          <w:bCs/>
          <w:szCs w:val="24"/>
        </w:rPr>
        <w:t>Table 1</w:t>
      </w:r>
      <w:r w:rsidRPr="003D1782">
        <w:rPr>
          <w:rFonts w:cs="Times New Roman"/>
          <w:szCs w:val="24"/>
        </w:rPr>
        <w:t>. Summary of environmental variables included in landscape mapping and gradient forest analysis</w:t>
      </w:r>
    </w:p>
    <w:p w14:paraId="6EFA249D" w14:textId="77777777" w:rsidR="00DA37A2" w:rsidRPr="003D1782" w:rsidRDefault="00DA37A2" w:rsidP="003D1782">
      <w:pPr>
        <w:rPr>
          <w:rFonts w:cs="Times New Roman"/>
          <w:szCs w:val="24"/>
        </w:rPr>
      </w:pPr>
    </w:p>
    <w:p w14:paraId="265B39BC" w14:textId="7D08DA07" w:rsidR="003D1782" w:rsidRDefault="003D1782" w:rsidP="00DA37A2">
      <w:pPr>
        <w:tabs>
          <w:tab w:val="left" w:pos="3469"/>
        </w:tabs>
      </w:pPr>
    </w:p>
    <w:sectPr w:rsidR="003D1782" w:rsidSect="00762946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45CD4" w14:textId="77777777" w:rsidR="00B142B7" w:rsidRDefault="00B142B7" w:rsidP="00117666">
      <w:pPr>
        <w:spacing w:after="0"/>
      </w:pPr>
      <w:r>
        <w:separator/>
      </w:r>
    </w:p>
  </w:endnote>
  <w:endnote w:type="continuationSeparator" w:id="0">
    <w:p w14:paraId="47B81F28" w14:textId="77777777" w:rsidR="00B142B7" w:rsidRDefault="00B142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AE38" w14:textId="77777777" w:rsidR="008902DA" w:rsidRDefault="008902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DCC3" w14:textId="77777777" w:rsidR="00B142B7" w:rsidRDefault="00B142B7" w:rsidP="00117666">
      <w:pPr>
        <w:spacing w:after="0"/>
      </w:pPr>
      <w:r>
        <w:separator/>
      </w:r>
    </w:p>
  </w:footnote>
  <w:footnote w:type="continuationSeparator" w:id="0">
    <w:p w14:paraId="1BF5EEB5" w14:textId="77777777" w:rsidR="00B142B7" w:rsidRDefault="00B142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3768" w14:textId="77777777" w:rsidR="008902DA" w:rsidRDefault="008902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0D1C" w14:textId="348F1FAE" w:rsidR="003D1462" w:rsidRDefault="003D1462" w:rsidP="0093429D">
    <w:r w:rsidRPr="007E3148">
      <w:rPr>
        <w:b/>
      </w:rPr>
      <w:ptab w:relativeTo="margin" w:alignment="center" w:leader="none"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0668" w14:textId="77777777" w:rsidR="0071550C" w:rsidRDefault="0071550C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0D5A"/>
    <w:rsid w:val="00267D18"/>
    <w:rsid w:val="00274347"/>
    <w:rsid w:val="002868E2"/>
    <w:rsid w:val="002869C3"/>
    <w:rsid w:val="002936E4"/>
    <w:rsid w:val="002B4A57"/>
    <w:rsid w:val="002C74CA"/>
    <w:rsid w:val="002F09D0"/>
    <w:rsid w:val="003123F4"/>
    <w:rsid w:val="003544FB"/>
    <w:rsid w:val="00374153"/>
    <w:rsid w:val="003C4D40"/>
    <w:rsid w:val="003D1462"/>
    <w:rsid w:val="003D1782"/>
    <w:rsid w:val="003D2F2D"/>
    <w:rsid w:val="00401590"/>
    <w:rsid w:val="00447801"/>
    <w:rsid w:val="00452E9C"/>
    <w:rsid w:val="004735C8"/>
    <w:rsid w:val="00484140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75E3F"/>
    <w:rsid w:val="006820B1"/>
    <w:rsid w:val="006B7D14"/>
    <w:rsid w:val="00701727"/>
    <w:rsid w:val="0070566C"/>
    <w:rsid w:val="00714C50"/>
    <w:rsid w:val="0071550C"/>
    <w:rsid w:val="00725A7D"/>
    <w:rsid w:val="007501BE"/>
    <w:rsid w:val="00762946"/>
    <w:rsid w:val="00790BB3"/>
    <w:rsid w:val="007C206C"/>
    <w:rsid w:val="00817DD6"/>
    <w:rsid w:val="0083759F"/>
    <w:rsid w:val="00885156"/>
    <w:rsid w:val="008902DA"/>
    <w:rsid w:val="009151AA"/>
    <w:rsid w:val="0093429D"/>
    <w:rsid w:val="009350BB"/>
    <w:rsid w:val="00943573"/>
    <w:rsid w:val="00943B76"/>
    <w:rsid w:val="00947A38"/>
    <w:rsid w:val="00964134"/>
    <w:rsid w:val="00970F7D"/>
    <w:rsid w:val="00994A3D"/>
    <w:rsid w:val="009C2B12"/>
    <w:rsid w:val="00A174D9"/>
    <w:rsid w:val="00AA4D24"/>
    <w:rsid w:val="00AB6715"/>
    <w:rsid w:val="00B142B7"/>
    <w:rsid w:val="00B1671E"/>
    <w:rsid w:val="00B25EB8"/>
    <w:rsid w:val="00B37513"/>
    <w:rsid w:val="00B37F4D"/>
    <w:rsid w:val="00BB08E3"/>
    <w:rsid w:val="00C52A7B"/>
    <w:rsid w:val="00C56BAF"/>
    <w:rsid w:val="00C679AA"/>
    <w:rsid w:val="00C75972"/>
    <w:rsid w:val="00CD066B"/>
    <w:rsid w:val="00CD4827"/>
    <w:rsid w:val="00CE4FEE"/>
    <w:rsid w:val="00D060CF"/>
    <w:rsid w:val="00DA37A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9D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Oliver Hogg (Cefas)</cp:lastModifiedBy>
  <cp:revision>2</cp:revision>
  <cp:lastPrinted>2013-10-03T12:51:00Z</cp:lastPrinted>
  <dcterms:created xsi:type="dcterms:W3CDTF">2021-08-10T15:25:00Z</dcterms:created>
  <dcterms:modified xsi:type="dcterms:W3CDTF">2021-08-10T15:25:00Z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c2ddd0-afbf-49e4-8b02-da81def1ba6b_Enabled">
    <vt:lpwstr>True</vt:lpwstr>
  </property>
  <property fmtid="{D5CDD505-2E9C-101B-9397-08002B2CF9AE}" pid="3" name="MSIP_Label_a0c2ddd0-afbf-49e4-8b02-da81def1ba6b_SiteId">
    <vt:lpwstr>eeea3199-afa0-41eb-bbf2-f6e42c3da7cf</vt:lpwstr>
  </property>
  <property fmtid="{D5CDD505-2E9C-101B-9397-08002B2CF9AE}" pid="4" name="MSIP_Label_a0c2ddd0-afbf-49e4-8b02-da81def1ba6b_Owner">
    <vt:lpwstr>oliver.hogg@cefas.co.uk</vt:lpwstr>
  </property>
  <property fmtid="{D5CDD505-2E9C-101B-9397-08002B2CF9AE}" pid="5" name="MSIP_Label_a0c2ddd0-afbf-49e4-8b02-da81def1ba6b_SetDate">
    <vt:lpwstr>2020-11-30T16:04:18.7896890Z</vt:lpwstr>
  </property>
  <property fmtid="{D5CDD505-2E9C-101B-9397-08002B2CF9AE}" pid="6" name="MSIP_Label_a0c2ddd0-afbf-49e4-8b02-da81def1ba6b_Name">
    <vt:lpwstr>Official</vt:lpwstr>
  </property>
  <property fmtid="{D5CDD505-2E9C-101B-9397-08002B2CF9AE}" pid="7" name="MSIP_Label_a0c2ddd0-afbf-49e4-8b02-da81def1ba6b_Application">
    <vt:lpwstr>Microsoft Azure Information Protection</vt:lpwstr>
  </property>
  <property fmtid="{D5CDD505-2E9C-101B-9397-08002B2CF9AE}" pid="8" name="MSIP_Label_a0c2ddd0-afbf-49e4-8b02-da81def1ba6b_ActionId">
    <vt:lpwstr>17a9d6c9-c5aa-4a7c-a00a-66151c421a2f</vt:lpwstr>
  </property>
  <property fmtid="{D5CDD505-2E9C-101B-9397-08002B2CF9AE}" pid="9" name="MSIP_Label_a0c2ddd0-afbf-49e4-8b02-da81def1ba6b_Extended_MSFT_Method">
    <vt:lpwstr>Automatic</vt:lpwstr>
  </property>
  <property fmtid="{D5CDD505-2E9C-101B-9397-08002B2CF9AE}" pid="10" name="Sensitivity">
    <vt:lpwstr>Official</vt:lpwstr>
  </property>
</Properties>
</file>