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882E" w14:textId="77777777" w:rsidR="004E2809" w:rsidRPr="006C1FFB" w:rsidRDefault="004E2809" w:rsidP="004E28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3F20AB" wp14:editId="3AD50F65">
            <wp:extent cx="6348730" cy="6365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53" cy="637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AFDCA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S1. Water column CTD profiles showing Salinity [</w:t>
      </w:r>
      <w:r>
        <w:rPr>
          <w:rFonts w:ascii="Arial" w:hAnsi="Arial" w:cs="Arial"/>
          <w:color w:val="222222"/>
          <w:shd w:val="clear" w:color="auto" w:fill="FFFFFF"/>
        </w:rPr>
        <w:t>‰]</w:t>
      </w:r>
      <w:r>
        <w:rPr>
          <w:rFonts w:ascii="Times New Roman" w:hAnsi="Times New Roman"/>
          <w:sz w:val="24"/>
          <w:szCs w:val="24"/>
        </w:rPr>
        <w:t>, Fluorescence (0- 5 VDC volts), and Dissolved Oxygen [mg L</w:t>
      </w:r>
      <w:r w:rsidRPr="006C1FFB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] for all the sampling station. The fluorescence has been magnified 100 times to show on the same x-scale. </w:t>
      </w:r>
      <w:bookmarkStart w:id="0" w:name="_Hlk74312857"/>
      <w:r>
        <w:rPr>
          <w:rFonts w:ascii="Times New Roman" w:hAnsi="Times New Roman"/>
          <w:sz w:val="24"/>
          <w:szCs w:val="24"/>
        </w:rPr>
        <w:t xml:space="preserve">The top x-axis represents the salinity and fluorescence, and the bottom x-axis represents the dissolved oxygen. </w:t>
      </w:r>
      <w:bookmarkEnd w:id="0"/>
    </w:p>
    <w:p w14:paraId="17E70740" w14:textId="77777777" w:rsidR="004E2809" w:rsidRDefault="004E2809" w:rsidP="004E2809">
      <w:pPr>
        <w:spacing w:line="480" w:lineRule="auto"/>
        <w:jc w:val="both"/>
        <w:rPr>
          <w:rFonts w:ascii="Times New Roman" w:eastAsia="Arial" w:hAnsi="Times New Roman"/>
          <w:sz w:val="24"/>
        </w:rPr>
      </w:pPr>
    </w:p>
    <w:p w14:paraId="150DE610" w14:textId="77777777" w:rsidR="004E2809" w:rsidRDefault="004E2809" w:rsidP="004E2809">
      <w:pPr>
        <w:spacing w:line="48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noProof/>
          <w:sz w:val="24"/>
        </w:rPr>
        <w:lastRenderedPageBreak/>
        <w:drawing>
          <wp:inline distT="0" distB="0" distL="0" distR="0" wp14:anchorId="1ABC7647" wp14:editId="4B123A70">
            <wp:extent cx="5869207" cy="75685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89" cy="758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FB60C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S2. The activity depth profile of particulate (large and small) </w:t>
      </w:r>
      <w:r w:rsidRPr="00DB26A3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Po (open circle) and </w:t>
      </w:r>
      <w:r w:rsidRPr="00166016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Pb (filled circle) for the sampling station in the upper 300m. </w:t>
      </w:r>
    </w:p>
    <w:p w14:paraId="1437DA15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58C0D1" wp14:editId="08E9DB82">
            <wp:extent cx="5976488" cy="70389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27" cy="7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0470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S3. POC, PIC, PN, and </w:t>
      </w:r>
      <w:proofErr w:type="spellStart"/>
      <w:r>
        <w:rPr>
          <w:rFonts w:ascii="Times New Roman" w:hAnsi="Times New Roman"/>
          <w:sz w:val="24"/>
          <w:szCs w:val="24"/>
        </w:rPr>
        <w:t>bSi</w:t>
      </w:r>
      <w:proofErr w:type="spellEnd"/>
      <w:r>
        <w:rPr>
          <w:rFonts w:ascii="Times New Roman" w:hAnsi="Times New Roman"/>
          <w:sz w:val="24"/>
          <w:szCs w:val="24"/>
        </w:rPr>
        <w:t xml:space="preserve"> concentration on the large particle samples for upper 300m water column depth. </w:t>
      </w:r>
    </w:p>
    <w:p w14:paraId="0AD507FE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</w:p>
    <w:p w14:paraId="29A063CE" w14:textId="77777777" w:rsidR="004E2809" w:rsidRDefault="004E2809" w:rsidP="004E2809">
      <w:pPr>
        <w:rPr>
          <w:rFonts w:ascii="Times New Roman" w:hAnsi="Times New Roman"/>
          <w:sz w:val="24"/>
          <w:szCs w:val="24"/>
        </w:rPr>
      </w:pPr>
    </w:p>
    <w:p w14:paraId="0921A916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  <w:r w:rsidRPr="005749CA">
        <w:rPr>
          <w:rFonts w:ascii="Times New Roman" w:hAnsi="Times New Roman"/>
          <w:sz w:val="24"/>
          <w:szCs w:val="24"/>
        </w:rPr>
        <w:lastRenderedPageBreak/>
        <w:t>Table S1. POC fluxes in large and small particle fraction sizes</w:t>
      </w:r>
      <w:r>
        <w:rPr>
          <w:rFonts w:ascii="Times New Roman" w:hAnsi="Times New Roman"/>
          <w:sz w:val="24"/>
          <w:szCs w:val="24"/>
        </w:rPr>
        <w:t xml:space="preserve"> using </w:t>
      </w:r>
      <w:r w:rsidRPr="00024201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Po flux. </w:t>
      </w:r>
      <w:r w:rsidRPr="005749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020"/>
        <w:gridCol w:w="1434"/>
        <w:gridCol w:w="1433"/>
        <w:gridCol w:w="1433"/>
        <w:gridCol w:w="1422"/>
        <w:gridCol w:w="1576"/>
        <w:gridCol w:w="1422"/>
      </w:tblGrid>
      <w:tr w:rsidR="004E2809" w:rsidRPr="005749CA" w14:paraId="5F5C2D69" w14:textId="77777777" w:rsidTr="00600E10">
        <w:trPr>
          <w:trHeight w:val="32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05CE6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AD8CE5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POC Flux (mg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Large Particles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1A70403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POC Flux (mg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Small Particles</w:t>
            </w:r>
          </w:p>
        </w:tc>
      </w:tr>
      <w:tr w:rsidR="004E2809" w:rsidRPr="005749CA" w14:paraId="323B60D5" w14:textId="77777777" w:rsidTr="00600E10">
        <w:trPr>
          <w:trHeight w:val="29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EE28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6CA4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003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342A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743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B488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5B486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</w:tr>
      <w:tr w:rsidR="004E2809" w:rsidRPr="005749CA" w14:paraId="000A83DC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914A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96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2.62 ± 0.26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6E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5.43 ± 0.49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DFC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4.86 ± 0.39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84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6.97 ± 0.69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D0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9.77 ± 0.87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FE1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4.86 ± 0.41</w:t>
            </w:r>
          </w:p>
        </w:tc>
      </w:tr>
      <w:tr w:rsidR="004E2809" w:rsidRPr="005749CA" w14:paraId="357DA026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2C72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A9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7.43 ± 0.42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8A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7.23 ± 0.42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894A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3.16 ± 0.22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6F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9.25 ± 0.52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6C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10.82 ± 0.63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942E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7.83 ± 0.54</w:t>
            </w:r>
          </w:p>
        </w:tc>
      </w:tr>
      <w:tr w:rsidR="004E2809" w:rsidRPr="005749CA" w14:paraId="057C6952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99D0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96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2.08 ± 0.11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07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1.88 ± 0.11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ED9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1.13 ± 0.07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99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5.35 ± 0.29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50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7.77 ± 0.46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369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6.85 ± 0.43</w:t>
            </w:r>
          </w:p>
        </w:tc>
      </w:tr>
      <w:tr w:rsidR="004E2809" w:rsidRPr="005749CA" w14:paraId="2390AB0A" w14:textId="77777777" w:rsidTr="00600E10">
        <w:trPr>
          <w:trHeight w:val="29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12B2F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CF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1.59 ± 0.16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14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 ± 0.07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4F1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 ± 0.09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C13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3.35 ± 0.04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7B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 ± 0.03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5D28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 ± 0.09</w:t>
            </w:r>
          </w:p>
        </w:tc>
      </w:tr>
    </w:tbl>
    <w:p w14:paraId="7FFE5A7F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</w:p>
    <w:p w14:paraId="5BE2BF5C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  <w:r w:rsidRPr="005749CA">
        <w:rPr>
          <w:rFonts w:ascii="Times New Roman" w:hAnsi="Times New Roman"/>
          <w:sz w:val="24"/>
          <w:szCs w:val="24"/>
        </w:rPr>
        <w:t>Table S2. PN fluxes in la</w:t>
      </w:r>
      <w:r>
        <w:rPr>
          <w:rFonts w:ascii="Times New Roman" w:hAnsi="Times New Roman"/>
          <w:sz w:val="24"/>
          <w:szCs w:val="24"/>
        </w:rPr>
        <w:t xml:space="preserve">rge </w:t>
      </w:r>
      <w:r w:rsidRPr="005749CA">
        <w:rPr>
          <w:rFonts w:ascii="Times New Roman" w:hAnsi="Times New Roman"/>
          <w:sz w:val="24"/>
          <w:szCs w:val="24"/>
        </w:rPr>
        <w:t>and small particles</w:t>
      </w:r>
      <w:r>
        <w:rPr>
          <w:rFonts w:ascii="Times New Roman" w:hAnsi="Times New Roman"/>
          <w:sz w:val="24"/>
          <w:szCs w:val="24"/>
        </w:rPr>
        <w:t xml:space="preserve"> fraction sizes using </w:t>
      </w:r>
      <w:r w:rsidRPr="00024201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Po flux. </w:t>
      </w:r>
      <w:r w:rsidRPr="005749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020"/>
        <w:gridCol w:w="1434"/>
        <w:gridCol w:w="1433"/>
        <w:gridCol w:w="1433"/>
        <w:gridCol w:w="1474"/>
        <w:gridCol w:w="1473"/>
        <w:gridCol w:w="1473"/>
      </w:tblGrid>
      <w:tr w:rsidR="004E2809" w:rsidRPr="005749CA" w14:paraId="3E786EEE" w14:textId="77777777" w:rsidTr="00600E10">
        <w:trPr>
          <w:trHeight w:val="32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04C4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4C78C98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PN Flux (mg N 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Large Particles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2669A8A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PN Flux (mg N 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d) Small Particles</w:t>
            </w:r>
          </w:p>
        </w:tc>
      </w:tr>
      <w:tr w:rsidR="004E2809" w:rsidRPr="005749CA" w14:paraId="31D60F7D" w14:textId="77777777" w:rsidTr="00600E10">
        <w:trPr>
          <w:trHeight w:val="29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6CE4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24CB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1E8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B2CF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B83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20A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2E1F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</w:tr>
      <w:tr w:rsidR="004E2809" w:rsidRPr="005749CA" w14:paraId="2779757D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CF909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B2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 ± 0.04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F6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 ± 0.04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ABA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0.48 ± 0.04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CC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1.07 ± 0.11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45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1.31 ± 0.87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9EC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1.05 ± 0.09</w:t>
            </w:r>
          </w:p>
        </w:tc>
      </w:tr>
      <w:tr w:rsidR="004E2809" w:rsidRPr="005749CA" w14:paraId="3C28D087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0889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E9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 ± 0.04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33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 ± 0.04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359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0.35 ± 0.02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E5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1.71 ± 0.09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AA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1.09 ± 0.06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C8F78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1.18 ± 0.08</w:t>
            </w:r>
          </w:p>
        </w:tc>
      </w:tr>
      <w:tr w:rsidR="004E2809" w:rsidRPr="005749CA" w14:paraId="13994C46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48E08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B3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 ± 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3A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0.19 ± 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762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 ± 0.01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1A9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1.02 ± 0.06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BC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1.46 ± 0.09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D349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1.09 ± 0.07</w:t>
            </w:r>
          </w:p>
        </w:tc>
      </w:tr>
      <w:tr w:rsidR="004E2809" w:rsidRPr="005749CA" w14:paraId="41F73F52" w14:textId="77777777" w:rsidTr="00600E10">
        <w:trPr>
          <w:trHeight w:val="29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C81B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A3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0.19 ± 0.02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E2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 ± 0.01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2EE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 ± 0.01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C6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 ± 0.03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DE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0.19 ± 0.01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03B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 ± 0.01</w:t>
            </w:r>
          </w:p>
        </w:tc>
      </w:tr>
    </w:tbl>
    <w:p w14:paraId="45450079" w14:textId="77777777" w:rsidR="004E2809" w:rsidRPr="005749CA" w:rsidRDefault="004E2809" w:rsidP="004E2809">
      <w:pPr>
        <w:rPr>
          <w:rFonts w:ascii="Times New Roman" w:eastAsiaTheme="minorHAnsi" w:hAnsi="Times New Roman"/>
          <w:color w:val="000000" w:themeColor="text1"/>
          <w:kern w:val="0"/>
          <w:sz w:val="24"/>
          <w:szCs w:val="24"/>
        </w:rPr>
      </w:pPr>
    </w:p>
    <w:p w14:paraId="032FF189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  <w:r w:rsidRPr="005749CA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S3. PIC flux estimated based on the </w:t>
      </w:r>
      <w:r w:rsidRPr="005749CA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Pb and </w:t>
      </w:r>
      <w:r w:rsidRPr="005749CA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Po fluxes in large particles.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860"/>
        <w:gridCol w:w="1740"/>
        <w:gridCol w:w="1530"/>
        <w:gridCol w:w="1620"/>
        <w:gridCol w:w="1440"/>
        <w:gridCol w:w="1260"/>
        <w:gridCol w:w="1530"/>
      </w:tblGrid>
      <w:tr w:rsidR="004E2809" w:rsidRPr="005749CA" w14:paraId="7FAF2AFC" w14:textId="77777777" w:rsidTr="00600E10">
        <w:trPr>
          <w:trHeight w:val="3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C47F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8EC3108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PIC Flux (mg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using Pb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fluxes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3821B1C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PIC </w:t>
            </w:r>
            <w:proofErr w:type="gramStart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Flux  (</w:t>
            </w:r>
            <w:proofErr w:type="gramEnd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mg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using Po Flux</w:t>
            </w:r>
          </w:p>
        </w:tc>
      </w:tr>
      <w:tr w:rsidR="004E2809" w:rsidRPr="005749CA" w14:paraId="64574399" w14:textId="77777777" w:rsidTr="00600E10">
        <w:trPr>
          <w:trHeight w:val="29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0F1D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Station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B841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100m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8508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150m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61A4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B356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100m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D4F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150m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529D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200m</w:t>
            </w:r>
          </w:p>
        </w:tc>
      </w:tr>
      <w:tr w:rsidR="004E2809" w:rsidRPr="005749CA" w14:paraId="429BE7CA" w14:textId="77777777" w:rsidTr="00600E10">
        <w:trPr>
          <w:trHeight w:val="28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3A73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689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0.018 ± 0.003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EC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0.014 ± 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0768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0.019 ± 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52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0.08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A6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0.11 ± 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FA8CE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0.13 ± 0.01</w:t>
            </w:r>
          </w:p>
        </w:tc>
      </w:tr>
      <w:tr w:rsidR="004E2809" w:rsidRPr="005749CA" w14:paraId="243228B1" w14:textId="77777777" w:rsidTr="00600E10">
        <w:trPr>
          <w:trHeight w:val="28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FB15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588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0.042 ± 0.007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AB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0.145 ± 0.023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ADC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0.059 ± 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5B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0.41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CA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1.07 ± 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B89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0.59 ± 0.04</w:t>
            </w:r>
          </w:p>
        </w:tc>
      </w:tr>
      <w:tr w:rsidR="004E2809" w:rsidRPr="005749CA" w14:paraId="342B51F8" w14:textId="77777777" w:rsidTr="00600E10">
        <w:trPr>
          <w:trHeight w:val="28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D70F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C3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0.017 ± 0.003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61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0.029 ± 0.005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761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0.036 ± 0.005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FF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0.08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7A9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0.12 ± 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D08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0.19 ± 0.01</w:t>
            </w:r>
          </w:p>
        </w:tc>
      </w:tr>
      <w:tr w:rsidR="004E2809" w:rsidRPr="005749CA" w14:paraId="7C1404BE" w14:textId="77777777" w:rsidTr="00600E10">
        <w:trPr>
          <w:trHeight w:val="29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5907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BC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-0.021 ± -0.004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87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 ± 0.001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177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-0.018 ± 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62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-0.11 ± -0.01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72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0.01 ± 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595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9CA">
              <w:rPr>
                <w:rFonts w:ascii="Times New Roman" w:eastAsia="Times New Roman" w:hAnsi="Times New Roman"/>
                <w:color w:val="000000"/>
              </w:rPr>
              <w:t>-0.11 ± -0.01</w:t>
            </w:r>
          </w:p>
        </w:tc>
      </w:tr>
    </w:tbl>
    <w:p w14:paraId="2706D853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</w:p>
    <w:p w14:paraId="4CA59FD3" w14:textId="77777777" w:rsidR="004E2809" w:rsidRPr="005749CA" w:rsidRDefault="004E2809" w:rsidP="004E2809">
      <w:pPr>
        <w:rPr>
          <w:rFonts w:ascii="Times New Roman" w:hAnsi="Times New Roman"/>
          <w:sz w:val="24"/>
          <w:szCs w:val="24"/>
        </w:rPr>
      </w:pPr>
      <w:r w:rsidRPr="005749CA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S4.</w:t>
      </w:r>
      <w:r w:rsidRPr="005749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bSi</w:t>
      </w:r>
      <w:proofErr w:type="spellEnd"/>
      <w:r>
        <w:rPr>
          <w:rFonts w:ascii="Times New Roman" w:hAnsi="Times New Roman"/>
          <w:sz w:val="24"/>
          <w:szCs w:val="24"/>
        </w:rPr>
        <w:t xml:space="preserve"> flux estimated based on the </w:t>
      </w:r>
      <w:r w:rsidRPr="005749CA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 xml:space="preserve">Pb and </w:t>
      </w:r>
      <w:r w:rsidRPr="005749CA">
        <w:rPr>
          <w:rFonts w:ascii="Times New Roman" w:hAnsi="Times New Roman"/>
          <w:sz w:val="24"/>
          <w:szCs w:val="24"/>
          <w:vertAlign w:val="superscript"/>
        </w:rPr>
        <w:t>210</w:t>
      </w:r>
      <w:r>
        <w:rPr>
          <w:rFonts w:ascii="Times New Roman" w:hAnsi="Times New Roman"/>
          <w:sz w:val="24"/>
          <w:szCs w:val="24"/>
        </w:rPr>
        <w:t>Po fluxes in large particles.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020"/>
        <w:gridCol w:w="1434"/>
        <w:gridCol w:w="1433"/>
        <w:gridCol w:w="1433"/>
        <w:gridCol w:w="1474"/>
        <w:gridCol w:w="1473"/>
        <w:gridCol w:w="1473"/>
      </w:tblGrid>
      <w:tr w:rsidR="004E2809" w:rsidRPr="005749CA" w14:paraId="24F540CE" w14:textId="77777777" w:rsidTr="00600E10">
        <w:trPr>
          <w:trHeight w:val="32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39EC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947C52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bSi</w:t>
            </w:r>
            <w:proofErr w:type="spellEnd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Flux (mg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using Pb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fluxes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4163991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bSI</w:t>
            </w:r>
            <w:proofErr w:type="spellEnd"/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Flux (mg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using Po Flux</w:t>
            </w:r>
          </w:p>
        </w:tc>
      </w:tr>
      <w:tr w:rsidR="004E2809" w:rsidRPr="005749CA" w14:paraId="59E5FD8C" w14:textId="77777777" w:rsidTr="00600E10">
        <w:trPr>
          <w:trHeight w:val="29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E7D0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39E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462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FA13A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ECD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B6C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D5E8" w14:textId="77777777" w:rsidR="004E2809" w:rsidRPr="005749CA" w:rsidRDefault="004E2809" w:rsidP="00600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200m</w:t>
            </w:r>
          </w:p>
        </w:tc>
      </w:tr>
      <w:tr w:rsidR="004E2809" w:rsidRPr="005749CA" w14:paraId="7A1A853D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BCA6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F8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 ± 0.17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AF3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1.23 ± 0.21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654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0.36 ± 0.06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BAB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4.22 ± 0.46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F0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8.69 ± 0.78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7C91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2.39 ± 0.21</w:t>
            </w:r>
          </w:p>
        </w:tc>
      </w:tr>
      <w:tr w:rsidR="004E2809" w:rsidRPr="005749CA" w14:paraId="4C2FD957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68B3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87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1.55 ± 0.27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41D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2.88 ± 0.47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0FE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1.26 ± 0.19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DAC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14.51 ± 0.82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BA7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11.72 ± 1.25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BA09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12.66 ± 0.87</w:t>
            </w:r>
          </w:p>
        </w:tc>
      </w:tr>
      <w:tr w:rsidR="004E2809" w:rsidRPr="005749CA" w14:paraId="431E9865" w14:textId="77777777" w:rsidTr="00600E10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B1ED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A56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 ± 0.11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BE4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 ± 0.05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5A42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 ± 0.08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0A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3.63 ± 0.21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1AE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1.36 ± 0.08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5E05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2.93 ± 0.19</w:t>
            </w:r>
          </w:p>
        </w:tc>
      </w:tr>
      <w:tr w:rsidR="004E2809" w:rsidRPr="005749CA" w14:paraId="3158AF05" w14:textId="77777777" w:rsidTr="00600E10">
        <w:trPr>
          <w:trHeight w:val="29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2579" w14:textId="77777777" w:rsidR="004E2809" w:rsidRPr="005749CA" w:rsidRDefault="004E2809" w:rsidP="0060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11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0.67 ± 0.12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FA2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 ± 0.02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8980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 ± 0.02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08F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3.29 ± 0.33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EB8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 ± 0.07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CA7A" w14:textId="77777777" w:rsidR="004E2809" w:rsidRPr="005749CA" w:rsidRDefault="004E2809" w:rsidP="0060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0.88 ± 0.08</w:t>
            </w:r>
          </w:p>
        </w:tc>
      </w:tr>
    </w:tbl>
    <w:p w14:paraId="54BE90A3" w14:textId="77777777" w:rsidR="00264D73" w:rsidRDefault="00264D73"/>
    <w:sectPr w:rsidR="0026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09"/>
    <w:rsid w:val="00264D73"/>
    <w:rsid w:val="004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C6CB"/>
  <w15:chartTrackingRefBased/>
  <w15:docId w15:val="{FE4AF70F-F34C-4F1E-B84D-5B1FEA1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09"/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Wokil Bam</dc:creator>
  <cp:keywords/>
  <dc:description/>
  <cp:lastModifiedBy>Wokil Bam</cp:lastModifiedBy>
  <cp:revision>1</cp:revision>
  <dcterms:created xsi:type="dcterms:W3CDTF">2021-07-16T15:09:00Z</dcterms:created>
  <dcterms:modified xsi:type="dcterms:W3CDTF">2021-07-16T15:10:00Z</dcterms:modified>
</cp:coreProperties>
</file>