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69FF6" w14:textId="5B106972" w:rsidR="00971700" w:rsidRDefault="00971700" w:rsidP="000B5644">
      <w:pPr>
        <w:pageBreakBefore/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Additional Methods</w:t>
      </w:r>
    </w:p>
    <w:p w14:paraId="74357F01" w14:textId="1FE52FC7" w:rsidR="000B5644" w:rsidRPr="00EC71CB" w:rsidRDefault="000B5644" w:rsidP="000B5644">
      <w:pPr>
        <w:pageBreakBefore/>
        <w:spacing w:line="480" w:lineRule="auto"/>
        <w:rPr>
          <w:rFonts w:ascii="Arial Narrow" w:hAnsi="Arial Narrow"/>
          <w:b/>
        </w:rPr>
      </w:pPr>
      <w:r w:rsidRPr="00EC71CB">
        <w:rPr>
          <w:rFonts w:ascii="Arial Narrow" w:hAnsi="Arial Narrow"/>
          <w:b/>
        </w:rPr>
        <w:lastRenderedPageBreak/>
        <w:t xml:space="preserve">Definition of “Syndrome” </w:t>
      </w:r>
    </w:p>
    <w:p w14:paraId="43564C7D" w14:textId="70BC250D" w:rsidR="000B5644" w:rsidRPr="00EC71CB" w:rsidRDefault="000B5644" w:rsidP="000B5644">
      <w:pPr>
        <w:pStyle w:val="ListParagraph"/>
        <w:spacing w:line="480" w:lineRule="auto"/>
        <w:ind w:left="0"/>
        <w:jc w:val="both"/>
        <w:rPr>
          <w:rFonts w:ascii="Arial Narrow" w:hAnsi="Arial Narrow"/>
          <w:lang w:val="en-GB"/>
        </w:rPr>
      </w:pPr>
      <w:r w:rsidRPr="00EC71CB">
        <w:rPr>
          <w:rFonts w:ascii="Arial Narrow" w:hAnsi="Arial Narrow"/>
          <w:lang w:val="en-GB"/>
        </w:rPr>
        <w:t xml:space="preserve">A pre-randomisation syndrome or illness </w:t>
      </w:r>
      <w:r w:rsidRPr="00EC71CB">
        <w:rPr>
          <w:rFonts w:ascii="Arial Narrow" w:hAnsi="Arial Narrow"/>
          <w:i/>
          <w:lang w:val="en-GB"/>
        </w:rPr>
        <w:t>a priori</w:t>
      </w:r>
      <w:r w:rsidRPr="00EC71CB">
        <w:rPr>
          <w:rFonts w:ascii="Arial Narrow" w:hAnsi="Arial Narrow"/>
          <w:lang w:val="en-GB"/>
        </w:rPr>
        <w:t xml:space="preserve"> defined as affecting or possibly affecting neurocognitive development, and which is subdivided in the following categories</w:t>
      </w:r>
      <w:r w:rsidR="001366E2">
        <w:rPr>
          <w:rFonts w:ascii="Arial Narrow" w:hAnsi="Arial Narrow"/>
          <w:lang w:val="en-GB"/>
        </w:rPr>
        <w:t xml:space="preserve"> </w:t>
      </w:r>
      <w:r w:rsidR="00C13326">
        <w:rPr>
          <w:rFonts w:ascii="Arial Narrow" w:hAnsi="Arial Narrow"/>
          <w:lang w:val="en-GB"/>
        </w:rPr>
        <w:t>[</w:t>
      </w:r>
      <w:r w:rsidR="001366E2">
        <w:rPr>
          <w:rFonts w:ascii="Arial Narrow" w:hAnsi="Arial Narrow"/>
          <w:lang w:val="en-GB"/>
        </w:rPr>
        <w:t>1</w:t>
      </w:r>
      <w:r w:rsidR="00C13326">
        <w:rPr>
          <w:rFonts w:ascii="Arial Narrow" w:hAnsi="Arial Narrow"/>
          <w:lang w:val="en-GB"/>
        </w:rPr>
        <w:t>]</w:t>
      </w:r>
      <w:r w:rsidRPr="00EC71CB">
        <w:rPr>
          <w:rFonts w:ascii="Arial Narrow" w:hAnsi="Arial Narrow"/>
          <w:lang w:val="en-GB"/>
        </w:rPr>
        <w:t>:</w:t>
      </w:r>
      <w:r w:rsidR="001366E2" w:rsidRPr="00EC71CB" w:rsidDel="001366E2">
        <w:rPr>
          <w:rFonts w:ascii="Arial Narrow" w:hAnsi="Arial Narrow"/>
          <w:lang w:val="en-GB"/>
        </w:rPr>
        <w:t xml:space="preserve"> </w:t>
      </w:r>
    </w:p>
    <w:p w14:paraId="60C12C74" w14:textId="77777777" w:rsidR="000B5644" w:rsidRPr="00EC71CB" w:rsidRDefault="000B5644" w:rsidP="000B5644">
      <w:pPr>
        <w:pStyle w:val="ListParagraph"/>
        <w:spacing w:line="480" w:lineRule="auto"/>
        <w:ind w:left="0"/>
        <w:jc w:val="both"/>
        <w:rPr>
          <w:rFonts w:ascii="Arial Narrow" w:hAnsi="Arial Narrow"/>
          <w:lang w:val="en-GB"/>
        </w:rPr>
      </w:pPr>
    </w:p>
    <w:p w14:paraId="6DD33E32" w14:textId="77777777" w:rsidR="000B5644" w:rsidRPr="00EC71CB" w:rsidRDefault="000B5644" w:rsidP="000B5644">
      <w:pPr>
        <w:pStyle w:val="ListParagraph"/>
        <w:numPr>
          <w:ilvl w:val="1"/>
          <w:numId w:val="1"/>
        </w:numPr>
        <w:spacing w:line="480" w:lineRule="auto"/>
        <w:ind w:left="360"/>
        <w:jc w:val="both"/>
        <w:rPr>
          <w:rFonts w:ascii="Arial Narrow" w:hAnsi="Arial Narrow"/>
          <w:lang w:val="en-GB"/>
        </w:rPr>
      </w:pPr>
      <w:r w:rsidRPr="00EC71CB">
        <w:rPr>
          <w:rFonts w:ascii="Arial Narrow" w:hAnsi="Arial Narrow"/>
          <w:lang w:val="en-GB"/>
        </w:rPr>
        <w:t>Genetically confirmed syndrome or pathogenic chromosomal abnormality</w:t>
      </w:r>
    </w:p>
    <w:p w14:paraId="5C05FF1F" w14:textId="77777777" w:rsidR="000B5644" w:rsidRPr="00EC71CB" w:rsidRDefault="000B5644" w:rsidP="000B5644">
      <w:pPr>
        <w:pStyle w:val="ListParagraph"/>
        <w:numPr>
          <w:ilvl w:val="1"/>
          <w:numId w:val="1"/>
        </w:numPr>
        <w:spacing w:line="480" w:lineRule="auto"/>
        <w:ind w:left="360"/>
        <w:jc w:val="both"/>
        <w:rPr>
          <w:rFonts w:ascii="Arial Narrow" w:hAnsi="Arial Narrow"/>
          <w:lang w:val="en-GB"/>
        </w:rPr>
      </w:pPr>
      <w:r w:rsidRPr="00EC71CB">
        <w:rPr>
          <w:rFonts w:ascii="Arial Narrow" w:hAnsi="Arial Narrow"/>
          <w:lang w:val="en-GB"/>
        </w:rPr>
        <w:t>Clearly defined syndrome, association or malformation without (identified) genetic aberration</w:t>
      </w:r>
    </w:p>
    <w:p w14:paraId="6D1924F2" w14:textId="77777777" w:rsidR="000B5644" w:rsidRPr="00EC71CB" w:rsidRDefault="000B5644" w:rsidP="000B5644">
      <w:pPr>
        <w:pStyle w:val="ListParagraph"/>
        <w:numPr>
          <w:ilvl w:val="1"/>
          <w:numId w:val="1"/>
        </w:numPr>
        <w:spacing w:line="480" w:lineRule="auto"/>
        <w:ind w:left="360"/>
        <w:jc w:val="both"/>
        <w:rPr>
          <w:rFonts w:ascii="Arial Narrow" w:hAnsi="Arial Narrow"/>
          <w:lang w:val="en-GB"/>
        </w:rPr>
      </w:pPr>
      <w:proofErr w:type="spellStart"/>
      <w:r w:rsidRPr="00EC71CB">
        <w:rPr>
          <w:rFonts w:ascii="Arial Narrow" w:hAnsi="Arial Narrow"/>
          <w:lang w:val="en-GB"/>
        </w:rPr>
        <w:t>Polymalformative</w:t>
      </w:r>
      <w:proofErr w:type="spellEnd"/>
      <w:r w:rsidRPr="00EC71CB">
        <w:rPr>
          <w:rFonts w:ascii="Arial Narrow" w:hAnsi="Arial Narrow"/>
          <w:lang w:val="en-GB"/>
        </w:rPr>
        <w:t xml:space="preserve"> syndrome of unknown </w:t>
      </w:r>
      <w:proofErr w:type="spellStart"/>
      <w:r w:rsidRPr="00EC71CB">
        <w:rPr>
          <w:rFonts w:ascii="Arial Narrow" w:hAnsi="Arial Narrow"/>
          <w:lang w:val="en-GB"/>
        </w:rPr>
        <w:t>etiology</w:t>
      </w:r>
      <w:proofErr w:type="spellEnd"/>
    </w:p>
    <w:p w14:paraId="78AB4C33" w14:textId="77777777" w:rsidR="000B5644" w:rsidRPr="00EC71CB" w:rsidRDefault="000B5644" w:rsidP="000B5644">
      <w:pPr>
        <w:pStyle w:val="ListParagraph"/>
        <w:numPr>
          <w:ilvl w:val="1"/>
          <w:numId w:val="1"/>
        </w:numPr>
        <w:spacing w:line="480" w:lineRule="auto"/>
        <w:ind w:left="360"/>
        <w:jc w:val="both"/>
        <w:rPr>
          <w:rFonts w:ascii="Arial Narrow" w:hAnsi="Arial Narrow"/>
          <w:lang w:val="en-GB"/>
        </w:rPr>
      </w:pPr>
      <w:r w:rsidRPr="00EC71CB">
        <w:rPr>
          <w:rFonts w:ascii="Arial Narrow" w:hAnsi="Arial Narrow"/>
          <w:lang w:val="en-GB"/>
        </w:rPr>
        <w:t>Clear auditory or visual impairment without specified syndrome</w:t>
      </w:r>
    </w:p>
    <w:p w14:paraId="5E973D22" w14:textId="77777777" w:rsidR="000B5644" w:rsidRPr="00EC71CB" w:rsidRDefault="000B5644" w:rsidP="000B5644">
      <w:pPr>
        <w:pStyle w:val="ListParagraph"/>
        <w:numPr>
          <w:ilvl w:val="1"/>
          <w:numId w:val="1"/>
        </w:numPr>
        <w:spacing w:line="480" w:lineRule="auto"/>
        <w:ind w:left="360"/>
        <w:jc w:val="both"/>
        <w:rPr>
          <w:rFonts w:ascii="Arial Narrow" w:hAnsi="Arial Narrow"/>
          <w:lang w:val="en-GB"/>
        </w:rPr>
      </w:pPr>
      <w:r w:rsidRPr="00EC71CB">
        <w:rPr>
          <w:rFonts w:ascii="Arial Narrow" w:hAnsi="Arial Narrow"/>
          <w:lang w:val="en-GB"/>
        </w:rPr>
        <w:t>Congenital hypothyroidism due to thyroid agenesis</w:t>
      </w:r>
    </w:p>
    <w:p w14:paraId="6B111DE3" w14:textId="77777777" w:rsidR="000B5644" w:rsidRPr="00EC71CB" w:rsidRDefault="000B5644" w:rsidP="000B5644">
      <w:pPr>
        <w:pStyle w:val="ListParagraph"/>
        <w:numPr>
          <w:ilvl w:val="1"/>
          <w:numId w:val="1"/>
        </w:numPr>
        <w:spacing w:line="480" w:lineRule="auto"/>
        <w:ind w:left="360"/>
        <w:jc w:val="both"/>
        <w:rPr>
          <w:rFonts w:ascii="Arial Narrow" w:hAnsi="Arial Narrow"/>
          <w:lang w:val="en-GB"/>
        </w:rPr>
      </w:pPr>
      <w:r w:rsidRPr="00EC71CB">
        <w:rPr>
          <w:rFonts w:ascii="Arial Narrow" w:hAnsi="Arial Narrow"/>
          <w:lang w:val="en-GB"/>
        </w:rPr>
        <w:t xml:space="preserve">Brain </w:t>
      </w:r>
      <w:proofErr w:type="spellStart"/>
      <w:r w:rsidRPr="00EC71CB">
        <w:rPr>
          <w:rFonts w:ascii="Arial Narrow" w:hAnsi="Arial Narrow"/>
          <w:lang w:val="en-GB"/>
        </w:rPr>
        <w:t>tumor</w:t>
      </w:r>
      <w:proofErr w:type="spellEnd"/>
      <w:r w:rsidRPr="00EC71CB">
        <w:rPr>
          <w:rFonts w:ascii="Arial Narrow" w:hAnsi="Arial Narrow"/>
          <w:lang w:val="en-GB"/>
        </w:rPr>
        <w:t xml:space="preserve"> or </w:t>
      </w:r>
      <w:proofErr w:type="spellStart"/>
      <w:r w:rsidRPr="00EC71CB">
        <w:rPr>
          <w:rFonts w:ascii="Arial Narrow" w:hAnsi="Arial Narrow"/>
          <w:lang w:val="en-GB"/>
        </w:rPr>
        <w:t>tumor</w:t>
      </w:r>
      <w:proofErr w:type="spellEnd"/>
      <w:r w:rsidRPr="00EC71CB">
        <w:rPr>
          <w:rFonts w:ascii="Arial Narrow" w:hAnsi="Arial Narrow"/>
          <w:lang w:val="en-GB"/>
        </w:rPr>
        <w:t xml:space="preserve"> with intracranial metastatic disease</w:t>
      </w:r>
    </w:p>
    <w:p w14:paraId="0AB473D2" w14:textId="77777777" w:rsidR="000B5644" w:rsidRPr="00EC71CB" w:rsidRDefault="000B5644" w:rsidP="000B5644">
      <w:pPr>
        <w:pStyle w:val="ListParagraph"/>
        <w:numPr>
          <w:ilvl w:val="1"/>
          <w:numId w:val="1"/>
        </w:numPr>
        <w:spacing w:line="480" w:lineRule="auto"/>
        <w:ind w:left="360"/>
        <w:jc w:val="both"/>
        <w:rPr>
          <w:rFonts w:ascii="Arial Narrow" w:hAnsi="Arial Narrow"/>
          <w:lang w:val="en-GB"/>
        </w:rPr>
      </w:pPr>
      <w:proofErr w:type="spellStart"/>
      <w:r w:rsidRPr="00EC71CB">
        <w:rPr>
          <w:rFonts w:ascii="Arial Narrow" w:hAnsi="Arial Narrow"/>
          <w:lang w:val="en-GB"/>
        </w:rPr>
        <w:t>Pediatric</w:t>
      </w:r>
      <w:proofErr w:type="spellEnd"/>
      <w:r w:rsidRPr="00EC71CB">
        <w:rPr>
          <w:rFonts w:ascii="Arial Narrow" w:hAnsi="Arial Narrow"/>
          <w:lang w:val="en-GB"/>
        </w:rPr>
        <w:t xml:space="preserve"> psychiatric disorder (</w:t>
      </w:r>
      <w:proofErr w:type="gramStart"/>
      <w:r w:rsidRPr="00EC71CB">
        <w:rPr>
          <w:rFonts w:ascii="Arial Narrow" w:hAnsi="Arial Narrow"/>
          <w:lang w:val="en-GB"/>
        </w:rPr>
        <w:t>e.g.</w:t>
      </w:r>
      <w:proofErr w:type="gramEnd"/>
      <w:r w:rsidRPr="00EC71CB">
        <w:rPr>
          <w:rFonts w:ascii="Arial Narrow" w:hAnsi="Arial Narrow"/>
          <w:lang w:val="en-GB"/>
        </w:rPr>
        <w:t xml:space="preserve"> autism spectrum disorder, (treatment for) attention deficit hyperactivity disorder)</w:t>
      </w:r>
    </w:p>
    <w:p w14:paraId="47CBF78F" w14:textId="77777777" w:rsidR="000B5644" w:rsidRPr="00EC71CB" w:rsidRDefault="000B5644" w:rsidP="000B5644">
      <w:pPr>
        <w:pStyle w:val="ListParagraph"/>
        <w:numPr>
          <w:ilvl w:val="1"/>
          <w:numId w:val="1"/>
        </w:numPr>
        <w:spacing w:line="480" w:lineRule="auto"/>
        <w:ind w:left="360"/>
        <w:jc w:val="both"/>
        <w:rPr>
          <w:rFonts w:ascii="Arial Narrow" w:hAnsi="Arial Narrow"/>
          <w:lang w:val="en-GB"/>
        </w:rPr>
      </w:pPr>
      <w:r w:rsidRPr="00EC71CB">
        <w:rPr>
          <w:rFonts w:ascii="Arial Narrow" w:hAnsi="Arial Narrow"/>
          <w:lang w:val="en-GB"/>
        </w:rPr>
        <w:t>Severe medical disorder, not primarily neurologic, but suspected to alter psychomotor and/or mental performance</w:t>
      </w:r>
    </w:p>
    <w:p w14:paraId="76E51298" w14:textId="77777777" w:rsidR="000B5644" w:rsidRPr="00EC71CB" w:rsidRDefault="000B5644" w:rsidP="000B5644">
      <w:pPr>
        <w:pStyle w:val="ListParagraph"/>
        <w:numPr>
          <w:ilvl w:val="1"/>
          <w:numId w:val="1"/>
        </w:numPr>
        <w:spacing w:line="480" w:lineRule="auto"/>
        <w:ind w:left="360"/>
        <w:jc w:val="both"/>
        <w:rPr>
          <w:rFonts w:ascii="Arial Narrow" w:hAnsi="Arial Narrow"/>
          <w:lang w:val="en-GB"/>
        </w:rPr>
      </w:pPr>
      <w:r w:rsidRPr="00EC71CB">
        <w:rPr>
          <w:rFonts w:ascii="Arial Narrow" w:hAnsi="Arial Narrow"/>
          <w:lang w:val="en-GB"/>
        </w:rPr>
        <w:t>Severe neonatal problem (</w:t>
      </w:r>
      <w:proofErr w:type="gramStart"/>
      <w:r w:rsidRPr="00EC71CB">
        <w:rPr>
          <w:rFonts w:ascii="Arial Narrow" w:hAnsi="Arial Narrow"/>
          <w:lang w:val="en-GB"/>
        </w:rPr>
        <w:t>e.g.</w:t>
      </w:r>
      <w:proofErr w:type="gramEnd"/>
      <w:r w:rsidRPr="00EC71CB">
        <w:rPr>
          <w:rFonts w:ascii="Arial Narrow" w:hAnsi="Arial Narrow"/>
          <w:lang w:val="en-GB"/>
        </w:rPr>
        <w:t xml:space="preserve"> severe asphyxia)</w:t>
      </w:r>
    </w:p>
    <w:p w14:paraId="4D0755C4" w14:textId="77777777" w:rsidR="000B5644" w:rsidRPr="00EC71CB" w:rsidRDefault="000B5644" w:rsidP="000B5644">
      <w:pPr>
        <w:pStyle w:val="ListParagraph"/>
        <w:numPr>
          <w:ilvl w:val="1"/>
          <w:numId w:val="1"/>
        </w:numPr>
        <w:spacing w:line="480" w:lineRule="auto"/>
        <w:ind w:left="360"/>
        <w:jc w:val="both"/>
        <w:rPr>
          <w:rFonts w:ascii="Arial Narrow" w:hAnsi="Arial Narrow"/>
          <w:lang w:val="en-GB"/>
        </w:rPr>
      </w:pPr>
      <w:r w:rsidRPr="00EC71CB">
        <w:rPr>
          <w:rFonts w:ascii="Arial Narrow" w:hAnsi="Arial Narrow"/>
          <w:lang w:val="en-GB"/>
        </w:rPr>
        <w:t>Severe craniocerebral trauma or near-drowning</w:t>
      </w:r>
    </w:p>
    <w:p w14:paraId="2D72267B" w14:textId="77777777" w:rsidR="000B5644" w:rsidRPr="00EC71CB" w:rsidRDefault="000B5644" w:rsidP="000B5644">
      <w:pPr>
        <w:pStyle w:val="ListParagraph"/>
        <w:numPr>
          <w:ilvl w:val="1"/>
          <w:numId w:val="1"/>
        </w:numPr>
        <w:spacing w:line="480" w:lineRule="auto"/>
        <w:ind w:left="360"/>
        <w:jc w:val="both"/>
        <w:rPr>
          <w:rFonts w:ascii="Arial Narrow" w:hAnsi="Arial Narrow"/>
          <w:lang w:val="en-GB"/>
        </w:rPr>
      </w:pPr>
      <w:r w:rsidRPr="00EC71CB">
        <w:rPr>
          <w:rFonts w:ascii="Arial Narrow" w:hAnsi="Arial Narrow"/>
          <w:lang w:val="en-GB"/>
        </w:rPr>
        <w:t>Severe infectious encephalitis or drug-induced encephalopathy</w:t>
      </w:r>
    </w:p>
    <w:p w14:paraId="0F3B1434" w14:textId="77777777" w:rsidR="000B5644" w:rsidRPr="00EC71CB" w:rsidRDefault="000B5644" w:rsidP="000B5644">
      <w:pPr>
        <w:pStyle w:val="ListParagraph"/>
        <w:numPr>
          <w:ilvl w:val="1"/>
          <w:numId w:val="1"/>
        </w:numPr>
        <w:spacing w:line="480" w:lineRule="auto"/>
        <w:ind w:left="360"/>
        <w:jc w:val="both"/>
        <w:rPr>
          <w:rFonts w:ascii="Arial Narrow" w:hAnsi="Arial Narrow"/>
          <w:lang w:val="en-GB"/>
        </w:rPr>
      </w:pPr>
      <w:r w:rsidRPr="00EC71CB">
        <w:rPr>
          <w:rFonts w:ascii="Arial Narrow" w:hAnsi="Arial Narrow"/>
          <w:lang w:val="en-GB"/>
        </w:rPr>
        <w:t>Infectious meningitis, encephalitis or Guillain-Barré</w:t>
      </w:r>
    </w:p>
    <w:p w14:paraId="6882C85C" w14:textId="77777777" w:rsidR="000B5644" w:rsidRPr="00EC71CB" w:rsidRDefault="000B5644" w:rsidP="000B5644">
      <w:pPr>
        <w:pStyle w:val="ListParagraph"/>
        <w:numPr>
          <w:ilvl w:val="1"/>
          <w:numId w:val="1"/>
        </w:numPr>
        <w:spacing w:line="480" w:lineRule="auto"/>
        <w:ind w:left="360"/>
        <w:jc w:val="both"/>
        <w:rPr>
          <w:rFonts w:ascii="Arial Narrow" w:hAnsi="Arial Narrow"/>
          <w:lang w:val="en-GB"/>
        </w:rPr>
      </w:pPr>
      <w:r w:rsidRPr="00EC71CB">
        <w:rPr>
          <w:rFonts w:ascii="Arial Narrow" w:hAnsi="Arial Narrow"/>
          <w:lang w:val="en-GB"/>
        </w:rPr>
        <w:t>Resuscitation and/or need for extracorporeal membrane oxygenation prior to randomi</w:t>
      </w:r>
      <w:r>
        <w:rPr>
          <w:rFonts w:ascii="Arial Narrow" w:hAnsi="Arial Narrow"/>
          <w:lang w:val="en-GB"/>
        </w:rPr>
        <w:t>z</w:t>
      </w:r>
      <w:r w:rsidRPr="00EC71CB">
        <w:rPr>
          <w:rFonts w:ascii="Arial Narrow" w:hAnsi="Arial Narrow"/>
          <w:lang w:val="en-GB"/>
        </w:rPr>
        <w:t>ation</w:t>
      </w:r>
    </w:p>
    <w:p w14:paraId="7C4D5779" w14:textId="77777777" w:rsidR="000B5644" w:rsidRPr="00EC71CB" w:rsidRDefault="000B5644" w:rsidP="000B5644">
      <w:pPr>
        <w:pStyle w:val="ListParagraph"/>
        <w:numPr>
          <w:ilvl w:val="1"/>
          <w:numId w:val="1"/>
        </w:numPr>
        <w:spacing w:line="480" w:lineRule="auto"/>
        <w:ind w:left="360"/>
        <w:jc w:val="both"/>
        <w:rPr>
          <w:rFonts w:ascii="Arial Narrow" w:hAnsi="Arial Narrow"/>
          <w:lang w:val="en-GB"/>
        </w:rPr>
      </w:pPr>
      <w:r w:rsidRPr="00EC71CB">
        <w:rPr>
          <w:rFonts w:ascii="Arial Narrow" w:hAnsi="Arial Narrow"/>
          <w:lang w:val="en-GB"/>
        </w:rPr>
        <w:t>Severe convulsions or stroke prior to randomi</w:t>
      </w:r>
      <w:r>
        <w:rPr>
          <w:rFonts w:ascii="Arial Narrow" w:hAnsi="Arial Narrow"/>
          <w:lang w:val="en-GB"/>
        </w:rPr>
        <w:t>z</w:t>
      </w:r>
      <w:r w:rsidRPr="00EC71CB">
        <w:rPr>
          <w:rFonts w:ascii="Arial Narrow" w:hAnsi="Arial Narrow"/>
          <w:lang w:val="en-GB"/>
        </w:rPr>
        <w:t>ation</w:t>
      </w:r>
    </w:p>
    <w:p w14:paraId="3E21A5EF" w14:textId="77777777" w:rsidR="000B5644" w:rsidRPr="00011895" w:rsidRDefault="000B5644" w:rsidP="000B5644">
      <w:pPr>
        <w:spacing w:line="480" w:lineRule="auto"/>
        <w:jc w:val="both"/>
        <w:rPr>
          <w:rFonts w:ascii="Arial Narrow" w:hAnsi="Arial Narrow"/>
          <w:lang w:val="en-GB"/>
        </w:rPr>
      </w:pPr>
    </w:p>
    <w:p w14:paraId="2BE787BC" w14:textId="77777777" w:rsidR="000B5644" w:rsidRPr="00EC71CB" w:rsidRDefault="000B5644" w:rsidP="000B5644">
      <w:pPr>
        <w:spacing w:line="480" w:lineRule="auto"/>
        <w:rPr>
          <w:rFonts w:ascii="Arial Narrow" w:hAnsi="Arial Narrow"/>
          <w:b/>
        </w:rPr>
      </w:pPr>
      <w:r w:rsidRPr="00EC71CB">
        <w:rPr>
          <w:rFonts w:ascii="Arial Narrow" w:hAnsi="Arial Narrow"/>
          <w:b/>
        </w:rPr>
        <w:br w:type="page"/>
      </w:r>
    </w:p>
    <w:p w14:paraId="6C4EFCD4" w14:textId="04CDD2D9" w:rsidR="000B5644" w:rsidRDefault="000B5644" w:rsidP="000B5644">
      <w:pPr>
        <w:spacing w:line="480" w:lineRule="auto"/>
        <w:rPr>
          <w:rFonts w:ascii="Arial Narrow" w:hAnsi="Arial Narrow"/>
          <w:b/>
        </w:rPr>
      </w:pPr>
      <w:r w:rsidRPr="00EC71CB">
        <w:rPr>
          <w:rFonts w:ascii="Arial Narrow" w:hAnsi="Arial Narrow"/>
          <w:b/>
        </w:rPr>
        <w:lastRenderedPageBreak/>
        <w:t>Definition of educational and occupational level of parents</w:t>
      </w:r>
    </w:p>
    <w:p w14:paraId="2D46406F" w14:textId="77777777" w:rsidR="000B5644" w:rsidRPr="00EC71CB" w:rsidRDefault="000B5644" w:rsidP="000B5644">
      <w:pPr>
        <w:spacing w:line="480" w:lineRule="auto"/>
        <w:rPr>
          <w:rFonts w:ascii="Arial Narrow" w:hAnsi="Arial Narrow"/>
          <w:b/>
        </w:rPr>
      </w:pPr>
    </w:p>
    <w:p w14:paraId="7B22C00E" w14:textId="290B0118" w:rsidR="000B5644" w:rsidRPr="00EC71CB" w:rsidRDefault="000B5644" w:rsidP="000B5644">
      <w:pPr>
        <w:spacing w:line="480" w:lineRule="auto"/>
        <w:jc w:val="both"/>
        <w:rPr>
          <w:rFonts w:ascii="Arial Narrow" w:hAnsi="Arial Narrow"/>
          <w:b/>
        </w:rPr>
      </w:pPr>
      <w:r w:rsidRPr="00EC71CB">
        <w:rPr>
          <w:rFonts w:ascii="Arial Narrow" w:hAnsi="Arial Narrow"/>
          <w:b/>
        </w:rPr>
        <w:t>Educational level of parents</w:t>
      </w:r>
      <w:r>
        <w:rPr>
          <w:rFonts w:ascii="Arial Narrow" w:hAnsi="Arial Narrow"/>
          <w:b/>
        </w:rPr>
        <w:t xml:space="preserve"> </w:t>
      </w:r>
      <w:r w:rsidR="009766AA">
        <w:rPr>
          <w:rFonts w:ascii="Arial Narrow" w:hAnsi="Arial Narrow"/>
          <w:b/>
        </w:rPr>
        <w:t>[</w:t>
      </w:r>
      <w:r>
        <w:rPr>
          <w:rFonts w:ascii="Arial Narrow" w:hAnsi="Arial Narrow"/>
          <w:b/>
        </w:rPr>
        <w:t>1</w:t>
      </w:r>
      <w:r w:rsidR="009766AA">
        <w:rPr>
          <w:rFonts w:ascii="Arial Narrow" w:hAnsi="Arial Narrow"/>
          <w:b/>
        </w:rPr>
        <w:t>]</w:t>
      </w:r>
    </w:p>
    <w:p w14:paraId="7F2EE234" w14:textId="77777777" w:rsidR="000B5644" w:rsidRPr="00EC71CB" w:rsidRDefault="000B5644" w:rsidP="000B5644">
      <w:pPr>
        <w:pStyle w:val="ListParagraph"/>
        <w:spacing w:after="0" w:line="480" w:lineRule="auto"/>
        <w:ind w:left="0"/>
        <w:jc w:val="both"/>
        <w:rPr>
          <w:rFonts w:ascii="Arial Narrow" w:hAnsi="Arial Narrow"/>
          <w:lang w:val="en-GB"/>
        </w:rPr>
      </w:pPr>
      <w:r w:rsidRPr="00EC71CB">
        <w:rPr>
          <w:rFonts w:ascii="Arial Narrow" w:hAnsi="Arial Narrow"/>
          <w:lang w:val="en-GB"/>
        </w:rPr>
        <w:t xml:space="preserve">The education level is the average of the paternal and maternal educational level, and calculated based upon the 3-point scale subdivisions as made by the </w:t>
      </w:r>
      <w:proofErr w:type="spellStart"/>
      <w:r w:rsidRPr="00EC71CB">
        <w:rPr>
          <w:rFonts w:ascii="Arial Narrow" w:hAnsi="Arial Narrow"/>
          <w:lang w:val="en-GB"/>
        </w:rPr>
        <w:t>Algemene</w:t>
      </w:r>
      <w:proofErr w:type="spellEnd"/>
      <w:r w:rsidRPr="00EC71CB">
        <w:rPr>
          <w:rFonts w:ascii="Arial Narrow" w:hAnsi="Arial Narrow"/>
          <w:lang w:val="en-GB"/>
        </w:rPr>
        <w:t xml:space="preserve"> </w:t>
      </w:r>
      <w:proofErr w:type="spellStart"/>
      <w:r w:rsidRPr="00EC71CB">
        <w:rPr>
          <w:rFonts w:ascii="Arial Narrow" w:hAnsi="Arial Narrow"/>
          <w:lang w:val="en-GB"/>
        </w:rPr>
        <w:t>Directie</w:t>
      </w:r>
      <w:proofErr w:type="spellEnd"/>
      <w:r w:rsidRPr="00EC71CB">
        <w:rPr>
          <w:rFonts w:ascii="Arial Narrow" w:hAnsi="Arial Narrow"/>
          <w:lang w:val="en-GB"/>
        </w:rPr>
        <w:t xml:space="preserve"> </w:t>
      </w:r>
      <w:proofErr w:type="spellStart"/>
      <w:r w:rsidRPr="00EC71CB">
        <w:rPr>
          <w:rFonts w:ascii="Arial Narrow" w:hAnsi="Arial Narrow"/>
          <w:lang w:val="en-GB"/>
        </w:rPr>
        <w:t>Statistiek</w:t>
      </w:r>
      <w:proofErr w:type="spellEnd"/>
      <w:r w:rsidRPr="00EC71CB">
        <w:rPr>
          <w:rFonts w:ascii="Arial Narrow" w:hAnsi="Arial Narrow"/>
          <w:lang w:val="en-GB"/>
        </w:rPr>
        <w:t xml:space="preserve"> (Belgium; </w:t>
      </w:r>
      <w:r w:rsidRPr="00EC71CB">
        <w:rPr>
          <w:rFonts w:ascii="Arial Narrow" w:hAnsi="Arial Narrow"/>
          <w:iCs/>
          <w:lang w:val="en-GB"/>
        </w:rPr>
        <w:t>statbel.fgov.be/</w:t>
      </w:r>
      <w:proofErr w:type="spellStart"/>
      <w:r w:rsidRPr="00EC71CB">
        <w:rPr>
          <w:rFonts w:ascii="Arial Narrow" w:hAnsi="Arial Narrow"/>
          <w:iCs/>
          <w:lang w:val="en-GB"/>
        </w:rPr>
        <w:t>nl</w:t>
      </w:r>
      <w:proofErr w:type="spellEnd"/>
      <w:r w:rsidRPr="00EC71CB">
        <w:rPr>
          <w:rFonts w:ascii="Arial Narrow" w:hAnsi="Arial Narrow"/>
          <w:iCs/>
          <w:lang w:val="en-GB"/>
        </w:rPr>
        <w:t xml:space="preserve">/) </w:t>
      </w:r>
      <w:r w:rsidRPr="00EC71CB">
        <w:rPr>
          <w:rFonts w:ascii="Arial Narrow" w:hAnsi="Arial Narrow"/>
          <w:lang w:val="en-GB"/>
        </w:rPr>
        <w:t xml:space="preserve">and the </w:t>
      </w:r>
      <w:proofErr w:type="spellStart"/>
      <w:r w:rsidRPr="00EC71CB">
        <w:rPr>
          <w:rFonts w:ascii="Arial Narrow" w:hAnsi="Arial Narrow"/>
          <w:lang w:val="en-GB"/>
        </w:rPr>
        <w:t>Centraal</w:t>
      </w:r>
      <w:proofErr w:type="spellEnd"/>
      <w:r w:rsidRPr="00EC71CB">
        <w:rPr>
          <w:rFonts w:ascii="Arial Narrow" w:hAnsi="Arial Narrow"/>
          <w:lang w:val="en-GB"/>
        </w:rPr>
        <w:t xml:space="preserve"> Bureau </w:t>
      </w:r>
      <w:proofErr w:type="spellStart"/>
      <w:r w:rsidRPr="00EC71CB">
        <w:rPr>
          <w:rFonts w:ascii="Arial Narrow" w:hAnsi="Arial Narrow"/>
          <w:lang w:val="en-GB"/>
        </w:rPr>
        <w:t>voor</w:t>
      </w:r>
      <w:proofErr w:type="spellEnd"/>
      <w:r w:rsidRPr="00EC71CB">
        <w:rPr>
          <w:rFonts w:ascii="Arial Narrow" w:hAnsi="Arial Narrow"/>
          <w:lang w:val="en-GB"/>
        </w:rPr>
        <w:t xml:space="preserve"> de </w:t>
      </w:r>
      <w:proofErr w:type="spellStart"/>
      <w:r w:rsidRPr="00EC71CB">
        <w:rPr>
          <w:rFonts w:ascii="Arial Narrow" w:hAnsi="Arial Narrow"/>
          <w:lang w:val="en-GB"/>
        </w:rPr>
        <w:t>Statistiek</w:t>
      </w:r>
      <w:proofErr w:type="spellEnd"/>
      <w:r w:rsidRPr="00EC71CB">
        <w:rPr>
          <w:rFonts w:ascii="Arial Narrow" w:hAnsi="Arial Narrow"/>
          <w:lang w:val="en-GB"/>
        </w:rPr>
        <w:t xml:space="preserve"> (The Netherlands; statline.cbs.nl): Low (=1), middle (=2) and high (=3) educational level.</w:t>
      </w:r>
    </w:p>
    <w:p w14:paraId="44A8CE51" w14:textId="77777777" w:rsidR="000B5644" w:rsidRPr="00EC71CB" w:rsidRDefault="000B5644" w:rsidP="000B5644">
      <w:pPr>
        <w:pStyle w:val="ListParagraph"/>
        <w:spacing w:after="0" w:line="480" w:lineRule="auto"/>
        <w:ind w:left="0"/>
        <w:jc w:val="both"/>
        <w:rPr>
          <w:rFonts w:ascii="Arial Narrow" w:hAnsi="Arial Narrow"/>
          <w:lang w:val="en-GB"/>
        </w:rPr>
      </w:pPr>
    </w:p>
    <w:p w14:paraId="1AFFC2C8" w14:textId="76F00F12" w:rsidR="000B5644" w:rsidRPr="00EC71CB" w:rsidRDefault="000B5644" w:rsidP="000B5644">
      <w:pPr>
        <w:spacing w:line="480" w:lineRule="auto"/>
        <w:jc w:val="both"/>
        <w:rPr>
          <w:rFonts w:ascii="Arial Narrow" w:hAnsi="Arial Narrow"/>
          <w:b/>
        </w:rPr>
      </w:pPr>
      <w:r w:rsidRPr="00EC71CB">
        <w:rPr>
          <w:rFonts w:ascii="Arial Narrow" w:hAnsi="Arial Narrow"/>
          <w:b/>
        </w:rPr>
        <w:t>Occupational level of parents</w:t>
      </w:r>
      <w:r>
        <w:rPr>
          <w:rFonts w:ascii="Arial Narrow" w:hAnsi="Arial Narrow"/>
          <w:b/>
        </w:rPr>
        <w:t xml:space="preserve"> </w:t>
      </w:r>
      <w:r w:rsidR="009766AA">
        <w:rPr>
          <w:rFonts w:ascii="Arial Narrow" w:hAnsi="Arial Narrow"/>
          <w:b/>
        </w:rPr>
        <w:t>[</w:t>
      </w:r>
      <w:r>
        <w:rPr>
          <w:rFonts w:ascii="Arial Narrow" w:hAnsi="Arial Narrow"/>
          <w:b/>
        </w:rPr>
        <w:t>1</w:t>
      </w:r>
      <w:r w:rsidR="009766AA">
        <w:rPr>
          <w:rFonts w:ascii="Arial Narrow" w:hAnsi="Arial Narrow"/>
          <w:b/>
        </w:rPr>
        <w:t>]</w:t>
      </w:r>
    </w:p>
    <w:p w14:paraId="60E045D3" w14:textId="10AA14DD" w:rsidR="000B5644" w:rsidRPr="00EC71CB" w:rsidRDefault="000B5644" w:rsidP="000B5644">
      <w:pPr>
        <w:spacing w:line="480" w:lineRule="auto"/>
        <w:jc w:val="both"/>
        <w:rPr>
          <w:rFonts w:ascii="Arial Narrow" w:hAnsi="Arial Narrow"/>
        </w:rPr>
      </w:pPr>
      <w:r w:rsidRPr="00EC71CB">
        <w:rPr>
          <w:rFonts w:ascii="Arial Narrow" w:hAnsi="Arial Narrow"/>
        </w:rPr>
        <w:t>The occupation level is the average of the paternal and maternal occupation level, which is calculated based upon the International Isco System 4-point scale for professions</w:t>
      </w:r>
      <w:r>
        <w:rPr>
          <w:rFonts w:ascii="Arial Narrow" w:hAnsi="Arial Narrow"/>
        </w:rPr>
        <w:t xml:space="preserve"> </w:t>
      </w:r>
      <w:r w:rsidR="009766AA">
        <w:rPr>
          <w:rFonts w:ascii="Arial Narrow" w:hAnsi="Arial Narrow"/>
        </w:rPr>
        <w:t>[</w:t>
      </w:r>
      <w:r>
        <w:rPr>
          <w:rFonts w:ascii="Arial Narrow" w:hAnsi="Arial Narrow"/>
        </w:rPr>
        <w:t>2</w:t>
      </w:r>
      <w:r w:rsidR="009766AA">
        <w:rPr>
          <w:rFonts w:ascii="Arial Narrow" w:hAnsi="Arial Narrow"/>
        </w:rPr>
        <w:t>]</w:t>
      </w:r>
      <w:r w:rsidRPr="00EC71CB">
        <w:rPr>
          <w:rFonts w:ascii="Arial Narrow" w:hAnsi="Arial Narrow"/>
        </w:rPr>
        <w:t>. In case one of the parents filled in two jobs in the questionnaire, the highest Isco code level was used. In case “unemployed”, “disabled”, “student”, or “housewife/houseman” was filled in, an Isco code level of 1 was given to that parent. When the parents described their profession as “employee”, “worker”, “liberal profession”, or “retired”, they were given an Isco code level of 2.</w:t>
      </w:r>
    </w:p>
    <w:p w14:paraId="16E3A152" w14:textId="77777777" w:rsidR="000B5644" w:rsidRPr="00EC71CB" w:rsidRDefault="000B5644" w:rsidP="000B5644">
      <w:pPr>
        <w:spacing w:line="480" w:lineRule="auto"/>
        <w:jc w:val="both"/>
        <w:rPr>
          <w:rFonts w:ascii="Arial Narrow" w:hAnsi="Arial Narrow"/>
        </w:rPr>
      </w:pPr>
    </w:p>
    <w:p w14:paraId="35B08F52" w14:textId="671E781E" w:rsidR="000B5644" w:rsidRDefault="000B5644" w:rsidP="000B5644">
      <w:pPr>
        <w:pageBreakBefore/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Identification of early-PN induced altered DNA methylation in 37 CpG-sites</w:t>
      </w:r>
    </w:p>
    <w:p w14:paraId="51771009" w14:textId="77777777" w:rsidR="000B5644" w:rsidRDefault="000B5644" w:rsidP="000B564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DNA extraction, bisulfite conversion, genome-wide DNA methylation analysis, and quality assessment</w:t>
      </w:r>
    </w:p>
    <w:p w14:paraId="5FAEFB8A" w14:textId="45BC5ED9" w:rsidR="000B5644" w:rsidRPr="00B355D4" w:rsidRDefault="000B5644" w:rsidP="000B564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During the PEPaNIC-RCT, blood cell samples were collected from patients upon PICU admission and at PICU discharge, and fo</w:t>
      </w:r>
      <w:r w:rsidRPr="00EF7010">
        <w:rPr>
          <w:rFonts w:ascii="Arial Narrow" w:hAnsi="Arial Narrow"/>
        </w:rPr>
        <w:t xml:space="preserve">r comparison </w:t>
      </w:r>
      <w:r>
        <w:rPr>
          <w:rFonts w:ascii="Arial Narrow" w:hAnsi="Arial Narrow"/>
        </w:rPr>
        <w:t>from matched healthy</w:t>
      </w:r>
      <w:r w:rsidRPr="00EF7010">
        <w:rPr>
          <w:rFonts w:ascii="Arial Narrow" w:hAnsi="Arial Narrow"/>
        </w:rPr>
        <w:t xml:space="preserve"> children, </w:t>
      </w:r>
      <w:r>
        <w:rPr>
          <w:rFonts w:ascii="Arial Narrow" w:hAnsi="Arial Narrow"/>
        </w:rPr>
        <w:t>i</w:t>
      </w:r>
      <w:r w:rsidRPr="00EF7010">
        <w:rPr>
          <w:rFonts w:ascii="Arial Narrow" w:hAnsi="Arial Narrow"/>
        </w:rPr>
        <w:t>mmediately after placement of an intravenous catheter prior to minor elective surgery</w:t>
      </w:r>
      <w:r>
        <w:rPr>
          <w:rFonts w:ascii="Arial Narrow" w:hAnsi="Arial Narrow"/>
        </w:rPr>
        <w:t xml:space="preserve"> </w:t>
      </w:r>
      <w:r w:rsidR="009766AA">
        <w:rPr>
          <w:rFonts w:ascii="Arial Narrow" w:hAnsi="Arial Narrow"/>
        </w:rPr>
        <w:t>[</w:t>
      </w:r>
      <w:r>
        <w:rPr>
          <w:rFonts w:ascii="Arial Narrow" w:hAnsi="Arial Narrow"/>
        </w:rPr>
        <w:t>3</w:t>
      </w:r>
      <w:r w:rsidR="009766AA">
        <w:rPr>
          <w:rFonts w:ascii="Arial Narrow" w:hAnsi="Arial Narrow"/>
        </w:rPr>
        <w:t>]</w:t>
      </w:r>
      <w:r>
        <w:rPr>
          <w:rFonts w:ascii="Arial Narrow" w:hAnsi="Arial Narrow"/>
        </w:rPr>
        <w:t xml:space="preserve">. </w:t>
      </w:r>
      <w:r w:rsidRPr="00F73006">
        <w:rPr>
          <w:rFonts w:ascii="Arial Narrow" w:hAnsi="Arial Narrow"/>
        </w:rPr>
        <w:t xml:space="preserve">After extraction and bisulfite-conversion of genomic DNA, </w:t>
      </w:r>
      <w:r>
        <w:rPr>
          <w:rFonts w:ascii="Arial Narrow" w:hAnsi="Arial Narrow"/>
        </w:rPr>
        <w:t xml:space="preserve">a </w:t>
      </w:r>
      <w:r w:rsidRPr="00F73006">
        <w:rPr>
          <w:rFonts w:ascii="Arial Narrow" w:hAnsi="Arial Narrow"/>
        </w:rPr>
        <w:t>genome-wide DNA-methylation analysis was performed with use of the Infinium® HumanMethylation EPIC BeadChip (Illumina Inc., San Diego, CA). This microarray interrogates &gt;850.000 CpG-sites and spans &gt;99% of genes in the Reference Sequence (RefSeq) database</w:t>
      </w:r>
      <w:r>
        <w:rPr>
          <w:rFonts w:ascii="Arial Narrow" w:hAnsi="Arial Narrow"/>
        </w:rPr>
        <w:t xml:space="preserve"> </w:t>
      </w:r>
      <w:r w:rsidR="009766AA">
        <w:rPr>
          <w:rFonts w:ascii="Arial Narrow" w:hAnsi="Arial Narrow"/>
        </w:rPr>
        <w:t>[</w:t>
      </w:r>
      <w:r>
        <w:rPr>
          <w:rFonts w:ascii="Arial Narrow" w:hAnsi="Arial Narrow"/>
        </w:rPr>
        <w:t>4</w:t>
      </w:r>
      <w:r w:rsidR="009766AA">
        <w:rPr>
          <w:rFonts w:ascii="Arial Narrow" w:hAnsi="Arial Narrow"/>
        </w:rPr>
        <w:t>]</w:t>
      </w:r>
      <w:r>
        <w:rPr>
          <w:rFonts w:ascii="Arial Narrow" w:hAnsi="Arial Narrow"/>
        </w:rPr>
        <w:t xml:space="preserve">. </w:t>
      </w:r>
      <w:r w:rsidRPr="00B355D4">
        <w:rPr>
          <w:rFonts w:ascii="Arial Narrow" w:hAnsi="Arial Narrow"/>
        </w:rPr>
        <w:t>Methylation β-values, ranging from 0 (no methylation) to 1 (full methylation), and M-values, which are the log2 ratios of the intensities of methylated prob</w:t>
      </w:r>
      <w:r>
        <w:rPr>
          <w:rFonts w:ascii="Arial Narrow" w:hAnsi="Arial Narrow"/>
        </w:rPr>
        <w:t xml:space="preserve">es versus unmethylated probes </w:t>
      </w:r>
      <w:r w:rsidR="009766AA">
        <w:rPr>
          <w:rFonts w:ascii="Arial Narrow" w:hAnsi="Arial Narrow"/>
        </w:rPr>
        <w:t>[</w:t>
      </w:r>
      <w:r>
        <w:rPr>
          <w:rFonts w:ascii="Arial Narrow" w:hAnsi="Arial Narrow"/>
        </w:rPr>
        <w:t>5</w:t>
      </w:r>
      <w:r w:rsidR="009766AA">
        <w:rPr>
          <w:rFonts w:ascii="Arial Narrow" w:hAnsi="Arial Narrow"/>
        </w:rPr>
        <w:t>]</w:t>
      </w:r>
      <w:r>
        <w:rPr>
          <w:rFonts w:ascii="Arial Narrow" w:hAnsi="Arial Narrow"/>
        </w:rPr>
        <w:t>,</w:t>
      </w:r>
      <w:r w:rsidRPr="00B355D4">
        <w:rPr>
          <w:rFonts w:ascii="Arial Narrow" w:hAnsi="Arial Narrow"/>
        </w:rPr>
        <w:t xml:space="preserve"> were obtained after functional normali</w:t>
      </w:r>
      <w:r>
        <w:rPr>
          <w:rFonts w:ascii="Arial Narrow" w:hAnsi="Arial Narrow"/>
        </w:rPr>
        <w:t>z</w:t>
      </w:r>
      <w:r w:rsidRPr="00B355D4">
        <w:rPr>
          <w:rFonts w:ascii="Arial Narrow" w:hAnsi="Arial Narrow"/>
        </w:rPr>
        <w:t>ation of the raw intensities</w:t>
      </w:r>
      <w:r>
        <w:rPr>
          <w:rFonts w:ascii="Arial Narrow" w:hAnsi="Arial Narrow"/>
        </w:rPr>
        <w:t>.</w:t>
      </w:r>
      <w:r w:rsidRPr="00B355D4">
        <w:rPr>
          <w:rFonts w:ascii="Arial Narrow" w:hAnsi="Arial Narrow"/>
        </w:rPr>
        <w:t xml:space="preserve"> Quality of the DNA methylation data was assessed with evaluation of the bi-peak curve of the M-value distribution among the samples in the low- and high-end range, and with principal component analysis (PCA) that assessed the variance in the dataset. Probes with a mean detection </w:t>
      </w:r>
      <w:r>
        <w:rPr>
          <w:rFonts w:ascii="Arial Narrow" w:hAnsi="Arial Narrow"/>
        </w:rPr>
        <w:t>p</w:t>
      </w:r>
      <w:r w:rsidRPr="00B355D4">
        <w:rPr>
          <w:rFonts w:ascii="Arial Narrow" w:hAnsi="Arial Narrow"/>
        </w:rPr>
        <w:t>-value &gt;0</w:t>
      </w:r>
      <w:r>
        <w:rPr>
          <w:rFonts w:ascii="Arial Narrow" w:hAnsi="Arial Narrow"/>
        </w:rPr>
        <w:t>.</w:t>
      </w:r>
      <w:r w:rsidRPr="00B355D4">
        <w:rPr>
          <w:rFonts w:ascii="Arial Narrow" w:hAnsi="Arial Narrow"/>
        </w:rPr>
        <w:t>01 were excluded, to ensure that signals were expressed above the background defined by negative control probes, as were probes on X and Y chromosomes and probes spanning sing</w:t>
      </w:r>
      <w:r>
        <w:rPr>
          <w:rFonts w:ascii="Arial Narrow" w:hAnsi="Arial Narrow"/>
        </w:rPr>
        <w:t xml:space="preserve">le nucleotide polymorphisms </w:t>
      </w:r>
      <w:r w:rsidR="009766AA">
        <w:rPr>
          <w:rFonts w:ascii="Arial Narrow" w:hAnsi="Arial Narrow"/>
        </w:rPr>
        <w:t>[</w:t>
      </w:r>
      <w:r>
        <w:rPr>
          <w:rFonts w:ascii="Arial Narrow" w:hAnsi="Arial Narrow"/>
        </w:rPr>
        <w:t>6</w:t>
      </w:r>
      <w:r w:rsidR="009766AA">
        <w:rPr>
          <w:rFonts w:ascii="Arial Narrow" w:hAnsi="Arial Narrow"/>
        </w:rPr>
        <w:t>]</w:t>
      </w:r>
      <w:r>
        <w:rPr>
          <w:rFonts w:ascii="Arial Narrow" w:hAnsi="Arial Narrow"/>
        </w:rPr>
        <w:t xml:space="preserve">. </w:t>
      </w:r>
      <w:r w:rsidRPr="00B355D4">
        <w:rPr>
          <w:rFonts w:ascii="Arial Narrow" w:hAnsi="Arial Narrow"/>
        </w:rPr>
        <w:t>Of the extracted leukocyte DNA samples, 814 last PICU day samples, 694 PICU admission samples, and 351 samples from healthy childre</w:t>
      </w:r>
      <w:r>
        <w:rPr>
          <w:rFonts w:ascii="Arial Narrow" w:hAnsi="Arial Narrow"/>
        </w:rPr>
        <w:t>n passed all quality controls</w:t>
      </w:r>
      <w:r w:rsidR="009766AA">
        <w:rPr>
          <w:rFonts w:ascii="Arial Narrow" w:hAnsi="Arial Narrow"/>
        </w:rPr>
        <w:t xml:space="preserve"> [3]</w:t>
      </w:r>
      <w:r>
        <w:rPr>
          <w:rFonts w:ascii="Arial Narrow" w:hAnsi="Arial Narrow"/>
        </w:rPr>
        <w:t>.</w:t>
      </w:r>
      <w:r w:rsidR="009766AA" w:rsidDel="009766AA">
        <w:rPr>
          <w:rFonts w:ascii="Arial Narrow" w:hAnsi="Arial Narrow"/>
        </w:rPr>
        <w:t xml:space="preserve"> </w:t>
      </w:r>
    </w:p>
    <w:p w14:paraId="56F4C7E8" w14:textId="77777777" w:rsidR="000B5644" w:rsidRPr="00A502CE" w:rsidRDefault="000B5644" w:rsidP="000B5644">
      <w:pPr>
        <w:spacing w:line="480" w:lineRule="auto"/>
        <w:jc w:val="both"/>
        <w:rPr>
          <w:rFonts w:ascii="Arial Narrow" w:hAnsi="Arial Narrow"/>
          <w:i/>
        </w:rPr>
      </w:pPr>
      <w:r w:rsidRPr="00A502CE">
        <w:rPr>
          <w:rFonts w:ascii="Arial Narrow" w:hAnsi="Arial Narrow"/>
          <w:i/>
        </w:rPr>
        <w:t>Identification of CpG-sites that became differentially methylated during PICU stay</w:t>
      </w:r>
    </w:p>
    <w:p w14:paraId="07A5E2E8" w14:textId="7529D55C" w:rsidR="000B5644" w:rsidRPr="00B355D4" w:rsidRDefault="000B5644" w:rsidP="000B5644">
      <w:pPr>
        <w:spacing w:line="480" w:lineRule="auto"/>
        <w:jc w:val="both"/>
        <w:rPr>
          <w:rFonts w:ascii="Arial Narrow" w:hAnsi="Arial Narrow"/>
        </w:rPr>
      </w:pPr>
      <w:r w:rsidRPr="00A621D4">
        <w:rPr>
          <w:rFonts w:ascii="Arial Narrow" w:hAnsi="Arial Narrow"/>
        </w:rPr>
        <w:t>As described earlier</w:t>
      </w:r>
      <w:r>
        <w:rPr>
          <w:rFonts w:ascii="Arial Narrow" w:hAnsi="Arial Narrow"/>
        </w:rPr>
        <w:t xml:space="preserve"> </w:t>
      </w:r>
      <w:r w:rsidR="009766AA">
        <w:rPr>
          <w:rFonts w:ascii="Arial Narrow" w:hAnsi="Arial Narrow"/>
        </w:rPr>
        <w:t>[</w:t>
      </w:r>
      <w:r>
        <w:rPr>
          <w:rFonts w:ascii="Arial Narrow" w:hAnsi="Arial Narrow"/>
        </w:rPr>
        <w:t>3</w:t>
      </w:r>
      <w:r w:rsidR="009766AA">
        <w:rPr>
          <w:rFonts w:ascii="Arial Narrow" w:hAnsi="Arial Narrow"/>
        </w:rPr>
        <w:t>]</w:t>
      </w:r>
      <w:r w:rsidRPr="00A621D4">
        <w:rPr>
          <w:rFonts w:ascii="Arial Narrow" w:hAnsi="Arial Narrow"/>
        </w:rPr>
        <w:t>, i</w:t>
      </w:r>
      <w:r w:rsidRPr="00A926E3">
        <w:rPr>
          <w:rFonts w:ascii="Arial Narrow" w:hAnsi="Arial Narrow"/>
        </w:rPr>
        <w:t>n</w:t>
      </w:r>
      <w:r w:rsidRPr="00B355D4">
        <w:rPr>
          <w:rFonts w:ascii="Arial Narrow" w:hAnsi="Arial Narrow"/>
        </w:rPr>
        <w:t xml:space="preserve"> order to investigate whether DNA methylation was altered between PICU admission and discharge</w:t>
      </w:r>
      <w:r>
        <w:rPr>
          <w:rFonts w:ascii="Arial Narrow" w:hAnsi="Arial Narrow"/>
        </w:rPr>
        <w:t xml:space="preserve">, </w:t>
      </w:r>
      <w:r w:rsidRPr="00B355D4">
        <w:rPr>
          <w:rFonts w:ascii="Arial Narrow" w:hAnsi="Arial Narrow"/>
        </w:rPr>
        <w:t xml:space="preserve">M-values were compared between patients upon </w:t>
      </w:r>
      <w:r>
        <w:rPr>
          <w:rFonts w:ascii="Arial Narrow" w:hAnsi="Arial Narrow"/>
        </w:rPr>
        <w:t xml:space="preserve">PICU </w:t>
      </w:r>
      <w:r w:rsidRPr="00B355D4">
        <w:rPr>
          <w:rFonts w:ascii="Arial Narrow" w:hAnsi="Arial Narrow"/>
        </w:rPr>
        <w:t xml:space="preserve">admission and </w:t>
      </w:r>
      <w:r>
        <w:rPr>
          <w:rFonts w:ascii="Arial Narrow" w:hAnsi="Arial Narrow"/>
        </w:rPr>
        <w:t xml:space="preserve">healthy </w:t>
      </w:r>
      <w:r w:rsidRPr="00B355D4">
        <w:rPr>
          <w:rFonts w:ascii="Arial Narrow" w:hAnsi="Arial Narrow"/>
        </w:rPr>
        <w:t>controls with ANOVA, applying a false discovery rate (FDR) &lt;0·05 to account for multiple testing inhere</w:t>
      </w:r>
      <w:r>
        <w:rPr>
          <w:rFonts w:ascii="Arial Narrow" w:hAnsi="Arial Narrow"/>
        </w:rPr>
        <w:t xml:space="preserve">nt to genome-wide analyses </w:t>
      </w:r>
      <w:r w:rsidR="009766AA">
        <w:rPr>
          <w:rFonts w:ascii="Arial Narrow" w:hAnsi="Arial Narrow"/>
        </w:rPr>
        <w:t>[</w:t>
      </w:r>
      <w:r>
        <w:rPr>
          <w:rFonts w:ascii="Arial Narrow" w:hAnsi="Arial Narrow"/>
        </w:rPr>
        <w:t>7</w:t>
      </w:r>
      <w:r w:rsidR="009766AA">
        <w:rPr>
          <w:rFonts w:ascii="Arial Narrow" w:hAnsi="Arial Narrow"/>
        </w:rPr>
        <w:t>]</w:t>
      </w:r>
      <w:r>
        <w:rPr>
          <w:rFonts w:ascii="Arial Narrow" w:hAnsi="Arial Narrow"/>
        </w:rPr>
        <w:t xml:space="preserve">. </w:t>
      </w:r>
      <w:r w:rsidRPr="00B355D4">
        <w:rPr>
          <w:rFonts w:ascii="Arial Narrow" w:hAnsi="Arial Narrow"/>
        </w:rPr>
        <w:t xml:space="preserve">All </w:t>
      </w:r>
      <w:r>
        <w:rPr>
          <w:rFonts w:ascii="Arial Narrow" w:hAnsi="Arial Narrow"/>
        </w:rPr>
        <w:t xml:space="preserve">identified </w:t>
      </w:r>
      <w:r w:rsidRPr="00B355D4">
        <w:rPr>
          <w:rFonts w:ascii="Arial Narrow" w:hAnsi="Arial Narrow"/>
        </w:rPr>
        <w:t xml:space="preserve">CpG-sites that were differentially methylated between patients and </w:t>
      </w:r>
      <w:r>
        <w:rPr>
          <w:rFonts w:ascii="Arial Narrow" w:hAnsi="Arial Narrow"/>
        </w:rPr>
        <w:t xml:space="preserve">healthy </w:t>
      </w:r>
      <w:r w:rsidRPr="00B355D4">
        <w:rPr>
          <w:rFonts w:ascii="Arial Narrow" w:hAnsi="Arial Narrow"/>
        </w:rPr>
        <w:t>controls were di</w:t>
      </w:r>
      <w:r>
        <w:rPr>
          <w:rFonts w:ascii="Arial Narrow" w:hAnsi="Arial Narrow"/>
        </w:rPr>
        <w:t xml:space="preserve">scarded for further analyses, </w:t>
      </w:r>
      <w:r w:rsidRPr="00B355D4">
        <w:rPr>
          <w:rFonts w:ascii="Arial Narrow" w:hAnsi="Arial Narrow"/>
        </w:rPr>
        <w:t>as these differences reflect pre-morbid conditions and illness-induced alterations in leukocyte composition</w:t>
      </w:r>
      <w:r>
        <w:rPr>
          <w:rFonts w:ascii="Arial Narrow" w:hAnsi="Arial Narrow"/>
        </w:rPr>
        <w:t xml:space="preserve"> </w:t>
      </w:r>
      <w:r w:rsidR="009766AA">
        <w:rPr>
          <w:rFonts w:ascii="Arial Narrow" w:hAnsi="Arial Narrow"/>
        </w:rPr>
        <w:t>[</w:t>
      </w:r>
      <w:r>
        <w:rPr>
          <w:rFonts w:ascii="Arial Narrow" w:hAnsi="Arial Narrow"/>
        </w:rPr>
        <w:t>8-12</w:t>
      </w:r>
      <w:r w:rsidR="009766AA">
        <w:rPr>
          <w:rFonts w:ascii="Arial Narrow" w:hAnsi="Arial Narrow"/>
        </w:rPr>
        <w:t>]</w:t>
      </w:r>
      <w:r w:rsidRPr="00B355D4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S</w:t>
      </w:r>
      <w:r w:rsidRPr="00B355D4">
        <w:rPr>
          <w:rFonts w:ascii="Arial Narrow" w:hAnsi="Arial Narrow"/>
        </w:rPr>
        <w:t>ubsequently</w:t>
      </w:r>
      <w:r>
        <w:rPr>
          <w:rFonts w:ascii="Arial Narrow" w:hAnsi="Arial Narrow"/>
        </w:rPr>
        <w:t>,</w:t>
      </w:r>
      <w:r w:rsidRPr="00B355D4">
        <w:rPr>
          <w:rFonts w:ascii="Arial Narrow" w:hAnsi="Arial Narrow"/>
        </w:rPr>
        <w:t xml:space="preserve"> the degree of DNA methylation in the remaining CpG-sites was compared with ANOVA and FDR&lt;0</w:t>
      </w:r>
      <w:r>
        <w:rPr>
          <w:rFonts w:ascii="Arial Narrow" w:hAnsi="Arial Narrow"/>
        </w:rPr>
        <w:t>.</w:t>
      </w:r>
      <w:r w:rsidRPr="00B355D4">
        <w:rPr>
          <w:rFonts w:ascii="Arial Narrow" w:hAnsi="Arial Narrow"/>
        </w:rPr>
        <w:t>05, between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lastRenderedPageBreak/>
        <w:t>patients on</w:t>
      </w:r>
      <w:r w:rsidRPr="00B355D4">
        <w:rPr>
          <w:rFonts w:ascii="Arial Narrow" w:hAnsi="Arial Narrow"/>
        </w:rPr>
        <w:t xml:space="preserve"> the last PICU day and </w:t>
      </w:r>
      <w:r>
        <w:rPr>
          <w:rFonts w:ascii="Arial Narrow" w:hAnsi="Arial Narrow"/>
        </w:rPr>
        <w:t xml:space="preserve">healthy </w:t>
      </w:r>
      <w:r w:rsidRPr="00B355D4">
        <w:rPr>
          <w:rFonts w:ascii="Arial Narrow" w:hAnsi="Arial Narrow"/>
        </w:rPr>
        <w:t>controls. This analysis identified 159 CpG-sites as methylated differently in patients on the last PICU day than in matched control</w:t>
      </w:r>
      <w:r>
        <w:rPr>
          <w:rFonts w:ascii="Arial Narrow" w:hAnsi="Arial Narrow"/>
        </w:rPr>
        <w:t>s, which are thus ‘</w:t>
      </w:r>
      <w:r w:rsidRPr="00B164AE">
        <w:rPr>
          <w:rFonts w:ascii="Arial Narrow" w:hAnsi="Arial Narrow"/>
          <w:i/>
          <w:iCs/>
        </w:rPr>
        <w:t>de novo</w:t>
      </w:r>
      <w:r>
        <w:rPr>
          <w:rFonts w:ascii="Arial Narrow" w:hAnsi="Arial Narrow"/>
        </w:rPr>
        <w:t xml:space="preserve">’ DNA methylation changes that arise in patients during PICU stay </w:t>
      </w:r>
      <w:r w:rsidR="009766AA">
        <w:rPr>
          <w:rFonts w:ascii="Arial Narrow" w:hAnsi="Arial Narrow"/>
        </w:rPr>
        <w:t>[</w:t>
      </w:r>
      <w:r>
        <w:rPr>
          <w:rFonts w:ascii="Arial Narrow" w:hAnsi="Arial Narrow"/>
        </w:rPr>
        <w:t>3</w:t>
      </w:r>
      <w:r w:rsidR="009766AA">
        <w:rPr>
          <w:rFonts w:ascii="Arial Narrow" w:hAnsi="Arial Narrow"/>
        </w:rPr>
        <w:t>]</w:t>
      </w:r>
      <w:r>
        <w:rPr>
          <w:rFonts w:ascii="Arial Narrow" w:hAnsi="Arial Narrow"/>
        </w:rPr>
        <w:t>.</w:t>
      </w:r>
    </w:p>
    <w:p w14:paraId="01FE86AC" w14:textId="77777777" w:rsidR="000B5644" w:rsidRPr="00B355D4" w:rsidRDefault="000B5644" w:rsidP="000B5644">
      <w:pPr>
        <w:spacing w:line="480" w:lineRule="auto"/>
        <w:jc w:val="both"/>
        <w:rPr>
          <w:rFonts w:ascii="Arial Narrow" w:hAnsi="Arial Narrow"/>
        </w:rPr>
      </w:pPr>
    </w:p>
    <w:p w14:paraId="1C81244B" w14:textId="77777777" w:rsidR="000B5644" w:rsidRPr="00B355D4" w:rsidRDefault="000B5644" w:rsidP="000B5644">
      <w:pPr>
        <w:spacing w:line="480" w:lineRule="auto"/>
        <w:jc w:val="both"/>
        <w:rPr>
          <w:rFonts w:ascii="Arial Narrow" w:hAnsi="Arial Narrow"/>
          <w:i/>
        </w:rPr>
      </w:pPr>
      <w:r w:rsidRPr="00B355D4">
        <w:rPr>
          <w:rFonts w:ascii="Arial Narrow" w:hAnsi="Arial Narrow"/>
          <w:i/>
        </w:rPr>
        <w:t>Identification of de novo differential methylation of CpG-sites by early-PN versus late-PN</w:t>
      </w:r>
    </w:p>
    <w:p w14:paraId="215A0061" w14:textId="196E0450" w:rsidR="000B5644" w:rsidRDefault="000B5644" w:rsidP="000B5644">
      <w:pPr>
        <w:spacing w:line="480" w:lineRule="auto"/>
        <w:jc w:val="both"/>
        <w:rPr>
          <w:rFonts w:ascii="Arial Narrow" w:hAnsi="Arial Narrow"/>
        </w:rPr>
      </w:pPr>
      <w:r w:rsidRPr="00B355D4">
        <w:rPr>
          <w:rFonts w:ascii="Arial Narrow" w:hAnsi="Arial Narrow"/>
        </w:rPr>
        <w:t xml:space="preserve">To investigate which of the identified 159 CpG-sites became differentially methylated by early-PN versus late-PN on the last PICU day in patients, multivariable linear regression analyses were performed adjusting for baseline risk factors [age, center, race, gender, geographic origin, language, history of malignancy, </w:t>
      </w:r>
      <w:r>
        <w:rPr>
          <w:rFonts w:ascii="Arial Narrow" w:hAnsi="Arial Narrow"/>
        </w:rPr>
        <w:t>diabetes, predefined syndrome</w:t>
      </w:r>
      <w:r w:rsidRPr="00B355D4">
        <w:rPr>
          <w:rFonts w:ascii="Arial Narrow" w:hAnsi="Arial Narrow"/>
        </w:rPr>
        <w:t>, diagnosis and severity of illness (PIM3 and PeLOD</w:t>
      </w:r>
      <w:r>
        <w:rPr>
          <w:rFonts w:ascii="Arial Narrow" w:hAnsi="Arial Narrow"/>
        </w:rPr>
        <w:t xml:space="preserve"> score</w:t>
      </w:r>
      <w:r w:rsidRPr="00B355D4">
        <w:rPr>
          <w:rFonts w:ascii="Arial Narrow" w:hAnsi="Arial Narrow"/>
        </w:rPr>
        <w:t>), and risk of malnutrition (STRONGkids</w:t>
      </w:r>
      <w:r>
        <w:rPr>
          <w:rFonts w:ascii="Arial Narrow" w:hAnsi="Arial Narrow"/>
        </w:rPr>
        <w:t xml:space="preserve"> score</w:t>
      </w:r>
      <w:r w:rsidRPr="00B355D4">
        <w:rPr>
          <w:rFonts w:ascii="Arial Narrow" w:hAnsi="Arial Narrow"/>
        </w:rPr>
        <w:t>)]. Th</w:t>
      </w:r>
      <w:r>
        <w:rPr>
          <w:rFonts w:ascii="Arial Narrow" w:hAnsi="Arial Narrow"/>
        </w:rPr>
        <w:t>is</w:t>
      </w:r>
      <w:r w:rsidRPr="00B355D4">
        <w:rPr>
          <w:rFonts w:ascii="Arial Narrow" w:hAnsi="Arial Narrow"/>
        </w:rPr>
        <w:t xml:space="preserve"> analysis was repeated in 100 bootstrap samples and the result declared “robust” if the association (P&lt;0</w:t>
      </w:r>
      <w:r>
        <w:rPr>
          <w:rFonts w:ascii="Arial Narrow" w:hAnsi="Arial Narrow"/>
        </w:rPr>
        <w:t>.</w:t>
      </w:r>
      <w:r w:rsidRPr="00B355D4">
        <w:rPr>
          <w:rFonts w:ascii="Arial Narrow" w:hAnsi="Arial Narrow"/>
        </w:rPr>
        <w:t>05) was present in at least 50</w:t>
      </w:r>
      <w:r>
        <w:rPr>
          <w:rFonts w:ascii="Arial Narrow" w:hAnsi="Arial Narrow"/>
        </w:rPr>
        <w:t xml:space="preserve"> </w:t>
      </w:r>
      <w:r w:rsidR="002B5499">
        <w:rPr>
          <w:rFonts w:ascii="Arial Narrow" w:hAnsi="Arial Narrow"/>
        </w:rPr>
        <w:t>[</w:t>
      </w:r>
      <w:r>
        <w:rPr>
          <w:rFonts w:ascii="Arial Narrow" w:hAnsi="Arial Narrow"/>
        </w:rPr>
        <w:t>13,14</w:t>
      </w:r>
      <w:r w:rsidR="002B5499">
        <w:rPr>
          <w:rFonts w:ascii="Arial Narrow" w:hAnsi="Arial Narrow"/>
        </w:rPr>
        <w:t>]</w:t>
      </w:r>
      <w:r w:rsidRPr="00B355D4">
        <w:rPr>
          <w:rFonts w:ascii="Arial Narrow" w:hAnsi="Arial Narrow"/>
        </w:rPr>
        <w:t>.</w:t>
      </w:r>
      <w:r w:rsidRPr="0008131E">
        <w:rPr>
          <w:rFonts w:ascii="Arial Narrow" w:hAnsi="Arial Narrow"/>
        </w:rPr>
        <w:t xml:space="preserve"> </w:t>
      </w:r>
      <w:r w:rsidRPr="00B355D4">
        <w:rPr>
          <w:rFonts w:ascii="Arial Narrow" w:hAnsi="Arial Narrow"/>
        </w:rPr>
        <w:t>These analyses showed that early-PN, as compared with late-PN, contributed to the abnormal methylation stat</w:t>
      </w:r>
      <w:r>
        <w:rPr>
          <w:rFonts w:ascii="Arial Narrow" w:hAnsi="Arial Narrow"/>
        </w:rPr>
        <w:t xml:space="preserve">us of 37 of the 159 CpG-sites </w:t>
      </w:r>
      <w:r w:rsidR="002B5499">
        <w:rPr>
          <w:rFonts w:ascii="Arial Narrow" w:hAnsi="Arial Narrow"/>
        </w:rPr>
        <w:t>[</w:t>
      </w:r>
      <w:r>
        <w:rPr>
          <w:rFonts w:ascii="Arial Narrow" w:hAnsi="Arial Narrow"/>
        </w:rPr>
        <w:t>3</w:t>
      </w:r>
      <w:r w:rsidR="002B5499">
        <w:rPr>
          <w:rFonts w:ascii="Arial Narrow" w:hAnsi="Arial Narrow"/>
        </w:rPr>
        <w:t>]</w:t>
      </w:r>
      <w:r>
        <w:rPr>
          <w:rFonts w:ascii="Arial Narrow" w:hAnsi="Arial Narrow"/>
        </w:rPr>
        <w:t>.</w:t>
      </w:r>
    </w:p>
    <w:p w14:paraId="14CD5D63" w14:textId="77777777" w:rsidR="000B5644" w:rsidRDefault="000B5644" w:rsidP="000B5644">
      <w:pPr>
        <w:spacing w:line="480" w:lineRule="auto"/>
        <w:rPr>
          <w:rFonts w:ascii="Arial Narrow" w:hAnsi="Arial Narrow"/>
          <w:b/>
        </w:rPr>
      </w:pPr>
    </w:p>
    <w:p w14:paraId="258451C5" w14:textId="77777777" w:rsidR="000B5644" w:rsidRDefault="000B5644" w:rsidP="000B5644">
      <w:pPr>
        <w:spacing w:line="480" w:lineRule="auto"/>
        <w:rPr>
          <w:rFonts w:ascii="Arial Narrow" w:hAnsi="Arial Narrow"/>
          <w:b/>
        </w:rPr>
      </w:pPr>
    </w:p>
    <w:p w14:paraId="6041ABE3" w14:textId="77777777" w:rsidR="000B5644" w:rsidRDefault="000B5644" w:rsidP="000B5644">
      <w:pPr>
        <w:spacing w:line="480" w:lineRule="auto"/>
        <w:rPr>
          <w:rFonts w:ascii="Arial Narrow" w:hAnsi="Arial Narrow"/>
          <w:b/>
        </w:rPr>
      </w:pPr>
    </w:p>
    <w:p w14:paraId="526BFB94" w14:textId="77777777" w:rsidR="000B5644" w:rsidRDefault="000B5644" w:rsidP="000B5644">
      <w:pPr>
        <w:spacing w:line="480" w:lineRule="auto"/>
        <w:rPr>
          <w:rFonts w:ascii="Arial Narrow" w:hAnsi="Arial Narrow"/>
          <w:b/>
        </w:rPr>
      </w:pPr>
    </w:p>
    <w:p w14:paraId="139F4DFC" w14:textId="77777777" w:rsidR="000B5644" w:rsidRPr="004157E1" w:rsidRDefault="000B5644" w:rsidP="000B5644">
      <w:pPr>
        <w:pageBreakBefore/>
        <w:spacing w:line="480" w:lineRule="auto"/>
        <w:rPr>
          <w:rFonts w:ascii="Arial Narrow" w:hAnsi="Arial Narrow"/>
          <w:b/>
          <w:lang w:val="nl-BE"/>
        </w:rPr>
      </w:pPr>
      <w:r w:rsidRPr="004157E1">
        <w:rPr>
          <w:rFonts w:ascii="Arial Narrow" w:hAnsi="Arial Narrow"/>
          <w:b/>
          <w:lang w:val="nl-BE"/>
        </w:rPr>
        <w:lastRenderedPageBreak/>
        <w:t>References</w:t>
      </w:r>
    </w:p>
    <w:p w14:paraId="617F81A1" w14:textId="4007E3C9" w:rsidR="000B5644" w:rsidRPr="00941703" w:rsidRDefault="000B5644" w:rsidP="00405D4C">
      <w:pPr>
        <w:pStyle w:val="EndNoteBibliography"/>
        <w:numPr>
          <w:ilvl w:val="0"/>
          <w:numId w:val="2"/>
        </w:numPr>
        <w:spacing w:after="0" w:line="480" w:lineRule="auto"/>
        <w:jc w:val="both"/>
        <w:rPr>
          <w:rFonts w:ascii="Arial Narrow" w:hAnsi="Arial Narrow" w:cs="Times New Roman"/>
          <w:lang w:val="en-GB"/>
        </w:rPr>
      </w:pPr>
      <w:r w:rsidRPr="00F06BF5">
        <w:rPr>
          <w:rFonts w:ascii="Arial Narrow" w:hAnsi="Arial Narrow"/>
          <w:b/>
        </w:rPr>
        <w:fldChar w:fldCharType="begin"/>
      </w:r>
      <w:r w:rsidRPr="004157E1">
        <w:rPr>
          <w:rFonts w:ascii="Arial Narrow" w:hAnsi="Arial Narrow"/>
          <w:b/>
          <w:lang w:val="nl-BE"/>
        </w:rPr>
        <w:instrText xml:space="preserve"> ADDIN EN.REFLIST </w:instrText>
      </w:r>
      <w:r w:rsidRPr="00F06BF5">
        <w:rPr>
          <w:rFonts w:ascii="Arial Narrow" w:hAnsi="Arial Narrow" w:cstheme="minorBidi"/>
          <w:b/>
          <w:noProof w:val="0"/>
        </w:rPr>
        <w:fldChar w:fldCharType="separate"/>
      </w:r>
      <w:r w:rsidRPr="00DD5148">
        <w:rPr>
          <w:rFonts w:ascii="Arial Narrow" w:hAnsi="Arial Narrow"/>
          <w:lang w:val="nl-BE"/>
        </w:rPr>
        <w:t>Verstraet</w:t>
      </w:r>
      <w:r>
        <w:rPr>
          <w:rFonts w:ascii="Arial Narrow" w:hAnsi="Arial Narrow"/>
          <w:lang w:val="nl-BE"/>
        </w:rPr>
        <w:t xml:space="preserve">e S, Verbruggen SC, Hordijk JA, </w:t>
      </w:r>
      <w:r w:rsidR="00363221">
        <w:rPr>
          <w:rFonts w:ascii="Arial Narrow" w:hAnsi="Arial Narrow"/>
          <w:lang w:val="nl-BE"/>
        </w:rPr>
        <w:t xml:space="preserve">Vanhorebeek I, Dulfer K, Güiza F, </w:t>
      </w:r>
      <w:r w:rsidRPr="00DD5148">
        <w:rPr>
          <w:rFonts w:ascii="Arial Narrow" w:hAnsi="Arial Narrow"/>
          <w:lang w:val="nl-BE"/>
        </w:rPr>
        <w:t xml:space="preserve">et al. </w:t>
      </w:r>
      <w:r w:rsidRPr="009E36FB">
        <w:rPr>
          <w:rFonts w:ascii="Arial Narrow" w:hAnsi="Arial Narrow"/>
        </w:rPr>
        <w:t xml:space="preserve">Long-term developmental effects of withholding parenteral nutrition for 1 week in the paediatric intensive care unit: a 2-year follow-up of the PEPaNIC international, randomised, controlled trial. </w:t>
      </w:r>
      <w:r w:rsidRPr="00405D4C">
        <w:rPr>
          <w:rFonts w:ascii="Arial Narrow" w:hAnsi="Arial Narrow"/>
          <w:iCs/>
          <w:lang w:val="en-GB"/>
        </w:rPr>
        <w:t>Lancet Respir Med</w:t>
      </w:r>
      <w:r w:rsidRPr="00941703">
        <w:rPr>
          <w:rFonts w:ascii="Arial Narrow" w:hAnsi="Arial Narrow"/>
          <w:lang w:val="en-GB"/>
        </w:rPr>
        <w:t xml:space="preserve"> 2019; 7:141-153</w:t>
      </w:r>
    </w:p>
    <w:p w14:paraId="739CE975" w14:textId="09BA7F26" w:rsidR="000B5644" w:rsidRPr="00941703" w:rsidRDefault="000B5644" w:rsidP="00405D4C">
      <w:pPr>
        <w:pStyle w:val="EndNoteBibliography"/>
        <w:numPr>
          <w:ilvl w:val="0"/>
          <w:numId w:val="2"/>
        </w:numPr>
        <w:spacing w:after="0" w:line="480" w:lineRule="auto"/>
        <w:jc w:val="both"/>
        <w:rPr>
          <w:rFonts w:ascii="Arial Narrow" w:hAnsi="Arial Narrow" w:cs="Times New Roman"/>
          <w:lang w:val="en-GB"/>
        </w:rPr>
      </w:pPr>
      <w:hyperlink r:id="rId7" w:history="1">
        <w:r w:rsidRPr="00941703">
          <w:rPr>
            <w:rStyle w:val="Hyperlink"/>
            <w:rFonts w:ascii="Arial Narrow" w:hAnsi="Arial Narrow" w:cs="Times New Roman"/>
            <w:lang w:val="en-GB"/>
          </w:rPr>
          <w:t>http://www.ilo.org/public/english/bureau/stat/isco/</w:t>
        </w:r>
      </w:hyperlink>
      <w:r w:rsidRPr="00941703">
        <w:rPr>
          <w:rFonts w:ascii="Arial Narrow" w:hAnsi="Arial Narrow" w:cs="Times New Roman"/>
          <w:lang w:val="en-GB"/>
        </w:rPr>
        <w:t>.</w:t>
      </w:r>
    </w:p>
    <w:p w14:paraId="65B523E3" w14:textId="52AC8236" w:rsidR="000B5644" w:rsidRPr="00807768" w:rsidRDefault="000B5644" w:rsidP="00405D4C">
      <w:pPr>
        <w:pStyle w:val="EndNoteBibliography"/>
        <w:numPr>
          <w:ilvl w:val="0"/>
          <w:numId w:val="2"/>
        </w:numPr>
        <w:spacing w:after="0" w:line="480" w:lineRule="auto"/>
        <w:jc w:val="both"/>
        <w:rPr>
          <w:rFonts w:ascii="Arial Narrow" w:hAnsi="Arial Narrow" w:cs="Times New Roman"/>
        </w:rPr>
      </w:pPr>
      <w:r w:rsidRPr="00405D4C">
        <w:rPr>
          <w:rFonts w:ascii="Arial Narrow" w:hAnsi="Arial Narrow"/>
          <w:lang w:val="nl-BE"/>
        </w:rPr>
        <w:t xml:space="preserve">Güiza F, Vanhorebeek I, Verstraete S, </w:t>
      </w:r>
      <w:r w:rsidR="00363221" w:rsidRPr="000C4E95">
        <w:rPr>
          <w:rFonts w:ascii="Arial Narrow" w:hAnsi="Arial Narrow"/>
          <w:lang w:val="nl-BE"/>
        </w:rPr>
        <w:t xml:space="preserve">Verlinden I, Derese </w:t>
      </w:r>
      <w:r w:rsidR="00363221">
        <w:rPr>
          <w:rFonts w:ascii="Arial Narrow" w:hAnsi="Arial Narrow"/>
          <w:lang w:val="nl-BE"/>
        </w:rPr>
        <w:t xml:space="preserve">I, Ingels C, </w:t>
      </w:r>
      <w:r w:rsidRPr="00405D4C">
        <w:rPr>
          <w:rFonts w:ascii="Arial Narrow" w:hAnsi="Arial Narrow"/>
          <w:lang w:val="nl-BE"/>
        </w:rPr>
        <w:t xml:space="preserve">et al. </w:t>
      </w:r>
      <w:r w:rsidRPr="009E36FB">
        <w:rPr>
          <w:rFonts w:ascii="Arial Narrow" w:hAnsi="Arial Narrow"/>
        </w:rPr>
        <w:t xml:space="preserve">Effect of early parenteral nutrition during paediatric critical illness on DNA methylation as a potential mediator of impaired neurocognitive development: a pre-planned secondary analysis of the PEPaNIC international randomised controlled trial. </w:t>
      </w:r>
      <w:r w:rsidRPr="00405D4C">
        <w:rPr>
          <w:rFonts w:ascii="Arial Narrow" w:hAnsi="Arial Narrow"/>
          <w:iCs/>
        </w:rPr>
        <w:t>Lancet Respir Med</w:t>
      </w:r>
      <w:r w:rsidRPr="009E36FB">
        <w:rPr>
          <w:rFonts w:ascii="Arial Narrow" w:hAnsi="Arial Narrow"/>
        </w:rPr>
        <w:t xml:space="preserve"> 2020; 8:288-303.</w:t>
      </w:r>
    </w:p>
    <w:p w14:paraId="712EBB5D" w14:textId="3F0C2E4E" w:rsidR="000B5644" w:rsidRPr="00405D4C" w:rsidRDefault="000B5644" w:rsidP="00405D4C">
      <w:pPr>
        <w:pStyle w:val="EndNoteBibliography"/>
        <w:numPr>
          <w:ilvl w:val="0"/>
          <w:numId w:val="2"/>
        </w:numPr>
        <w:spacing w:after="0" w:line="480" w:lineRule="auto"/>
        <w:jc w:val="both"/>
        <w:rPr>
          <w:rFonts w:ascii="Arial Narrow" w:hAnsi="Arial Narrow" w:cs="Times New Roman"/>
        </w:rPr>
      </w:pPr>
      <w:r w:rsidRPr="00F06BF5">
        <w:rPr>
          <w:rFonts w:ascii="Arial Narrow" w:hAnsi="Arial Narrow" w:cs="Times New Roman"/>
        </w:rPr>
        <w:t>McCartney DL, Walker RM, Morris SW,</w:t>
      </w:r>
      <w:r>
        <w:rPr>
          <w:rFonts w:ascii="Arial Narrow" w:hAnsi="Arial Narrow"/>
          <w:color w:val="000000" w:themeColor="text1"/>
          <w:lang w:val="en-GB"/>
        </w:rPr>
        <w:t xml:space="preserve"> </w:t>
      </w:r>
      <w:r w:rsidR="001E0D69">
        <w:rPr>
          <w:rFonts w:ascii="Arial Narrow" w:hAnsi="Arial Narrow"/>
          <w:color w:val="000000" w:themeColor="text1"/>
          <w:lang w:val="en-GB"/>
        </w:rPr>
        <w:t xml:space="preserve">McIntosh AM, Porteous DJ, Evans KL, </w:t>
      </w:r>
      <w:r w:rsidRPr="001E0D69">
        <w:rPr>
          <w:rFonts w:ascii="Arial Narrow" w:hAnsi="Arial Narrow"/>
          <w:color w:val="000000" w:themeColor="text1"/>
          <w:lang w:val="en-GB"/>
        </w:rPr>
        <w:t xml:space="preserve">et al. </w:t>
      </w:r>
      <w:r w:rsidRPr="001E0D69">
        <w:rPr>
          <w:rFonts w:ascii="Arial Narrow" w:hAnsi="Arial Narrow" w:cs="Times New Roman"/>
        </w:rPr>
        <w:t>Identification of polymorphic and off-target probe binding sites on the Illumina Infinium MethylationEPIC BeadChip.</w:t>
      </w:r>
      <w:r w:rsidRPr="001E0D69">
        <w:rPr>
          <w:rFonts w:ascii="Arial Narrow" w:hAnsi="Arial Narrow" w:cs="Times New Roman"/>
          <w:i/>
        </w:rPr>
        <w:t xml:space="preserve"> </w:t>
      </w:r>
      <w:r w:rsidRPr="00405D4C">
        <w:rPr>
          <w:rFonts w:ascii="Arial Narrow" w:hAnsi="Arial Narrow" w:cs="Times New Roman"/>
          <w:iCs/>
          <w:lang w:val="nl-BE"/>
        </w:rPr>
        <w:t>Genom Data</w:t>
      </w:r>
      <w:r w:rsidRPr="001E0D69">
        <w:rPr>
          <w:rFonts w:ascii="Arial Narrow" w:hAnsi="Arial Narrow" w:cs="Times New Roman"/>
          <w:lang w:val="nl-BE"/>
        </w:rPr>
        <w:t xml:space="preserve"> 2016; 9:22-</w:t>
      </w:r>
      <w:r w:rsidRPr="00A76B96">
        <w:rPr>
          <w:rFonts w:ascii="Arial Narrow" w:hAnsi="Arial Narrow" w:cs="Times New Roman"/>
          <w:lang w:val="nl-BE"/>
        </w:rPr>
        <w:t>2</w:t>
      </w:r>
      <w:r w:rsidRPr="00611CB8">
        <w:rPr>
          <w:rFonts w:ascii="Arial Narrow" w:hAnsi="Arial Narrow" w:cs="Times New Roman"/>
          <w:lang w:val="nl-BE"/>
        </w:rPr>
        <w:t>4.</w:t>
      </w:r>
    </w:p>
    <w:p w14:paraId="28D6E150" w14:textId="51593443" w:rsidR="000B5644" w:rsidRPr="00405D4C" w:rsidRDefault="000B5644" w:rsidP="00405D4C">
      <w:pPr>
        <w:pStyle w:val="EndNoteBibliography"/>
        <w:numPr>
          <w:ilvl w:val="0"/>
          <w:numId w:val="2"/>
        </w:numPr>
        <w:spacing w:after="0" w:line="480" w:lineRule="auto"/>
        <w:jc w:val="both"/>
        <w:rPr>
          <w:rFonts w:ascii="Arial Narrow" w:hAnsi="Arial Narrow" w:cs="Times New Roman"/>
          <w:lang w:val="nl-BE"/>
        </w:rPr>
      </w:pPr>
      <w:r w:rsidRPr="00D54FEC">
        <w:rPr>
          <w:rFonts w:ascii="Arial Narrow" w:hAnsi="Arial Narrow" w:cs="Times New Roman"/>
          <w:lang w:val="nl-BE"/>
        </w:rPr>
        <w:t xml:space="preserve">Du P, Zhang X, Huang CC, </w:t>
      </w:r>
      <w:r w:rsidR="001E0D69">
        <w:rPr>
          <w:rFonts w:ascii="Arial Narrow" w:hAnsi="Arial Narrow" w:cs="Times New Roman"/>
          <w:lang w:val="nl-BE"/>
        </w:rPr>
        <w:t xml:space="preserve">Jafari N, Kibbe WA, Hou L, </w:t>
      </w:r>
      <w:r w:rsidRPr="001E0D69">
        <w:rPr>
          <w:rFonts w:ascii="Arial Narrow" w:hAnsi="Arial Narrow" w:cs="Times New Roman"/>
          <w:lang w:val="nl-BE"/>
        </w:rPr>
        <w:t xml:space="preserve">et al. </w:t>
      </w:r>
      <w:r w:rsidRPr="001E0D69">
        <w:rPr>
          <w:rFonts w:ascii="Arial Narrow" w:hAnsi="Arial Narrow" w:cs="Times New Roman"/>
        </w:rPr>
        <w:t>Comparison of Beta-value and M-value methods for quantifying methylation levels by microarray analysis.</w:t>
      </w:r>
      <w:r w:rsidRPr="001E0D69">
        <w:rPr>
          <w:rFonts w:ascii="Arial Narrow" w:hAnsi="Arial Narrow" w:cs="Times New Roman"/>
          <w:i/>
        </w:rPr>
        <w:t xml:space="preserve"> </w:t>
      </w:r>
      <w:r w:rsidRPr="00405D4C">
        <w:rPr>
          <w:rFonts w:ascii="Arial Narrow" w:hAnsi="Arial Narrow" w:cs="Times New Roman"/>
          <w:iCs/>
        </w:rPr>
        <w:t>BMC Bioinformatics</w:t>
      </w:r>
      <w:r w:rsidRPr="001E0D69">
        <w:rPr>
          <w:rFonts w:ascii="Arial Narrow" w:hAnsi="Arial Narrow" w:cs="Times New Roman"/>
        </w:rPr>
        <w:t xml:space="preserve"> 2010; 11:587.</w:t>
      </w:r>
    </w:p>
    <w:p w14:paraId="568E7DB9" w14:textId="6636C495" w:rsidR="000B5644" w:rsidRPr="001E0D69" w:rsidRDefault="000B5644" w:rsidP="00405D4C">
      <w:pPr>
        <w:pStyle w:val="EndNoteBibliography"/>
        <w:numPr>
          <w:ilvl w:val="0"/>
          <w:numId w:val="2"/>
        </w:numPr>
        <w:spacing w:after="0" w:line="480" w:lineRule="auto"/>
        <w:jc w:val="both"/>
        <w:rPr>
          <w:rFonts w:ascii="Arial Narrow" w:hAnsi="Arial Narrow" w:cs="Times New Roman"/>
        </w:rPr>
      </w:pPr>
      <w:r w:rsidRPr="00405D4C">
        <w:rPr>
          <w:rFonts w:ascii="Arial Narrow" w:hAnsi="Arial Narrow" w:cs="Times New Roman"/>
          <w:lang w:val="nl-BE"/>
        </w:rPr>
        <w:t xml:space="preserve">Chen YA, Lemire M, Choufani S, </w:t>
      </w:r>
      <w:r w:rsidR="001E0D69" w:rsidRPr="00405D4C">
        <w:rPr>
          <w:rFonts w:ascii="Arial Narrow" w:hAnsi="Arial Narrow" w:cs="Times New Roman"/>
          <w:lang w:val="nl-BE"/>
        </w:rPr>
        <w:t xml:space="preserve">Butcher DT, Grafodatskaya D, Zanke BW, </w:t>
      </w:r>
      <w:r w:rsidRPr="00405D4C">
        <w:rPr>
          <w:rFonts w:ascii="Arial Narrow" w:hAnsi="Arial Narrow"/>
          <w:lang w:val="nl-BE"/>
        </w:rPr>
        <w:t xml:space="preserve">et al. </w:t>
      </w:r>
      <w:r w:rsidRPr="00405D4C">
        <w:rPr>
          <w:rFonts w:ascii="Arial Narrow" w:hAnsi="Arial Narrow"/>
        </w:rPr>
        <w:t>Discovery of cross-reactive probes and polymorphic CpGs in the Illumina Infinium HumanMethylation450 microarray.</w:t>
      </w:r>
      <w:r w:rsidRPr="00405D4C">
        <w:rPr>
          <w:rFonts w:ascii="Arial Narrow" w:hAnsi="Arial Narrow"/>
          <w:i/>
        </w:rPr>
        <w:t xml:space="preserve"> </w:t>
      </w:r>
      <w:r w:rsidRPr="00405D4C">
        <w:rPr>
          <w:rFonts w:ascii="Arial Narrow" w:hAnsi="Arial Narrow"/>
          <w:iCs/>
        </w:rPr>
        <w:t>Epigenetics</w:t>
      </w:r>
      <w:r w:rsidRPr="00405D4C">
        <w:rPr>
          <w:rFonts w:ascii="Arial Narrow" w:hAnsi="Arial Narrow"/>
        </w:rPr>
        <w:t xml:space="preserve"> 2013; 8:203-209.</w:t>
      </w:r>
    </w:p>
    <w:p w14:paraId="3379FCDF" w14:textId="293E0AC4" w:rsidR="000B5644" w:rsidRPr="00F06BF5" w:rsidRDefault="000B5644" w:rsidP="00405D4C">
      <w:pPr>
        <w:pStyle w:val="EndNoteBibliography"/>
        <w:numPr>
          <w:ilvl w:val="0"/>
          <w:numId w:val="2"/>
        </w:numPr>
        <w:spacing w:after="0" w:line="480" w:lineRule="auto"/>
        <w:jc w:val="both"/>
        <w:rPr>
          <w:rFonts w:ascii="Arial Narrow" w:hAnsi="Arial Narrow" w:cs="Times New Roman"/>
        </w:rPr>
      </w:pPr>
      <w:r w:rsidRPr="00F06BF5">
        <w:rPr>
          <w:rFonts w:ascii="Arial Narrow" w:hAnsi="Arial Narrow" w:cs="Times New Roman"/>
        </w:rPr>
        <w:t>Reiner A, Yekutieli D, Benjamini Y. Identifying differentially expressed genes using false discovery rate controlling procedures.</w:t>
      </w:r>
      <w:r w:rsidRPr="00405D4C">
        <w:rPr>
          <w:rFonts w:ascii="Arial Narrow" w:hAnsi="Arial Narrow" w:cs="Times New Roman"/>
          <w:iCs/>
        </w:rPr>
        <w:t xml:space="preserve"> Bioinformatics</w:t>
      </w:r>
      <w:r w:rsidRPr="00F06BF5">
        <w:rPr>
          <w:rFonts w:ascii="Arial Narrow" w:hAnsi="Arial Narrow" w:cs="Times New Roman"/>
        </w:rPr>
        <w:t xml:space="preserve"> 2003; </w:t>
      </w:r>
      <w:r w:rsidRPr="00941703">
        <w:rPr>
          <w:rFonts w:ascii="Arial Narrow" w:hAnsi="Arial Narrow" w:cs="Times New Roman"/>
        </w:rPr>
        <w:t>19</w:t>
      </w:r>
      <w:r w:rsidRPr="00F06BF5">
        <w:rPr>
          <w:rFonts w:ascii="Arial Narrow" w:hAnsi="Arial Narrow" w:cs="Times New Roman"/>
        </w:rPr>
        <w:t>:368-</w:t>
      </w:r>
      <w:r>
        <w:rPr>
          <w:rFonts w:ascii="Arial Narrow" w:hAnsi="Arial Narrow" w:cs="Times New Roman"/>
        </w:rPr>
        <w:t>3</w:t>
      </w:r>
      <w:r w:rsidRPr="00F06BF5">
        <w:rPr>
          <w:rFonts w:ascii="Arial Narrow" w:hAnsi="Arial Narrow" w:cs="Times New Roman"/>
        </w:rPr>
        <w:t>75.</w:t>
      </w:r>
    </w:p>
    <w:p w14:paraId="69E6C89B" w14:textId="4C2FDC8A" w:rsidR="000B5644" w:rsidRPr="00611CB8" w:rsidRDefault="000B5644" w:rsidP="00405D4C">
      <w:pPr>
        <w:pStyle w:val="EndNoteBibliography"/>
        <w:numPr>
          <w:ilvl w:val="0"/>
          <w:numId w:val="2"/>
        </w:numPr>
        <w:spacing w:after="0" w:line="480" w:lineRule="auto"/>
        <w:jc w:val="both"/>
        <w:rPr>
          <w:rFonts w:ascii="Arial Narrow" w:hAnsi="Arial Narrow" w:cs="Times New Roman"/>
        </w:rPr>
      </w:pPr>
      <w:r w:rsidRPr="00941703">
        <w:rPr>
          <w:rFonts w:ascii="Arial Narrow" w:hAnsi="Arial Narrow" w:cs="Times New Roman"/>
          <w:lang w:val="en-GB"/>
        </w:rPr>
        <w:t xml:space="preserve">Adalsteinsson BT, Gudnason H, Aspelund T, </w:t>
      </w:r>
      <w:r w:rsidR="00A76B96">
        <w:rPr>
          <w:rFonts w:ascii="Arial Narrow" w:hAnsi="Arial Narrow" w:cs="Times New Roman"/>
          <w:lang w:val="en-GB"/>
        </w:rPr>
        <w:t xml:space="preserve">Harris TB, Launer LJ, Eiriksdottir G, </w:t>
      </w:r>
      <w:r w:rsidRPr="00A76B96">
        <w:rPr>
          <w:rFonts w:ascii="Arial Narrow" w:hAnsi="Arial Narrow" w:cs="Times New Roman"/>
          <w:lang w:val="en-GB"/>
        </w:rPr>
        <w:t xml:space="preserve">et al. </w:t>
      </w:r>
      <w:r w:rsidRPr="00611CB8">
        <w:rPr>
          <w:rFonts w:ascii="Arial Narrow" w:hAnsi="Arial Narrow" w:cs="Times New Roman"/>
        </w:rPr>
        <w:t>Heterogeneity in white blood cells has potential to confound DNA methylation measurements.</w:t>
      </w:r>
      <w:r w:rsidRPr="00405D4C">
        <w:rPr>
          <w:rFonts w:ascii="Arial Narrow" w:hAnsi="Arial Narrow" w:cs="Times New Roman"/>
          <w:iCs/>
        </w:rPr>
        <w:t xml:space="preserve"> PLoS One</w:t>
      </w:r>
      <w:r w:rsidRPr="00A76B96">
        <w:rPr>
          <w:rFonts w:ascii="Arial Narrow" w:hAnsi="Arial Narrow" w:cs="Times New Roman"/>
        </w:rPr>
        <w:t xml:space="preserve"> 2012; </w:t>
      </w:r>
      <w:r w:rsidRPr="00611CB8">
        <w:rPr>
          <w:rFonts w:ascii="Arial Narrow" w:hAnsi="Arial Narrow" w:cs="Times New Roman"/>
        </w:rPr>
        <w:t>7:e46705.</w:t>
      </w:r>
    </w:p>
    <w:p w14:paraId="55AADB18" w14:textId="06445EE0" w:rsidR="000B5644" w:rsidRPr="00F06BF5" w:rsidRDefault="000B5644" w:rsidP="00405D4C">
      <w:pPr>
        <w:pStyle w:val="EndNoteBibliography"/>
        <w:numPr>
          <w:ilvl w:val="0"/>
          <w:numId w:val="2"/>
        </w:numPr>
        <w:spacing w:after="0" w:line="480" w:lineRule="auto"/>
        <w:jc w:val="both"/>
        <w:rPr>
          <w:rFonts w:ascii="Arial Narrow" w:hAnsi="Arial Narrow" w:cs="Times New Roman"/>
        </w:rPr>
      </w:pPr>
      <w:r w:rsidRPr="00F06BF5">
        <w:rPr>
          <w:rFonts w:ascii="Arial Narrow" w:hAnsi="Arial Narrow" w:cs="Times New Roman"/>
        </w:rPr>
        <w:t>Houseman EA, Molitor J, Marsit CJ. Reference-free cell mixture adjustments in analysis of DNA methylation data.</w:t>
      </w:r>
      <w:r w:rsidRPr="00F06BF5">
        <w:rPr>
          <w:rFonts w:ascii="Arial Narrow" w:hAnsi="Arial Narrow" w:cs="Times New Roman"/>
          <w:i/>
        </w:rPr>
        <w:t xml:space="preserve"> </w:t>
      </w:r>
      <w:r w:rsidRPr="00405D4C">
        <w:rPr>
          <w:rFonts w:ascii="Arial Narrow" w:hAnsi="Arial Narrow" w:cs="Times New Roman"/>
          <w:iCs/>
        </w:rPr>
        <w:t>Bioinformatics</w:t>
      </w:r>
      <w:r w:rsidRPr="00363221">
        <w:rPr>
          <w:rFonts w:ascii="Arial Narrow" w:hAnsi="Arial Narrow" w:cs="Times New Roman"/>
          <w:iCs/>
        </w:rPr>
        <w:t xml:space="preserve"> </w:t>
      </w:r>
      <w:r w:rsidRPr="00F06BF5">
        <w:rPr>
          <w:rFonts w:ascii="Arial Narrow" w:hAnsi="Arial Narrow" w:cs="Times New Roman"/>
        </w:rPr>
        <w:t xml:space="preserve">2014; </w:t>
      </w:r>
      <w:r w:rsidRPr="00941703">
        <w:rPr>
          <w:rFonts w:ascii="Arial Narrow" w:hAnsi="Arial Narrow" w:cs="Times New Roman"/>
        </w:rPr>
        <w:t>30</w:t>
      </w:r>
      <w:r w:rsidRPr="00F06BF5">
        <w:rPr>
          <w:rFonts w:ascii="Arial Narrow" w:hAnsi="Arial Narrow" w:cs="Times New Roman"/>
        </w:rPr>
        <w:t>:1431-</w:t>
      </w:r>
      <w:r>
        <w:rPr>
          <w:rFonts w:ascii="Arial Narrow" w:hAnsi="Arial Narrow" w:cs="Times New Roman"/>
        </w:rPr>
        <w:t>143</w:t>
      </w:r>
      <w:r w:rsidRPr="00F06BF5">
        <w:rPr>
          <w:rFonts w:ascii="Arial Narrow" w:hAnsi="Arial Narrow" w:cs="Times New Roman"/>
        </w:rPr>
        <w:t>9.</w:t>
      </w:r>
    </w:p>
    <w:p w14:paraId="16A3FA11" w14:textId="07F86310" w:rsidR="000B5644" w:rsidRPr="00405D4C" w:rsidRDefault="000B5644" w:rsidP="00405D4C">
      <w:pPr>
        <w:pStyle w:val="EndNoteBibliography"/>
        <w:numPr>
          <w:ilvl w:val="0"/>
          <w:numId w:val="2"/>
        </w:numPr>
        <w:spacing w:after="0" w:line="480" w:lineRule="auto"/>
        <w:jc w:val="both"/>
        <w:rPr>
          <w:rFonts w:ascii="Arial Narrow" w:hAnsi="Arial Narrow" w:cs="Times New Roman"/>
          <w:lang w:val="nl-BE"/>
        </w:rPr>
      </w:pPr>
      <w:r w:rsidRPr="000B5644">
        <w:rPr>
          <w:rFonts w:ascii="Arial Narrow" w:hAnsi="Arial Narrow" w:cs="Times New Roman"/>
          <w:lang w:val="nl-BE"/>
        </w:rPr>
        <w:t xml:space="preserve">Jiang R, Jones MJ, Chen E, </w:t>
      </w:r>
      <w:r w:rsidR="00611CB8">
        <w:rPr>
          <w:rFonts w:ascii="Arial Narrow" w:hAnsi="Arial Narrow" w:cs="Times New Roman"/>
          <w:lang w:val="nl-BE"/>
        </w:rPr>
        <w:t xml:space="preserve">Neumann SM, Fraser HB, Miller GE, </w:t>
      </w:r>
      <w:r w:rsidRPr="00611CB8">
        <w:rPr>
          <w:rFonts w:ascii="Arial Narrow" w:hAnsi="Arial Narrow" w:cs="Times New Roman"/>
          <w:lang w:val="nl-BE"/>
        </w:rPr>
        <w:t xml:space="preserve">et al. </w:t>
      </w:r>
      <w:r w:rsidRPr="00611CB8">
        <w:rPr>
          <w:rFonts w:ascii="Arial Narrow" w:hAnsi="Arial Narrow" w:cs="Times New Roman"/>
        </w:rPr>
        <w:t>Discordance of DNA methylation variance between two accessible human tissues.</w:t>
      </w:r>
      <w:r w:rsidRPr="00611CB8">
        <w:rPr>
          <w:rFonts w:ascii="Arial Narrow" w:hAnsi="Arial Narrow" w:cs="Times New Roman"/>
          <w:i/>
        </w:rPr>
        <w:t xml:space="preserve"> </w:t>
      </w:r>
      <w:r w:rsidRPr="00405D4C">
        <w:rPr>
          <w:rFonts w:ascii="Arial Narrow" w:hAnsi="Arial Narrow" w:cs="Times New Roman"/>
          <w:iCs/>
        </w:rPr>
        <w:t>Sci Rep</w:t>
      </w:r>
      <w:r w:rsidRPr="00611CB8">
        <w:rPr>
          <w:rFonts w:ascii="Arial Narrow" w:hAnsi="Arial Narrow" w:cs="Times New Roman"/>
        </w:rPr>
        <w:t xml:space="preserve"> 2015; 5:8257.</w:t>
      </w:r>
    </w:p>
    <w:p w14:paraId="2BBD298E" w14:textId="042F0CC6" w:rsidR="000B5644" w:rsidRPr="00F06BF5" w:rsidRDefault="000B5644" w:rsidP="00405D4C">
      <w:pPr>
        <w:pStyle w:val="EndNoteBibliography"/>
        <w:numPr>
          <w:ilvl w:val="0"/>
          <w:numId w:val="2"/>
        </w:numPr>
        <w:spacing w:after="0" w:line="480" w:lineRule="auto"/>
        <w:jc w:val="both"/>
        <w:rPr>
          <w:rFonts w:ascii="Arial Narrow" w:hAnsi="Arial Narrow" w:cs="Times New Roman"/>
        </w:rPr>
      </w:pPr>
      <w:r w:rsidRPr="00F06BF5">
        <w:rPr>
          <w:rFonts w:ascii="Arial Narrow" w:hAnsi="Arial Narrow" w:cs="Times New Roman"/>
        </w:rPr>
        <w:t>Muszynski JA, Thakkar R, Hall MW. Inflammation and innate immune function in critical illness.</w:t>
      </w:r>
      <w:r w:rsidRPr="00F06BF5">
        <w:rPr>
          <w:rFonts w:ascii="Arial Narrow" w:hAnsi="Arial Narrow" w:cs="Times New Roman"/>
          <w:i/>
        </w:rPr>
        <w:t xml:space="preserve"> </w:t>
      </w:r>
      <w:r w:rsidRPr="00405D4C">
        <w:rPr>
          <w:rFonts w:ascii="Arial Narrow" w:hAnsi="Arial Narrow" w:cs="Times New Roman"/>
          <w:iCs/>
        </w:rPr>
        <w:t>Curr Opin Pediatr</w:t>
      </w:r>
      <w:r w:rsidRPr="00363221">
        <w:rPr>
          <w:rFonts w:ascii="Arial Narrow" w:hAnsi="Arial Narrow" w:cs="Times New Roman"/>
          <w:iCs/>
        </w:rPr>
        <w:t xml:space="preserve"> </w:t>
      </w:r>
      <w:r w:rsidRPr="00F06BF5">
        <w:rPr>
          <w:rFonts w:ascii="Arial Narrow" w:hAnsi="Arial Narrow" w:cs="Times New Roman"/>
        </w:rPr>
        <w:t xml:space="preserve">2016; </w:t>
      </w:r>
      <w:r w:rsidRPr="00941703">
        <w:rPr>
          <w:rFonts w:ascii="Arial Narrow" w:hAnsi="Arial Narrow" w:cs="Times New Roman"/>
        </w:rPr>
        <w:t>28</w:t>
      </w:r>
      <w:r w:rsidRPr="00F06BF5">
        <w:rPr>
          <w:rFonts w:ascii="Arial Narrow" w:hAnsi="Arial Narrow" w:cs="Times New Roman"/>
        </w:rPr>
        <w:t>:267-</w:t>
      </w:r>
      <w:r>
        <w:rPr>
          <w:rFonts w:ascii="Arial Narrow" w:hAnsi="Arial Narrow" w:cs="Times New Roman"/>
        </w:rPr>
        <w:t>2</w:t>
      </w:r>
      <w:r w:rsidRPr="00F06BF5">
        <w:rPr>
          <w:rFonts w:ascii="Arial Narrow" w:hAnsi="Arial Narrow" w:cs="Times New Roman"/>
        </w:rPr>
        <w:t>73.</w:t>
      </w:r>
    </w:p>
    <w:p w14:paraId="12EFFC17" w14:textId="1C09C24D" w:rsidR="000B5644" w:rsidRPr="00611CB8" w:rsidRDefault="000B5644" w:rsidP="00405D4C">
      <w:pPr>
        <w:pStyle w:val="EndNoteBibliography"/>
        <w:numPr>
          <w:ilvl w:val="0"/>
          <w:numId w:val="2"/>
        </w:numPr>
        <w:spacing w:after="0" w:line="480" w:lineRule="auto"/>
        <w:jc w:val="both"/>
        <w:rPr>
          <w:rFonts w:ascii="Arial Narrow" w:hAnsi="Arial Narrow" w:cs="Times New Roman"/>
        </w:rPr>
      </w:pPr>
      <w:r w:rsidRPr="00405D4C">
        <w:rPr>
          <w:rFonts w:ascii="Arial Narrow" w:hAnsi="Arial Narrow" w:cs="Times New Roman"/>
          <w:lang w:val="nl-BE"/>
        </w:rPr>
        <w:lastRenderedPageBreak/>
        <w:t xml:space="preserve">Rahmani E, Zaitlen N, Baran Y, </w:t>
      </w:r>
      <w:r w:rsidR="00611CB8" w:rsidRPr="00405D4C">
        <w:rPr>
          <w:rFonts w:ascii="Arial Narrow" w:hAnsi="Arial Narrow" w:cs="Times New Roman"/>
          <w:lang w:val="nl-BE"/>
        </w:rPr>
        <w:t xml:space="preserve"> Eng C, Hu D, Galanter J, </w:t>
      </w:r>
      <w:r w:rsidRPr="00405D4C">
        <w:rPr>
          <w:rFonts w:ascii="Arial Narrow" w:hAnsi="Arial Narrow" w:cs="Times New Roman"/>
          <w:lang w:val="nl-BE"/>
        </w:rPr>
        <w:t xml:space="preserve">et al. </w:t>
      </w:r>
      <w:r w:rsidRPr="00611CB8">
        <w:rPr>
          <w:rFonts w:ascii="Arial Narrow" w:hAnsi="Arial Narrow" w:cs="Times New Roman"/>
        </w:rPr>
        <w:t>Sparse PCA corrects for cell type heterogeneity in epigenome-wide association studies.</w:t>
      </w:r>
      <w:r w:rsidRPr="00611CB8">
        <w:rPr>
          <w:rFonts w:ascii="Arial Narrow" w:hAnsi="Arial Narrow" w:cs="Times New Roman"/>
          <w:i/>
        </w:rPr>
        <w:t xml:space="preserve"> </w:t>
      </w:r>
      <w:r w:rsidRPr="00405D4C">
        <w:rPr>
          <w:rFonts w:ascii="Arial Narrow" w:hAnsi="Arial Narrow" w:cs="Times New Roman"/>
          <w:iCs/>
        </w:rPr>
        <w:t>Nat Methods</w:t>
      </w:r>
      <w:r w:rsidRPr="00611CB8">
        <w:rPr>
          <w:rFonts w:ascii="Arial Narrow" w:hAnsi="Arial Narrow" w:cs="Times New Roman"/>
          <w:iCs/>
        </w:rPr>
        <w:t xml:space="preserve"> </w:t>
      </w:r>
      <w:r w:rsidRPr="00611CB8">
        <w:rPr>
          <w:rFonts w:ascii="Arial Narrow" w:hAnsi="Arial Narrow" w:cs="Times New Roman"/>
        </w:rPr>
        <w:t>2016; 13:443-445.</w:t>
      </w:r>
    </w:p>
    <w:p w14:paraId="1BA6A71E" w14:textId="02EBF74A" w:rsidR="000B5644" w:rsidRPr="00F06BF5" w:rsidRDefault="000B5644" w:rsidP="00405D4C">
      <w:pPr>
        <w:pStyle w:val="EndNoteBibliography"/>
        <w:numPr>
          <w:ilvl w:val="0"/>
          <w:numId w:val="2"/>
        </w:numPr>
        <w:spacing w:after="0" w:line="480" w:lineRule="auto"/>
        <w:jc w:val="both"/>
        <w:rPr>
          <w:rFonts w:ascii="Arial Narrow" w:hAnsi="Arial Narrow" w:cs="Times New Roman"/>
        </w:rPr>
      </w:pPr>
      <w:r w:rsidRPr="00F06BF5">
        <w:rPr>
          <w:rFonts w:ascii="Arial Narrow" w:hAnsi="Arial Narrow" w:cs="Times New Roman"/>
        </w:rPr>
        <w:t>Austin PC, Tu JV. Bootstrap methods for developing predictive models.</w:t>
      </w:r>
      <w:r w:rsidRPr="00F06BF5">
        <w:rPr>
          <w:rFonts w:ascii="Arial Narrow" w:hAnsi="Arial Narrow" w:cs="Times New Roman"/>
          <w:i/>
        </w:rPr>
        <w:t xml:space="preserve"> </w:t>
      </w:r>
      <w:r w:rsidRPr="00405D4C">
        <w:rPr>
          <w:rFonts w:ascii="Arial Narrow" w:hAnsi="Arial Narrow" w:cs="Times New Roman"/>
          <w:iCs/>
        </w:rPr>
        <w:t>Am Stat</w:t>
      </w:r>
      <w:r w:rsidRPr="00363221">
        <w:rPr>
          <w:rFonts w:ascii="Arial Narrow" w:hAnsi="Arial Narrow" w:cs="Times New Roman"/>
          <w:iCs/>
        </w:rPr>
        <w:t xml:space="preserve"> </w:t>
      </w:r>
      <w:r w:rsidRPr="00F06BF5">
        <w:rPr>
          <w:rFonts w:ascii="Arial Narrow" w:hAnsi="Arial Narrow" w:cs="Times New Roman"/>
        </w:rPr>
        <w:t xml:space="preserve">2004; </w:t>
      </w:r>
      <w:r w:rsidRPr="00941703">
        <w:rPr>
          <w:rFonts w:ascii="Arial Narrow" w:hAnsi="Arial Narrow" w:cs="Times New Roman"/>
        </w:rPr>
        <w:t>58</w:t>
      </w:r>
      <w:r w:rsidRPr="00F06BF5">
        <w:rPr>
          <w:rFonts w:ascii="Arial Narrow" w:hAnsi="Arial Narrow" w:cs="Times New Roman"/>
        </w:rPr>
        <w:t>:131-</w:t>
      </w:r>
      <w:r>
        <w:rPr>
          <w:rFonts w:ascii="Arial Narrow" w:hAnsi="Arial Narrow" w:cs="Times New Roman"/>
        </w:rPr>
        <w:t>13</w:t>
      </w:r>
      <w:r w:rsidRPr="00F06BF5">
        <w:rPr>
          <w:rFonts w:ascii="Arial Narrow" w:hAnsi="Arial Narrow" w:cs="Times New Roman"/>
        </w:rPr>
        <w:t>7.</w:t>
      </w:r>
    </w:p>
    <w:p w14:paraId="6365FC8B" w14:textId="4987FA9D" w:rsidR="000B5644" w:rsidRPr="00F06BF5" w:rsidRDefault="000B5644" w:rsidP="00405D4C">
      <w:pPr>
        <w:pStyle w:val="EndNoteBibliography"/>
        <w:numPr>
          <w:ilvl w:val="0"/>
          <w:numId w:val="2"/>
        </w:numPr>
        <w:spacing w:after="0" w:line="480" w:lineRule="auto"/>
        <w:jc w:val="both"/>
        <w:rPr>
          <w:rFonts w:ascii="Arial Narrow" w:hAnsi="Arial Narrow" w:cs="Times New Roman"/>
        </w:rPr>
      </w:pPr>
      <w:r w:rsidRPr="00F06BF5">
        <w:rPr>
          <w:rFonts w:ascii="Arial Narrow" w:hAnsi="Arial Narrow" w:cs="Times New Roman"/>
        </w:rPr>
        <w:t xml:space="preserve">Sauerbrei W, Schumacher M. A </w:t>
      </w:r>
      <w:r>
        <w:rPr>
          <w:rFonts w:ascii="Arial Narrow" w:hAnsi="Arial Narrow" w:cs="Times New Roman"/>
        </w:rPr>
        <w:t>b</w:t>
      </w:r>
      <w:r w:rsidRPr="00F06BF5">
        <w:rPr>
          <w:rFonts w:ascii="Arial Narrow" w:hAnsi="Arial Narrow" w:cs="Times New Roman"/>
        </w:rPr>
        <w:t xml:space="preserve">ootstrap </w:t>
      </w:r>
      <w:r>
        <w:rPr>
          <w:rFonts w:ascii="Arial Narrow" w:hAnsi="Arial Narrow" w:cs="Times New Roman"/>
        </w:rPr>
        <w:t>r</w:t>
      </w:r>
      <w:r w:rsidRPr="00F06BF5">
        <w:rPr>
          <w:rFonts w:ascii="Arial Narrow" w:hAnsi="Arial Narrow" w:cs="Times New Roman"/>
        </w:rPr>
        <w:t xml:space="preserve">esampling </w:t>
      </w:r>
      <w:r>
        <w:rPr>
          <w:rFonts w:ascii="Arial Narrow" w:hAnsi="Arial Narrow" w:cs="Times New Roman"/>
        </w:rPr>
        <w:t>p</w:t>
      </w:r>
      <w:r w:rsidRPr="00F06BF5">
        <w:rPr>
          <w:rFonts w:ascii="Arial Narrow" w:hAnsi="Arial Narrow" w:cs="Times New Roman"/>
        </w:rPr>
        <w:t xml:space="preserve">rocedure for </w:t>
      </w:r>
      <w:r>
        <w:rPr>
          <w:rFonts w:ascii="Arial Narrow" w:hAnsi="Arial Narrow" w:cs="Times New Roman"/>
        </w:rPr>
        <w:t>m</w:t>
      </w:r>
      <w:r w:rsidRPr="00F06BF5">
        <w:rPr>
          <w:rFonts w:ascii="Arial Narrow" w:hAnsi="Arial Narrow" w:cs="Times New Roman"/>
        </w:rPr>
        <w:t>odel-</w:t>
      </w:r>
      <w:r>
        <w:rPr>
          <w:rFonts w:ascii="Arial Narrow" w:hAnsi="Arial Narrow" w:cs="Times New Roman"/>
        </w:rPr>
        <w:t>b</w:t>
      </w:r>
      <w:r w:rsidRPr="00F06BF5">
        <w:rPr>
          <w:rFonts w:ascii="Arial Narrow" w:hAnsi="Arial Narrow" w:cs="Times New Roman"/>
        </w:rPr>
        <w:t xml:space="preserve">uilding - Application to the Cox </w:t>
      </w:r>
      <w:r>
        <w:rPr>
          <w:rFonts w:ascii="Arial Narrow" w:hAnsi="Arial Narrow" w:cs="Times New Roman"/>
        </w:rPr>
        <w:t>r</w:t>
      </w:r>
      <w:r w:rsidRPr="00F06BF5">
        <w:rPr>
          <w:rFonts w:ascii="Arial Narrow" w:hAnsi="Arial Narrow" w:cs="Times New Roman"/>
        </w:rPr>
        <w:t>egression-</w:t>
      </w:r>
      <w:r>
        <w:rPr>
          <w:rFonts w:ascii="Arial Narrow" w:hAnsi="Arial Narrow" w:cs="Times New Roman"/>
        </w:rPr>
        <w:t>m</w:t>
      </w:r>
      <w:r w:rsidRPr="00F06BF5">
        <w:rPr>
          <w:rFonts w:ascii="Arial Narrow" w:hAnsi="Arial Narrow" w:cs="Times New Roman"/>
        </w:rPr>
        <w:t>odel.</w:t>
      </w:r>
      <w:r w:rsidRPr="00F06BF5">
        <w:rPr>
          <w:rFonts w:ascii="Arial Narrow" w:hAnsi="Arial Narrow" w:cs="Times New Roman"/>
          <w:i/>
        </w:rPr>
        <w:t xml:space="preserve"> </w:t>
      </w:r>
      <w:r w:rsidRPr="00405D4C">
        <w:rPr>
          <w:rFonts w:ascii="Arial Narrow" w:hAnsi="Arial Narrow" w:cs="Times New Roman"/>
          <w:iCs/>
        </w:rPr>
        <w:t>Statistics in Medicine</w:t>
      </w:r>
      <w:r w:rsidRPr="00F06BF5">
        <w:rPr>
          <w:rFonts w:ascii="Arial Narrow" w:hAnsi="Arial Narrow" w:cs="Times New Roman"/>
        </w:rPr>
        <w:t xml:space="preserve"> 1992;</w:t>
      </w:r>
      <w:r w:rsidRPr="00133F28">
        <w:rPr>
          <w:rFonts w:ascii="Arial Narrow" w:hAnsi="Arial Narrow" w:cs="Times New Roman"/>
        </w:rPr>
        <w:t xml:space="preserve"> </w:t>
      </w:r>
      <w:r w:rsidRPr="00941703">
        <w:rPr>
          <w:rFonts w:ascii="Arial Narrow" w:hAnsi="Arial Narrow" w:cs="Times New Roman"/>
        </w:rPr>
        <w:t>11</w:t>
      </w:r>
      <w:r w:rsidRPr="00F06BF5">
        <w:rPr>
          <w:rFonts w:ascii="Arial Narrow" w:hAnsi="Arial Narrow" w:cs="Times New Roman"/>
        </w:rPr>
        <w:t>:2093-</w:t>
      </w:r>
      <w:r>
        <w:rPr>
          <w:rFonts w:ascii="Arial Narrow" w:hAnsi="Arial Narrow" w:cs="Times New Roman"/>
        </w:rPr>
        <w:t>2</w:t>
      </w:r>
      <w:r w:rsidRPr="00F06BF5">
        <w:rPr>
          <w:rFonts w:ascii="Arial Narrow" w:hAnsi="Arial Narrow" w:cs="Times New Roman"/>
        </w:rPr>
        <w:t>109.</w:t>
      </w:r>
    </w:p>
    <w:p w14:paraId="5A9647BF" w14:textId="77777777" w:rsidR="000B5644" w:rsidRPr="00F06BF5" w:rsidRDefault="000B5644" w:rsidP="00971700">
      <w:pPr>
        <w:pStyle w:val="EndNoteBibliography"/>
        <w:spacing w:line="480" w:lineRule="auto"/>
        <w:jc w:val="both"/>
        <w:rPr>
          <w:rFonts w:ascii="Arial Narrow" w:hAnsi="Arial Narrow" w:cs="Times New Roman"/>
        </w:rPr>
      </w:pPr>
    </w:p>
    <w:p w14:paraId="524B4FC4" w14:textId="77777777" w:rsidR="000B5644" w:rsidRPr="00A70D8E" w:rsidRDefault="000B5644" w:rsidP="00971700">
      <w:pPr>
        <w:spacing w:line="480" w:lineRule="auto"/>
        <w:jc w:val="both"/>
        <w:rPr>
          <w:rFonts w:ascii="Arial Narrow" w:hAnsi="Arial Narrow"/>
          <w:b/>
        </w:rPr>
      </w:pPr>
      <w:r w:rsidRPr="00F06BF5">
        <w:rPr>
          <w:rFonts w:ascii="Arial Narrow" w:hAnsi="Arial Narrow"/>
          <w:b/>
        </w:rPr>
        <w:fldChar w:fldCharType="end"/>
      </w:r>
    </w:p>
    <w:p w14:paraId="37DFCD75" w14:textId="77777777" w:rsidR="000B5644" w:rsidRDefault="000B5644" w:rsidP="00971700">
      <w:pPr>
        <w:jc w:val="both"/>
      </w:pPr>
    </w:p>
    <w:sectPr w:rsidR="000B56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5E445" w14:textId="77777777" w:rsidR="000B67A3" w:rsidRDefault="000B67A3">
      <w:r>
        <w:separator/>
      </w:r>
    </w:p>
  </w:endnote>
  <w:endnote w:type="continuationSeparator" w:id="0">
    <w:p w14:paraId="09C7C784" w14:textId="77777777" w:rsidR="000B67A3" w:rsidRDefault="000B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125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FE2D4" w14:textId="77777777" w:rsidR="00826E2C" w:rsidRDefault="00611C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3EDA393" w14:textId="77777777" w:rsidR="00826E2C" w:rsidRDefault="000B6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3704D" w14:textId="77777777" w:rsidR="000B67A3" w:rsidRDefault="000B67A3">
      <w:r>
        <w:separator/>
      </w:r>
    </w:p>
  </w:footnote>
  <w:footnote w:type="continuationSeparator" w:id="0">
    <w:p w14:paraId="22C1097B" w14:textId="77777777" w:rsidR="000B67A3" w:rsidRDefault="000B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52A19"/>
    <w:multiLevelType w:val="hybridMultilevel"/>
    <w:tmpl w:val="2690E008"/>
    <w:lvl w:ilvl="0" w:tplc="79923986">
      <w:start w:val="6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260C8"/>
    <w:multiLevelType w:val="hybridMultilevel"/>
    <w:tmpl w:val="42541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44"/>
    <w:rsid w:val="000B5644"/>
    <w:rsid w:val="000B67A3"/>
    <w:rsid w:val="000F0DC7"/>
    <w:rsid w:val="001366E2"/>
    <w:rsid w:val="001E0D69"/>
    <w:rsid w:val="002B5499"/>
    <w:rsid w:val="00363221"/>
    <w:rsid w:val="00405D4C"/>
    <w:rsid w:val="00611CB8"/>
    <w:rsid w:val="00971700"/>
    <w:rsid w:val="009766AA"/>
    <w:rsid w:val="00A76B96"/>
    <w:rsid w:val="00C039DD"/>
    <w:rsid w:val="00C1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BB7EF0"/>
  <w15:chartTrackingRefBased/>
  <w15:docId w15:val="{99E64361-65CE-A34C-9042-9FB3B39C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B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B5644"/>
    <w:pPr>
      <w:spacing w:after="16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B5644"/>
    <w:rPr>
      <w:rFonts w:ascii="Calibri" w:hAnsi="Calibri" w:cs="Calibri"/>
      <w:noProof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56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5644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B56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0B5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D69"/>
    <w:rPr>
      <w:color w:val="605E5C"/>
      <w:shd w:val="clear" w:color="auto" w:fill="E1DFDD"/>
    </w:rPr>
  </w:style>
  <w:style w:type="character" w:customStyle="1" w:styleId="authors-list-item">
    <w:name w:val="authors-list-item"/>
    <w:basedOn w:val="DefaultParagraphFont"/>
    <w:rsid w:val="001E0D69"/>
  </w:style>
  <w:style w:type="character" w:customStyle="1" w:styleId="comma">
    <w:name w:val="comma"/>
    <w:basedOn w:val="DefaultParagraphFont"/>
    <w:rsid w:val="001E0D69"/>
  </w:style>
  <w:style w:type="character" w:customStyle="1" w:styleId="author-sup-separator">
    <w:name w:val="author-sup-separator"/>
    <w:basedOn w:val="DefaultParagraphFont"/>
    <w:rsid w:val="0061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lo.org/public/english/bureau/stat/is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Vanhorebeek</dc:creator>
  <cp:keywords/>
  <dc:description/>
  <cp:lastModifiedBy>Ilse Vanhorebeek</cp:lastModifiedBy>
  <cp:revision>12</cp:revision>
  <dcterms:created xsi:type="dcterms:W3CDTF">2021-04-06T20:07:00Z</dcterms:created>
  <dcterms:modified xsi:type="dcterms:W3CDTF">2021-04-19T09:35:00Z</dcterms:modified>
</cp:coreProperties>
</file>