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A75" w:rsidRPr="0041179B" w:rsidRDefault="00095A75" w:rsidP="00095A75">
      <w:pPr>
        <w:pStyle w:val="berschrift1"/>
        <w:spacing w:before="60" w:afterLines="60" w:after="144"/>
        <w:rPr>
          <w:lang w:val="en-GB"/>
        </w:rPr>
      </w:pPr>
      <w:r w:rsidRPr="0041179B">
        <w:rPr>
          <w:lang w:val="en-GB"/>
        </w:rPr>
        <w:t xml:space="preserve">Supplementary information </w:t>
      </w:r>
    </w:p>
    <w:p w:rsidR="00095A75" w:rsidRPr="0041179B" w:rsidRDefault="00095A75" w:rsidP="00095A75">
      <w:pPr>
        <w:pStyle w:val="Beschriftung"/>
        <w:spacing w:line="360" w:lineRule="auto"/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</w:pPr>
      <w:bookmarkStart w:id="0" w:name="_Toc45528022"/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>Table S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instrText xml:space="preserve"> SEQ Table_S \* ARABIC </w:instrTex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separate"/>
      </w:r>
      <w:r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/>
        </w:rPr>
        <w:t>1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 xml:space="preserve">. Percentage of OF-C according to the methods, i.e. differential, synchronic isotopic and asynchronic isotopic. 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>Mean of three OF-C estimations ± standard deviation (only two blocks in year 3 for the Arenosol and year 10 for the Andosol).</w:t>
      </w:r>
      <w:bookmarkEnd w:id="0"/>
    </w:p>
    <w:p w:rsidR="00095A75" w:rsidRPr="0041179B" w:rsidRDefault="00095A75" w:rsidP="00095A75">
      <w:pPr>
        <w:rPr>
          <w:i/>
          <w:iCs/>
          <w:lang w:val="en-GB"/>
        </w:rPr>
      </w:pPr>
      <w:r w:rsidRPr="0041179B">
        <w:rPr>
          <w:noProof/>
          <w:lang w:val="en-GB" w:eastAsia="de-DE"/>
        </w:rPr>
        <w:drawing>
          <wp:inline distT="0" distB="0" distL="0" distR="0" wp14:anchorId="4BE410A8" wp14:editId="075FDCB8">
            <wp:extent cx="5760720" cy="2477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A75" w:rsidRPr="0041179B" w:rsidRDefault="00095A75" w:rsidP="00095A75">
      <w:pPr>
        <w:rPr>
          <w:lang w:val="en-GB"/>
        </w:rPr>
        <w:sectPr w:rsidR="00095A75" w:rsidRPr="0041179B" w:rsidSect="0041179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95A75" w:rsidRPr="0041179B" w:rsidRDefault="00095A75" w:rsidP="00095A75">
      <w:pPr>
        <w:pStyle w:val="Beschriftung"/>
        <w:spacing w:line="360" w:lineRule="auto"/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</w:pPr>
      <w:bookmarkStart w:id="1" w:name="_Toc45528023"/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lastRenderedPageBreak/>
        <w:t>Table S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instrText xml:space="preserve"> SEQ Table_S \* ARABIC </w:instrTex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separate"/>
      </w:r>
      <w:r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/>
        </w:rPr>
        <w:t>2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 xml:space="preserve">. Weight of each parameter in the sensitivity analysis of the isotopic mixing equation. 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 xml:space="preserve">Average </w:t>
      </w:r>
      <w:r w:rsidRPr="0041179B">
        <w:rPr>
          <w:rFonts w:ascii="Times New Roman" w:eastAsiaTheme="minorHAnsi" w:hAnsi="Times New Roman" w:cstheme="minorBidi"/>
          <w:bCs/>
          <w:color w:val="auto"/>
          <w:sz w:val="22"/>
          <w:szCs w:val="22"/>
          <w:lang w:val="en-GB"/>
        </w:rPr>
        <w:t>δ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vertAlign w:val="superscript"/>
          <w:lang w:val="en-GB"/>
        </w:rPr>
        <w:t>13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 xml:space="preserve">C is the average </w:t>
      </w:r>
      <w:r w:rsidRPr="0041179B">
        <w:rPr>
          <w:rFonts w:ascii="Times New Roman" w:eastAsiaTheme="minorHAnsi" w:hAnsi="Times New Roman" w:cstheme="minorBidi"/>
          <w:bCs/>
          <w:color w:val="auto"/>
          <w:sz w:val="22"/>
          <w:szCs w:val="22"/>
          <w:lang w:val="en-GB"/>
        </w:rPr>
        <w:t>δ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vertAlign w:val="superscript"/>
          <w:lang w:val="en-GB"/>
        </w:rPr>
        <w:t>13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>C from three plots at T13. The variation is the standard deviation divided by the average. Importance variable method detailed in part 2.8.</w:t>
      </w:r>
      <w:bookmarkEnd w:id="1"/>
    </w:p>
    <w:p w:rsidR="00095A75" w:rsidRPr="0041179B" w:rsidRDefault="00095A75" w:rsidP="00095A75">
      <w:pPr>
        <w:rPr>
          <w:lang w:val="en-GB"/>
        </w:rPr>
      </w:pPr>
    </w:p>
    <w:tbl>
      <w:tblPr>
        <w:tblW w:w="8499" w:type="dxa"/>
        <w:tblLook w:val="04A0" w:firstRow="1" w:lastRow="0" w:firstColumn="1" w:lastColumn="0" w:noHBand="0" w:noVBand="1"/>
      </w:tblPr>
      <w:tblGrid>
        <w:gridCol w:w="2019"/>
        <w:gridCol w:w="2517"/>
        <w:gridCol w:w="948"/>
        <w:gridCol w:w="1179"/>
        <w:gridCol w:w="1836"/>
      </w:tblGrid>
      <w:tr w:rsidR="00095A75" w:rsidRPr="0041179B" w:rsidTr="00FD2C80">
        <w:trPr>
          <w:trHeight w:val="61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Equation variable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 xml:space="preserve">Average </w:t>
            </w:r>
            <w:r w:rsidRPr="0041179B">
              <w:rPr>
                <w:rFonts w:ascii="Calibri" w:hAnsi="Calibri" w:cs="Calibri"/>
                <w:i/>
                <w:iCs/>
                <w:color w:val="000000"/>
                <w:lang w:val="en-GB"/>
              </w:rPr>
              <w:t>δ</w:t>
            </w:r>
            <w:r w:rsidRPr="0041179B">
              <w:rPr>
                <w:rFonts w:ascii="Calibri" w:hAnsi="Calibri" w:cs="Calibri"/>
                <w:color w:val="000000"/>
                <w:vertAlign w:val="superscript"/>
                <w:lang w:val="en-GB"/>
              </w:rPr>
              <w:t>13</w:t>
            </w:r>
            <w:r w:rsidRPr="0041179B">
              <w:rPr>
                <w:rFonts w:ascii="Calibri" w:hAnsi="Calibri" w:cs="Calibri"/>
                <w:color w:val="000000"/>
                <w:lang w:val="en-GB"/>
              </w:rPr>
              <w:t>C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Variation [%]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Weight of the variable [%]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Arenosol compost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bookmarkStart w:id="2" w:name="_Hlk38376602"/>
            <w:r w:rsidRPr="0041179B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</w:t>
            </w:r>
            <w:bookmarkEnd w:id="2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-20.33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95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bookmarkStart w:id="3" w:name="_Hlk38376588"/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OFsoil</w:t>
            </w:r>
            <w:bookmarkEnd w:id="3"/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-18.45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5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CTRLsoil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-16.02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Arenosol slurry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-24.35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58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OFsoil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-19.37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26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CTRLsoil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-16.02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16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Andosol compost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-20.33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14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92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OFsoil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-22.75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6</w:t>
            </w:r>
          </w:p>
        </w:tc>
      </w:tr>
      <w:tr w:rsidR="00095A75" w:rsidRPr="0041179B" w:rsidTr="00FD2C80">
        <w:trPr>
          <w:trHeight w:val="278"/>
        </w:trPr>
        <w:tc>
          <w:tcPr>
            <w:tcW w:w="20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bookmarkStart w:id="4" w:name="_Hlk38376569"/>
            <w:r w:rsidRPr="0041179B">
              <w:rPr>
                <w:i/>
                <w:iCs/>
                <w:lang w:val="en-GB"/>
              </w:rPr>
              <w:t>δ</w:t>
            </w:r>
            <w:r w:rsidRPr="0041179B">
              <w:rPr>
                <w:vertAlign w:val="superscript"/>
                <w:lang w:val="en-GB"/>
              </w:rPr>
              <w:t>13</w:t>
            </w:r>
            <w:r w:rsidRPr="0041179B">
              <w:rPr>
                <w:lang w:val="en-GB"/>
              </w:rPr>
              <w:t>C</w:t>
            </w:r>
            <w:r w:rsidRPr="0041179B">
              <w:rPr>
                <w:vertAlign w:val="subscript"/>
                <w:lang w:val="en-GB"/>
              </w:rPr>
              <w:t>CTRLsoil</w:t>
            </w:r>
            <w:bookmarkEnd w:id="4"/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-24.58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lang w:val="en-GB"/>
              </w:rPr>
            </w:pPr>
            <w:r w:rsidRPr="0041179B">
              <w:rPr>
                <w:rFonts w:ascii="Calibri" w:hAnsi="Calibri" w:cs="Calibri"/>
                <w:color w:val="000000"/>
                <w:lang w:val="en-GB"/>
              </w:rPr>
              <w:t>2</w:t>
            </w:r>
          </w:p>
        </w:tc>
      </w:tr>
    </w:tbl>
    <w:p w:rsidR="00095A75" w:rsidRPr="0041179B" w:rsidRDefault="00095A75" w:rsidP="00095A75">
      <w:pPr>
        <w:rPr>
          <w:lang w:val="en-GB"/>
        </w:rPr>
        <w:sectPr w:rsidR="00095A75" w:rsidRPr="0041179B" w:rsidSect="0041179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95A75" w:rsidRPr="0041179B" w:rsidRDefault="00095A75" w:rsidP="00095A75">
      <w:pPr>
        <w:pStyle w:val="Beschriftung"/>
        <w:spacing w:line="360" w:lineRule="auto"/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</w:pPr>
      <w:bookmarkStart w:id="5" w:name="_Toc45528064"/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lastRenderedPageBreak/>
        <w:t>Figure S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instrText xml:space="preserve"> SEQ Figure_S \* ARABIC </w:instrTex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separate"/>
      </w:r>
      <w:r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/>
        </w:rPr>
        <w:t>1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41179B"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 w:eastAsia="de-DE"/>
        </w:rPr>
        <w:drawing>
          <wp:anchor distT="0" distB="0" distL="114300" distR="114300" simplePos="0" relativeHeight="251660288" behindDoc="0" locked="0" layoutInCell="1" allowOverlap="1" wp14:anchorId="03A3309A" wp14:editId="268C2870">
            <wp:simplePos x="0" y="0"/>
            <wp:positionH relativeFrom="column">
              <wp:posOffset>499859</wp:posOffset>
            </wp:positionH>
            <wp:positionV relativeFrom="paragraph">
              <wp:posOffset>1096977</wp:posOffset>
            </wp:positionV>
            <wp:extent cx="4355465" cy="1657350"/>
            <wp:effectExtent l="0" t="0" r="6985" b="0"/>
            <wp:wrapTopAndBottom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 xml:space="preserve">. Schematic representation of the experimental design of Arenosol and Andosol trials. 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>Consisting of nine plots divided into three blocks with three different treatments, leading to three plots per modality. The plots were randomly distributed within each block.</w:t>
      </w:r>
      <w:bookmarkEnd w:id="5"/>
    </w:p>
    <w:p w:rsidR="00095A75" w:rsidRPr="0041179B" w:rsidRDefault="00095A75" w:rsidP="00095A75">
      <w:pPr>
        <w:rPr>
          <w:b/>
          <w:lang w:val="en-GB"/>
        </w:rPr>
        <w:sectPr w:rsidR="00095A75" w:rsidRPr="0041179B" w:rsidSect="0041179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95A75" w:rsidRPr="0041179B" w:rsidRDefault="00095A75" w:rsidP="00095A75">
      <w:pPr>
        <w:pStyle w:val="Beschriftung"/>
        <w:spacing w:line="360" w:lineRule="auto"/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</w:pPr>
      <w:bookmarkStart w:id="6" w:name="_Toc45528065"/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lastRenderedPageBreak/>
        <w:t>Figure S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begin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instrText xml:space="preserve"> SEQ Figure_S \* ARABIC </w:instrTex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separate"/>
      </w:r>
      <w:r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/>
        </w:rPr>
        <w:t>2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fldChar w:fldCharType="end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 xml:space="preserve">. Bulk density estimations (results and parameters) using Alexander’s law on total carbon content. </w:t>
      </w:r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 xml:space="preserve">Note that a linear regressions on the total carbon from Figure 4 data was done to fit Alexander’s law by the least squared method with measurements </w:t>
      </w:r>
      <w:bookmarkEnd w:id="6"/>
      <w:r w:rsidRPr="0041179B">
        <w:rPr>
          <w:rFonts w:ascii="Times New Roman" w:eastAsiaTheme="minorHAnsi" w:hAnsi="Times New Roman" w:cstheme="minorBidi"/>
          <w:bCs/>
          <w:i w:val="0"/>
          <w:iCs w:val="0"/>
          <w:color w:val="auto"/>
          <w:sz w:val="22"/>
          <w:szCs w:val="22"/>
          <w:lang w:val="en-GB"/>
        </w:rPr>
        <w:t>performed on the Arenosol (5-10 cm) in year 0 an year 14 and on the Andosol (0-10 cm) in year 3 and 16. Alexander coefficients underwent least squares adjustment on carbon linear regression data, by fitting both measured values in each soils.</w:t>
      </w:r>
    </w:p>
    <w:p w:rsidR="00095A75" w:rsidRPr="0041179B" w:rsidRDefault="00095A75" w:rsidP="00095A75">
      <w:pPr>
        <w:rPr>
          <w:b/>
          <w:lang w:val="en-GB"/>
        </w:rPr>
      </w:pPr>
      <w:r w:rsidRPr="0041179B">
        <w:rPr>
          <w:noProof/>
          <w:lang w:val="en-GB" w:eastAsia="de-DE"/>
        </w:rPr>
        <w:drawing>
          <wp:anchor distT="0" distB="0" distL="114300" distR="114300" simplePos="0" relativeHeight="251659264" behindDoc="0" locked="0" layoutInCell="1" allowOverlap="1" wp14:anchorId="69F815C5" wp14:editId="6D681289">
            <wp:simplePos x="0" y="0"/>
            <wp:positionH relativeFrom="column">
              <wp:posOffset>100330</wp:posOffset>
            </wp:positionH>
            <wp:positionV relativeFrom="paragraph">
              <wp:posOffset>342900</wp:posOffset>
            </wp:positionV>
            <wp:extent cx="5390515" cy="2584450"/>
            <wp:effectExtent l="0" t="0" r="635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258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p w:rsidR="00095A75" w:rsidRPr="0041179B" w:rsidRDefault="00095A75" w:rsidP="00095A75">
      <w:pPr>
        <w:rPr>
          <w:b/>
          <w:lang w:val="en-GB"/>
        </w:rPr>
      </w:pP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974"/>
        <w:gridCol w:w="1737"/>
        <w:gridCol w:w="1560"/>
        <w:gridCol w:w="1283"/>
        <w:gridCol w:w="1524"/>
      </w:tblGrid>
      <w:tr w:rsidR="00095A75" w:rsidRPr="0041179B" w:rsidTr="00FD2C80">
        <w:trPr>
          <w:trHeight w:val="294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szCs w:val="24"/>
                <w:lang w:val="en-GB" w:eastAsia="en-GB"/>
              </w:rPr>
            </w:pPr>
          </w:p>
        </w:tc>
        <w:tc>
          <w:tcPr>
            <w:tcW w:w="4271" w:type="dxa"/>
            <w:gridSpan w:val="3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Arenosol</w:t>
            </w:r>
          </w:p>
        </w:tc>
        <w:tc>
          <w:tcPr>
            <w:tcW w:w="2807" w:type="dxa"/>
            <w:gridSpan w:val="2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Andosol</w:t>
            </w:r>
          </w:p>
        </w:tc>
      </w:tr>
      <w:tr w:rsidR="00095A75" w:rsidRPr="0041179B" w:rsidTr="00FD2C80">
        <w:trPr>
          <w:trHeight w:val="294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widowControl w:val="0"/>
              <w:spacing w:before="240"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Controls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Compost amended soils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Slurry amended soils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Controls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Compost amended soils</w:t>
            </w:r>
          </w:p>
        </w:tc>
      </w:tr>
      <w:tr w:rsidR="00095A75" w:rsidRPr="0041179B" w:rsidTr="00FD2C80">
        <w:trPr>
          <w:trHeight w:val="294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Alexander's coefficient (</w:t>
            </w:r>
            <w:r w:rsidRPr="0041179B">
              <w:rPr>
                <w:i/>
                <w:lang w:val="en-GB"/>
              </w:rPr>
              <w:t>A</w:t>
            </w:r>
            <w:r w:rsidRPr="0041179B">
              <w:rPr>
                <w:i/>
                <w:vertAlign w:val="subscript"/>
                <w:lang w:val="en-GB"/>
              </w:rPr>
              <w:t>coef</w:t>
            </w:r>
            <w:r w:rsidRPr="0041179B">
              <w:rPr>
                <w:i/>
                <w:lang w:val="en-GB"/>
              </w:rPr>
              <w:t>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1.74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1.58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1.46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3.61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1.71</w:t>
            </w:r>
          </w:p>
        </w:tc>
      </w:tr>
      <w:tr w:rsidR="00095A75" w:rsidRPr="0041179B" w:rsidTr="00FD2C80">
        <w:trPr>
          <w:trHeight w:val="294"/>
          <w:jc w:val="center"/>
        </w:trPr>
        <w:tc>
          <w:tcPr>
            <w:tcW w:w="1689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Slope (</w:t>
            </w:r>
            <w:r w:rsidRPr="0041179B">
              <w:rPr>
                <w:i/>
                <w:lang w:val="en-GB"/>
              </w:rPr>
              <w:t>A</w:t>
            </w:r>
            <w:r w:rsidRPr="0041179B">
              <w:rPr>
                <w:i/>
                <w:vertAlign w:val="subscript"/>
                <w:lang w:val="en-GB"/>
              </w:rPr>
              <w:t>slope</w:t>
            </w:r>
            <w:r w:rsidRPr="0041179B">
              <w:rPr>
                <w:i/>
                <w:lang w:val="en-GB"/>
              </w:rPr>
              <w:t>)</w:t>
            </w:r>
          </w:p>
        </w:tc>
        <w:tc>
          <w:tcPr>
            <w:tcW w:w="97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737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0.09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283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0.30</w:t>
            </w:r>
          </w:p>
        </w:tc>
        <w:tc>
          <w:tcPr>
            <w:tcW w:w="1524" w:type="dxa"/>
            <w:shd w:val="clear" w:color="auto" w:fill="auto"/>
            <w:noWrap/>
            <w:vAlign w:val="center"/>
            <w:hideMark/>
          </w:tcPr>
          <w:p w:rsidR="00095A75" w:rsidRPr="0041179B" w:rsidRDefault="00095A75" w:rsidP="00FD2C8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val="en-GB"/>
              </w:rPr>
            </w:pPr>
            <w:r w:rsidRPr="0041179B">
              <w:rPr>
                <w:rFonts w:eastAsia="Times New Roman" w:cs="Times New Roman"/>
                <w:color w:val="000000"/>
                <w:lang w:val="en-GB"/>
              </w:rPr>
              <w:t>0.11</w:t>
            </w:r>
          </w:p>
        </w:tc>
      </w:tr>
    </w:tbl>
    <w:p w:rsidR="00095A75" w:rsidRPr="0041179B" w:rsidRDefault="00095A75" w:rsidP="00095A75">
      <w:pPr>
        <w:rPr>
          <w:b/>
          <w:lang w:val="en-GB"/>
        </w:rPr>
        <w:sectPr w:rsidR="00095A75" w:rsidRPr="0041179B" w:rsidSect="0041179B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095A75" w:rsidRPr="0041179B" w:rsidRDefault="00095A75" w:rsidP="00095A75">
      <w:pPr>
        <w:pStyle w:val="Beschriftung"/>
        <w:spacing w:line="360" w:lineRule="auto"/>
        <w:jc w:val="left"/>
        <w:rPr>
          <w:lang w:val="en-GB"/>
        </w:rPr>
      </w:pPr>
      <w:bookmarkStart w:id="7" w:name="_Toc45528066"/>
      <w:r w:rsidRPr="0041179B">
        <w:rPr>
          <w:i w:val="0"/>
          <w:iCs w:val="0"/>
          <w:noProof/>
          <w:lang w:val="en-GB" w:eastAsia="de-DE"/>
        </w:rPr>
        <w:lastRenderedPageBreak/>
        <w:drawing>
          <wp:anchor distT="0" distB="0" distL="114300" distR="114300" simplePos="0" relativeHeight="251661312" behindDoc="0" locked="0" layoutInCell="1" allowOverlap="1" wp14:anchorId="4C9C0828" wp14:editId="18F1C013">
            <wp:simplePos x="0" y="0"/>
            <wp:positionH relativeFrom="column">
              <wp:posOffset>1129962</wp:posOffset>
            </wp:positionH>
            <wp:positionV relativeFrom="paragraph">
              <wp:posOffset>685095</wp:posOffset>
            </wp:positionV>
            <wp:extent cx="3754755" cy="2853055"/>
            <wp:effectExtent l="0" t="0" r="0" b="4445"/>
            <wp:wrapTopAndBottom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285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>Figure S</w:t>
      </w:r>
      <w:r w:rsidRPr="0041179B">
        <w:rPr>
          <w:b/>
          <w:lang w:val="en-GB"/>
        </w:rPr>
        <w:fldChar w:fldCharType="begin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instrText xml:space="preserve"> SEQ Figure_S \* ARABIC </w:instrText>
      </w:r>
      <w:r w:rsidRPr="0041179B">
        <w:rPr>
          <w:b/>
          <w:lang w:val="en-GB"/>
        </w:rPr>
        <w:fldChar w:fldCharType="separate"/>
      </w:r>
      <w:r>
        <w:rPr>
          <w:rFonts w:ascii="Times New Roman" w:eastAsiaTheme="minorHAnsi" w:hAnsi="Times New Roman" w:cstheme="minorBidi"/>
          <w:b/>
          <w:i w:val="0"/>
          <w:iCs w:val="0"/>
          <w:noProof/>
          <w:color w:val="auto"/>
          <w:sz w:val="22"/>
          <w:szCs w:val="22"/>
          <w:lang w:val="en-GB"/>
        </w:rPr>
        <w:t>3</w:t>
      </w:r>
      <w:r w:rsidRPr="0041179B">
        <w:rPr>
          <w:b/>
          <w:lang w:val="en-GB"/>
        </w:rPr>
        <w:fldChar w:fldCharType="end"/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>, OF-</w:t>
      </w:r>
      <w:r w:rsidRPr="0041179B">
        <w:rPr>
          <w:rFonts w:ascii="Times New Roman" w:eastAsiaTheme="minorHAnsi" w:hAnsi="Times New Roman" w:cstheme="minorBidi"/>
          <w:b/>
          <w:color w:val="auto"/>
          <w:sz w:val="22"/>
          <w:szCs w:val="22"/>
          <w:lang w:val="en-GB"/>
        </w:rPr>
        <w:t>δ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vertAlign w:val="superscript"/>
          <w:lang w:val="en-GB"/>
        </w:rPr>
        <w:t>13</w:t>
      </w:r>
      <w:r w:rsidRPr="0041179B">
        <w:rPr>
          <w:rFonts w:ascii="Times New Roman" w:eastAsiaTheme="minorHAnsi" w:hAnsi="Times New Roman" w:cstheme="minorBidi"/>
          <w:b/>
          <w:i w:val="0"/>
          <w:iCs w:val="0"/>
          <w:color w:val="auto"/>
          <w:sz w:val="22"/>
          <w:szCs w:val="22"/>
          <w:lang w:val="en-GB"/>
        </w:rPr>
        <w:t>C over time from years 2 to 9 for the bovine manure compost (green square) and bovine slurry (yellow dot) treatments</w:t>
      </w:r>
      <w:bookmarkEnd w:id="7"/>
      <w:r w:rsidRPr="0041179B">
        <w:rPr>
          <w:i w:val="0"/>
          <w:iCs w:val="0"/>
          <w:lang w:val="en-GB"/>
        </w:rPr>
        <w:t>.</w:t>
      </w:r>
    </w:p>
    <w:p w:rsidR="00095A75" w:rsidRPr="0041179B" w:rsidRDefault="00095A75" w:rsidP="00095A75">
      <w:pPr>
        <w:rPr>
          <w:lang w:val="en-GB"/>
        </w:rPr>
      </w:pPr>
    </w:p>
    <w:p w:rsidR="00137436" w:rsidRPr="00095A75" w:rsidRDefault="00137436">
      <w:pPr>
        <w:rPr>
          <w:lang w:val="en-GB"/>
        </w:rPr>
      </w:pPr>
      <w:bookmarkStart w:id="8" w:name="_GoBack"/>
      <w:bookmarkEnd w:id="8"/>
    </w:p>
    <w:sectPr w:rsidR="00137436" w:rsidRPr="00095A75" w:rsidSect="0041179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75"/>
    <w:rsid w:val="00095A75"/>
    <w:rsid w:val="00137436"/>
    <w:rsid w:val="009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F4935-5C79-431B-A575-0B688951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095A75"/>
    <w:pPr>
      <w:keepNext/>
      <w:spacing w:before="360" w:after="60" w:line="360" w:lineRule="auto"/>
      <w:ind w:right="567"/>
      <w:contextualSpacing/>
      <w:jc w:val="both"/>
      <w:outlineLvl w:val="0"/>
    </w:pPr>
    <w:rPr>
      <w:rFonts w:ascii="Times New Roman" w:hAnsi="Times New Roman" w:cs="Arial"/>
      <w:b/>
      <w:bCs/>
      <w:kern w:val="32"/>
      <w:sz w:val="24"/>
      <w:szCs w:val="32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95A75"/>
    <w:rPr>
      <w:rFonts w:ascii="Times New Roman" w:hAnsi="Times New Roman" w:cs="Arial"/>
      <w:b/>
      <w:bCs/>
      <w:kern w:val="32"/>
      <w:sz w:val="24"/>
      <w:szCs w:val="32"/>
      <w:lang w:val="en-US"/>
    </w:rPr>
  </w:style>
  <w:style w:type="paragraph" w:styleId="Beschriftung">
    <w:name w:val="caption"/>
    <w:basedOn w:val="Standard"/>
    <w:next w:val="Standard"/>
    <w:uiPriority w:val="35"/>
    <w:unhideWhenUsed/>
    <w:qFormat/>
    <w:rsid w:val="00095A75"/>
    <w:pPr>
      <w:suppressAutoHyphens/>
      <w:autoSpaceDN w:val="0"/>
      <w:spacing w:after="200" w:line="240" w:lineRule="auto"/>
      <w:jc w:val="both"/>
    </w:pPr>
    <w:rPr>
      <w:rFonts w:ascii="Calibri" w:eastAsia="Times New Roman" w:hAnsi="Calibri" w:cs="Times New Roman"/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293</Words>
  <Characters>1849</Characters>
  <Application>Microsoft Office Word</Application>
  <DocSecurity>0</DocSecurity>
  <Lines>15</Lines>
  <Paragraphs>4</Paragraphs>
  <ScaleCrop>false</ScaleCrop>
  <Company>UFZ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Reichelt</dc:creator>
  <cp:keywords/>
  <dc:description/>
  <cp:lastModifiedBy>Heike Reichelt</cp:lastModifiedBy>
  <cp:revision>1</cp:revision>
  <dcterms:created xsi:type="dcterms:W3CDTF">2021-06-08T10:08:00Z</dcterms:created>
  <dcterms:modified xsi:type="dcterms:W3CDTF">2021-06-08T10:09:00Z</dcterms:modified>
</cp:coreProperties>
</file>