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086"/>
        <w:gridCol w:w="1047"/>
        <w:gridCol w:w="1017"/>
        <w:gridCol w:w="677"/>
        <w:gridCol w:w="606"/>
        <w:gridCol w:w="677"/>
        <w:gridCol w:w="606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6" w:type="dxa"/>
            <w:gridSpan w:val="9"/>
            <w:tcBorders>
              <w:tl2br w:val="nil"/>
              <w:tr2bl w:val="nil"/>
            </w:tcBorders>
            <w:shd w:val="clear" w:color="auto" w:fill="000000" w:themeFill="text1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34" w:after="1134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 w:bidi="ar-SA"/>
              </w:rPr>
              <w:t>Table</w:t>
            </w:r>
            <w:r>
              <w:rPr>
                <w:rFonts w:hint="default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 w:bidi="ar-SA"/>
              </w:rPr>
              <w:t xml:space="preserve"> 1. Demographic </w:t>
            </w:r>
            <w:r>
              <w:rPr>
                <w:rFonts w:hint="default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/>
              </w:rPr>
              <w:t xml:space="preserve">information </w:t>
            </w:r>
            <w:r>
              <w:rPr>
                <w:rFonts w:hint="default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 w:bidi="ar-SA"/>
              </w:rPr>
              <w:t>of the samples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Country/Region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N (students)</w:t>
            </w:r>
          </w:p>
        </w:tc>
        <w:tc>
          <w:tcPr>
            <w:tcW w:w="1047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Female %</w:t>
            </w:r>
          </w:p>
        </w:tc>
        <w:tc>
          <w:tcPr>
            <w:tcW w:w="1017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N (schools)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SCMC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ASCMC</w:t>
            </w:r>
          </w:p>
        </w:tc>
        <w:tc>
          <w:tcPr>
            <w:tcW w:w="767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ICC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tabs>
                <w:tab w:val="left" w:pos="3600"/>
              </w:tabs>
              <w:spacing w:after="80" w:line="240" w:lineRule="exact"/>
              <w:jc w:val="both"/>
              <w:rPr>
                <w:rFonts w:hint="default" w:ascii="Arial Bold" w:hAnsi="Arial Bold" w:cs="Arial Bold" w:eastAsiaTheme="min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tabs>
                <w:tab w:val="left" w:pos="3600"/>
              </w:tabs>
              <w:spacing w:after="80" w:line="240" w:lineRule="exact"/>
              <w:jc w:val="both"/>
              <w:rPr>
                <w:rFonts w:hint="default" w:ascii="Arial Bold" w:hAnsi="Arial Bold" w:cs="Arial Bold" w:eastAsiaTheme="min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tabs>
                <w:tab w:val="left" w:pos="3600"/>
              </w:tabs>
              <w:spacing w:after="80" w:line="240" w:lineRule="exact"/>
              <w:jc w:val="both"/>
              <w:rPr>
                <w:rFonts w:hint="default" w:ascii="Arial Bold" w:hAnsi="Arial Bold" w:cs="Arial Bold" w:eastAsiaTheme="min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tabs>
                <w:tab w:val="left" w:pos="3600"/>
              </w:tabs>
              <w:spacing w:after="80" w:line="240" w:lineRule="exact"/>
              <w:jc w:val="both"/>
              <w:rPr>
                <w:rFonts w:hint="default" w:ascii="Arial Bold" w:hAnsi="Arial Bold" w:cs="Arial Bold" w:eastAsiaTheme="minor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Mean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SD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Mean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default" w:ascii="Arial Bold" w:hAnsi="Arial Bold" w:cs="Arial Bold"/>
                <w:b/>
                <w:bCs/>
                <w:sz w:val="18"/>
                <w:szCs w:val="18"/>
                <w:lang w:eastAsia="zh-Hans"/>
              </w:rPr>
              <w:t>SD</w:t>
            </w: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tabs>
                <w:tab w:val="left" w:pos="3600"/>
              </w:tabs>
              <w:spacing w:after="80" w:line="240" w:lineRule="exact"/>
              <w:jc w:val="both"/>
              <w:rPr>
                <w:rFonts w:hint="default" w:ascii="Arial Bold" w:hAnsi="Arial Bold" w:cs="Arial Bold" w:eastAsiaTheme="minorEastAsia"/>
                <w:b/>
                <w:bCs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Albania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6,359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327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2.66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1.31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Australia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14,273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763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2.68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Austria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6,802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291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1.77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Belgium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8,475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50.4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289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1.71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Brazil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1,0691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51.2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598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2.53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Brunei Darussalam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6,828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49.5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1.09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Bulgaria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5,294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47.8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197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2.82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Chile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7,621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254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Chinese Taipei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7,243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192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1.01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Costa Rica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7,221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205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Croatia</w:t>
            </w:r>
            <w:r>
              <w:rPr>
                <w:rFonts w:hint="default" w:ascii="Arial Regular" w:hAnsi="Arial Regular" w:cs="Arial Regular"/>
                <w:sz w:val="20"/>
                <w:szCs w:val="20"/>
              </w:rPr>
              <w:tab/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6,609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Czech Republic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7,019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333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1.03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Denmark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7,657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348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1.13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Dominican Republic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5,674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235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Estonia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5,316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230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Finland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5,649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214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1.56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0.99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0.97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France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6,308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252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1.75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Georgia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5,572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321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Greece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6,403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242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Hong Kong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6,037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152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1.14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Hungary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5,132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238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2.51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1.14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Iceland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3,296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50.2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142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1.04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Ireland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5,577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157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1.72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Israel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6,623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53.5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174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Italy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11,785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48.2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542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Japan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6,109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51.1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0.95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0.63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Kazakhstan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19,507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616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1.24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Korea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6,650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1.04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Latvia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5,303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308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2.59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Lithuania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6,885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362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Luxembourg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5,230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Macao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3,775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49.3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1.09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Malta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3,363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47.9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2.54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2.67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Mexico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7,299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52.4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286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Morocco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6,814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47.9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179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1.16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New Zealand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6,173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51.1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192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Panama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6,270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253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Poland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5,625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1.26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Russian Federation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7,608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50.7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263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2.85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2.60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Serbia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6,609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49.5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187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1.21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Singapore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6,676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166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Slovak Republic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5,965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50.3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376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2.43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1.15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Slovenia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6,401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46.8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345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2.33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0.4844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Spain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35,943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1,089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1.76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1.22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1.07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Sweden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5,504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50.2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223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1.12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Switzerland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5,822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47.9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1.86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Thailand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8,633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54.4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290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3.37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3.05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1.16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Turkey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6,890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49.3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186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2.28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1.20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United Kingdom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13,818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50.6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471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1.54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1.03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1.97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0.98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United States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4,838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49.1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624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2.57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1.21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Uruguay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5,263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51.9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189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2.16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1.28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2.29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1.17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Moscow Region (RUS)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2,016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48.1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61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2.91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1.40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2.72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1.36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Tatarstan (RUS)</w:t>
            </w:r>
          </w:p>
        </w:tc>
        <w:tc>
          <w:tcPr>
            <w:tcW w:w="10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5,816</w:t>
            </w:r>
          </w:p>
        </w:tc>
        <w:tc>
          <w:tcPr>
            <w:tcW w:w="104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50.0</w:t>
            </w:r>
          </w:p>
        </w:tc>
        <w:tc>
          <w:tcPr>
            <w:tcW w:w="101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239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2.99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1.31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2.80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1.29</w:t>
            </w:r>
          </w:p>
        </w:tc>
        <w:tc>
          <w:tcPr>
            <w:tcW w:w="767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0.2343</w:t>
            </w:r>
          </w:p>
        </w:tc>
      </w:tr>
    </w:tbl>
    <w:p>
      <w:pPr>
        <w:pStyle w:val="8"/>
        <w:widowControl w:val="0"/>
        <w:tabs>
          <w:tab w:val="left" w:pos="3600"/>
        </w:tabs>
        <w:ind w:firstLine="0" w:firstLineChars="0"/>
        <w:jc w:val="both"/>
        <w:rPr>
          <w:rFonts w:hint="default" w:ascii="Arial Regular" w:hAnsi="Arial Regular" w:cs="Arial Regular" w:eastAsiaTheme="minorEastAsia"/>
          <w:iCs/>
          <w:kern w:val="2"/>
          <w:sz w:val="18"/>
          <w:szCs w:val="18"/>
          <w:lang w:eastAsia="zh-Hans"/>
        </w:rPr>
      </w:pPr>
      <w:r>
        <w:rPr>
          <w:rFonts w:hint="default" w:ascii="Arial Regular" w:hAnsi="Arial Regular" w:cs="Arial Regular" w:eastAsiaTheme="minorEastAsia"/>
          <w:i w:val="0"/>
          <w:iCs/>
          <w:kern w:val="2"/>
          <w:sz w:val="18"/>
          <w:szCs w:val="18"/>
          <w:lang w:eastAsia="zh-Hans"/>
        </w:rPr>
        <w:t>Note</w:t>
      </w:r>
      <w:bookmarkStart w:id="0" w:name="_GoBack"/>
      <w:bookmarkEnd w:id="0"/>
      <w:r>
        <w:rPr>
          <w:rFonts w:hint="default" w:ascii="Arial Regular" w:hAnsi="Arial Regular" w:cs="Arial Regular" w:eastAsiaTheme="minorEastAsia"/>
          <w:i w:val="0"/>
          <w:iCs/>
          <w:kern w:val="2"/>
          <w:sz w:val="18"/>
          <w:szCs w:val="18"/>
          <w:lang w:eastAsia="zh-Hans"/>
        </w:rPr>
        <w:t xml:space="preserve">. </w:t>
      </w:r>
      <w:r>
        <w:rPr>
          <w:rFonts w:hint="default" w:ascii="Arial Regular" w:hAnsi="Arial Regular" w:cs="Arial Regular" w:eastAsiaTheme="minorEastAsia"/>
          <w:iCs/>
          <w:kern w:val="2"/>
          <w:sz w:val="18"/>
          <w:szCs w:val="18"/>
          <w:lang w:eastAsia="zh-Hans"/>
        </w:rPr>
        <w:t xml:space="preserve">Data were retrieved from the PISA 2018 results (URL: </w:t>
      </w:r>
      <w:r>
        <w:rPr>
          <w:rFonts w:hint="default" w:ascii="Arial Regular" w:hAnsi="Arial Regular" w:cs="Arial Regular"/>
          <w:sz w:val="18"/>
          <w:szCs w:val="18"/>
        </w:rPr>
        <w:fldChar w:fldCharType="begin"/>
      </w:r>
      <w:r>
        <w:rPr>
          <w:rFonts w:hint="default" w:ascii="Arial Regular" w:hAnsi="Arial Regular" w:cs="Arial Regular"/>
          <w:sz w:val="18"/>
          <w:szCs w:val="18"/>
        </w:rPr>
        <w:instrText xml:space="preserve"> HYPERLINK "http://www.oecd.org/pisa/data/2018database/" </w:instrText>
      </w:r>
      <w:r>
        <w:rPr>
          <w:rFonts w:hint="default" w:ascii="Arial Regular" w:hAnsi="Arial Regular" w:cs="Arial Regular"/>
          <w:sz w:val="18"/>
          <w:szCs w:val="18"/>
        </w:rPr>
        <w:fldChar w:fldCharType="separate"/>
      </w:r>
      <w:r>
        <w:rPr>
          <w:rFonts w:hint="default" w:ascii="Arial Regular" w:hAnsi="Arial Regular" w:cs="Arial Regular" w:eastAsiaTheme="minorEastAsia"/>
          <w:iCs/>
          <w:kern w:val="2"/>
          <w:sz w:val="18"/>
          <w:szCs w:val="18"/>
          <w:lang w:eastAsia="zh-Hans"/>
        </w:rPr>
        <w:t>http://www.oecd.org/pisa/data/2018database/</w:t>
      </w:r>
      <w:r>
        <w:rPr>
          <w:rFonts w:hint="default" w:ascii="Arial Regular" w:hAnsi="Arial Regular" w:cs="Arial Regular" w:eastAsiaTheme="minorEastAsia"/>
          <w:iCs/>
          <w:kern w:val="2"/>
          <w:sz w:val="18"/>
          <w:szCs w:val="18"/>
          <w:lang w:eastAsia="zh-Hans"/>
        </w:rPr>
        <w:fldChar w:fldCharType="end"/>
      </w:r>
      <w:r>
        <w:rPr>
          <w:rFonts w:hint="default" w:ascii="Arial Regular" w:hAnsi="Arial Regular" w:cs="Arial Regular" w:eastAsiaTheme="minorEastAsia"/>
          <w:iCs/>
          <w:kern w:val="2"/>
          <w:sz w:val="18"/>
          <w:szCs w:val="18"/>
          <w:lang w:eastAsia="zh-Hans"/>
        </w:rPr>
        <w:t>).</w:t>
      </w:r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imSong">
    <w:panose1 w:val="02020300000000000000"/>
    <w:charset w:val="86"/>
    <w:family w:val="roman"/>
    <w:pitch w:val="default"/>
    <w:sig w:usb0="800002BF" w:usb1="38CF7CFA" w:usb2="00000016" w:usb3="00000000" w:csb0="0004000D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Palatino-Roman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TimesNewRomanPS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URWPalladioL-Roma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Rpxr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URWPalladioL-Ital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FZSSJW--GB1-0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imesNewRomanPS-Italic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EuclidSymbol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ymbolMT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-Roman">
    <w:altName w:val="苹方-简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简宋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SimSong Bold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angal">
    <w:altName w:val="苹方-简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苹方-简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DellaRobbiaBT-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ce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 Neue Light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4"/>
    <w:rsid w:val="003E5E52"/>
    <w:rsid w:val="006879D4"/>
    <w:rsid w:val="009B242E"/>
    <w:rsid w:val="009D5899"/>
    <w:rsid w:val="00AA5045"/>
    <w:rsid w:val="71EFCF1C"/>
    <w:rsid w:val="79F75A60"/>
    <w:rsid w:val="7DE7F85E"/>
    <w:rsid w:val="7EF71AC8"/>
    <w:rsid w:val="7F5F9DDA"/>
    <w:rsid w:val="BFFFB0BE"/>
    <w:rsid w:val="DFFB3E75"/>
    <w:rsid w:val="EDFF0FC7"/>
    <w:rsid w:val="EF5F50B2"/>
    <w:rsid w:val="EFFAC211"/>
    <w:rsid w:val="FD6EE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标题 1 字符"/>
    <w:basedOn w:val="3"/>
    <w:link w:val="2"/>
    <w:qFormat/>
    <w:uiPriority w:val="9"/>
    <w:rPr>
      <w:b/>
      <w:bCs/>
      <w:kern w:val="44"/>
    </w:rPr>
  </w:style>
  <w:style w:type="paragraph" w:customStyle="1" w:styleId="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8">
    <w:name w:val="列表段落5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2657</Characters>
  <Lines>22</Lines>
  <Paragraphs>6</Paragraphs>
  <ScaleCrop>false</ScaleCrop>
  <LinksUpToDate>false</LinksUpToDate>
  <CharactersWithSpaces>3116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2021-06-15T00:58:00Z</dcterms:created>
  <dc:creator>hp</dc:creator>
  <cp:lastModifiedBy>yu</cp:lastModifiedBy>
  <dcterms:modified xsi:type="dcterms:W3CDTF">2021-07-16T11:03:37Z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