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388" w:rsidRDefault="00887F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material</w:t>
      </w:r>
    </w:p>
    <w:p w:rsidR="00016388" w:rsidRDefault="0001638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Content: </w:t>
      </w:r>
      <w:r w:rsidR="00AE20F4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figures</w:t>
      </w:r>
      <w:bookmarkStart w:id="0" w:name="_GoBack"/>
      <w:bookmarkEnd w:id="0"/>
    </w:p>
    <w:p w:rsidR="00016388" w:rsidRPr="00DC67A1" w:rsidRDefault="00DC67A1" w:rsidP="00DC67A1">
      <w:pPr>
        <w:spacing w:line="360" w:lineRule="auto"/>
        <w:jc w:val="both"/>
        <w:rPr>
          <w:b/>
        </w:rPr>
      </w:pPr>
      <w:r w:rsidRPr="00DC67A1">
        <w:rPr>
          <w:b/>
        </w:rPr>
        <w:t xml:space="preserve">Figure </w:t>
      </w:r>
      <w:r w:rsidRPr="00DC67A1">
        <w:rPr>
          <w:b/>
        </w:rPr>
        <w:t>S</w:t>
      </w:r>
      <w:r w:rsidRPr="00DC67A1">
        <w:rPr>
          <w:b/>
        </w:rPr>
        <w:t xml:space="preserve">1. </w:t>
      </w:r>
      <w:r w:rsidRPr="00DC67A1">
        <w:t xml:space="preserve">Global distribution of </w:t>
      </w:r>
      <w:r w:rsidR="004C5E81" w:rsidRPr="00DC67A1">
        <w:rPr>
          <w:b/>
        </w:rPr>
        <w:t>(A)</w:t>
      </w:r>
      <w:r w:rsidR="004C5E81" w:rsidRPr="00DC67A1">
        <w:t xml:space="preserve"> </w:t>
      </w:r>
      <w:r w:rsidRPr="00DC67A1">
        <w:t>temperature</w:t>
      </w:r>
      <w:r w:rsidR="004C5E81">
        <w:t xml:space="preserve"> and </w:t>
      </w:r>
      <w:r w:rsidR="004C5E81" w:rsidRPr="00DC67A1">
        <w:rPr>
          <w:b/>
        </w:rPr>
        <w:t>(B)</w:t>
      </w:r>
      <w:r w:rsidR="004C5E81" w:rsidRPr="00DC67A1">
        <w:t xml:space="preserve"> </w:t>
      </w:r>
      <w:r w:rsidR="004C5E81">
        <w:t>salinity</w:t>
      </w:r>
      <w:r w:rsidRPr="00DC67A1">
        <w:t xml:space="preserve"> observation weights </w:t>
      </w:r>
      <w:r w:rsidR="004C5E81">
        <w:t xml:space="preserve">extracted from EN4.2.1 dataset </w:t>
      </w:r>
      <w:r w:rsidRPr="00DC67A1">
        <w:t>for each season DJF, MAM, JJA and SON at 5 m</w:t>
      </w:r>
      <w:r w:rsidRPr="00DC67A1">
        <w:t xml:space="preserve"> and </w:t>
      </w:r>
      <w:r w:rsidRPr="00DC67A1">
        <w:t>56 m</w:t>
      </w:r>
      <w:r w:rsidR="004C5E81">
        <w:t xml:space="preserve"> depth</w:t>
      </w:r>
      <w:r>
        <w:t>.</w:t>
      </w:r>
    </w:p>
    <w:p w:rsidR="00DC67A1" w:rsidRPr="00DC67A1" w:rsidRDefault="00DC67A1">
      <w:pPr>
        <w:rPr>
          <w:b/>
        </w:rPr>
      </w:pPr>
      <w:r w:rsidRPr="00DC67A1">
        <w:rPr>
          <w:b/>
        </w:rPr>
        <w:t>(A)</w:t>
      </w:r>
      <w:r w:rsidR="007C294D">
        <w:rPr>
          <w:b/>
        </w:rPr>
        <w:t xml:space="preserve"> Temperature</w:t>
      </w:r>
    </w:p>
    <w:p w:rsidR="00DC67A1" w:rsidRDefault="004C5E81" w:rsidP="00132419">
      <w:pPr>
        <w:jc w:val="center"/>
      </w:pPr>
      <w:r>
        <w:rPr>
          <w:noProof/>
        </w:rPr>
        <w:drawing>
          <wp:inline distT="0" distB="0" distL="0" distR="0">
            <wp:extent cx="5058102" cy="57357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s_tem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072" cy="574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E81" w:rsidRDefault="004C5E81" w:rsidP="00DC67A1">
      <w:pPr>
        <w:rPr>
          <w:b/>
        </w:rPr>
      </w:pPr>
    </w:p>
    <w:p w:rsidR="004C5E81" w:rsidRDefault="004C5E81" w:rsidP="00DC67A1">
      <w:pPr>
        <w:rPr>
          <w:b/>
        </w:rPr>
      </w:pPr>
    </w:p>
    <w:p w:rsidR="004C5E81" w:rsidRDefault="004C5E81" w:rsidP="00DC67A1">
      <w:pPr>
        <w:rPr>
          <w:b/>
        </w:rPr>
      </w:pPr>
    </w:p>
    <w:p w:rsidR="00DC67A1" w:rsidRDefault="00DC67A1" w:rsidP="00DC67A1">
      <w:pPr>
        <w:rPr>
          <w:b/>
        </w:rPr>
      </w:pPr>
      <w:r w:rsidRPr="00DC67A1">
        <w:rPr>
          <w:b/>
        </w:rPr>
        <w:lastRenderedPageBreak/>
        <w:t>(B)</w:t>
      </w:r>
      <w:r>
        <w:rPr>
          <w:b/>
        </w:rPr>
        <w:t xml:space="preserve"> </w:t>
      </w:r>
      <w:r w:rsidR="007C294D">
        <w:rPr>
          <w:b/>
        </w:rPr>
        <w:t>Salinity</w:t>
      </w:r>
    </w:p>
    <w:p w:rsidR="00DC67A1" w:rsidRDefault="004C5E81" w:rsidP="004C5E81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7E405E6" wp14:editId="21C31489">
            <wp:extent cx="4987636" cy="5631855"/>
            <wp:effectExtent l="0" t="0" r="381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s_s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887" cy="56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A1" w:rsidRDefault="00DC67A1" w:rsidP="004C5E81">
      <w:pPr>
        <w:spacing w:line="360" w:lineRule="auto"/>
        <w:jc w:val="center"/>
        <w:rPr>
          <w:b/>
        </w:rPr>
      </w:pPr>
    </w:p>
    <w:p w:rsidR="00DC67A1" w:rsidRDefault="00DC67A1" w:rsidP="00DC67A1">
      <w:pPr>
        <w:spacing w:line="360" w:lineRule="auto"/>
        <w:jc w:val="both"/>
        <w:rPr>
          <w:b/>
        </w:rPr>
      </w:pPr>
    </w:p>
    <w:p w:rsidR="00DC67A1" w:rsidRDefault="00DC67A1" w:rsidP="00DC67A1">
      <w:pPr>
        <w:spacing w:line="360" w:lineRule="auto"/>
        <w:jc w:val="both"/>
        <w:rPr>
          <w:b/>
        </w:rPr>
      </w:pPr>
    </w:p>
    <w:p w:rsidR="00DC67A1" w:rsidRDefault="00DC67A1" w:rsidP="00DC67A1">
      <w:pPr>
        <w:spacing w:line="360" w:lineRule="auto"/>
        <w:jc w:val="both"/>
        <w:rPr>
          <w:b/>
        </w:rPr>
      </w:pPr>
    </w:p>
    <w:p w:rsidR="00DC67A1" w:rsidRDefault="00DC67A1" w:rsidP="00DC67A1">
      <w:pPr>
        <w:spacing w:line="360" w:lineRule="auto"/>
        <w:jc w:val="both"/>
        <w:rPr>
          <w:b/>
        </w:rPr>
      </w:pPr>
    </w:p>
    <w:p w:rsidR="00DC67A1" w:rsidRDefault="00DC67A1" w:rsidP="00DC67A1">
      <w:pPr>
        <w:spacing w:line="360" w:lineRule="auto"/>
        <w:jc w:val="both"/>
      </w:pPr>
      <w:r w:rsidRPr="00DC67A1">
        <w:rPr>
          <w:b/>
        </w:rPr>
        <w:lastRenderedPageBreak/>
        <w:t xml:space="preserve">Figure </w:t>
      </w:r>
      <w:r w:rsidRPr="00DC67A1">
        <w:rPr>
          <w:b/>
        </w:rPr>
        <w:t>S</w:t>
      </w:r>
      <w:r w:rsidRPr="00DC67A1">
        <w:rPr>
          <w:b/>
        </w:rPr>
        <w:t>2.</w:t>
      </w:r>
      <w:r w:rsidRPr="001F599E">
        <w:t xml:space="preserve"> </w:t>
      </w:r>
      <w:r>
        <w:t>Global distribution of</w:t>
      </w:r>
      <w:r w:rsidR="004C5E81">
        <w:t xml:space="preserve"> </w:t>
      </w:r>
      <w:r w:rsidR="004C5E81" w:rsidRPr="00DC67A1">
        <w:rPr>
          <w:b/>
        </w:rPr>
        <w:t>(A)</w:t>
      </w:r>
      <w:r>
        <w:t xml:space="preserve"> t</w:t>
      </w:r>
      <w:r w:rsidRPr="001F599E">
        <w:t xml:space="preserve">emperature </w:t>
      </w:r>
      <w:r w:rsidR="004C5E81">
        <w:t xml:space="preserve">and </w:t>
      </w:r>
      <w:r w:rsidR="004C5E81" w:rsidRPr="00DC67A1">
        <w:rPr>
          <w:b/>
        </w:rPr>
        <w:t>(</w:t>
      </w:r>
      <w:r w:rsidR="004C5E81">
        <w:rPr>
          <w:b/>
        </w:rPr>
        <w:t>B</w:t>
      </w:r>
      <w:r w:rsidR="004C5E81" w:rsidRPr="00DC67A1">
        <w:rPr>
          <w:b/>
        </w:rPr>
        <w:t>)</w:t>
      </w:r>
      <w:r w:rsidR="004C5E81">
        <w:rPr>
          <w:b/>
        </w:rPr>
        <w:t xml:space="preserve"> </w:t>
      </w:r>
      <w:r w:rsidR="004C5E81">
        <w:t xml:space="preserve">salinity </w:t>
      </w:r>
      <w:r>
        <w:t>uncertaint</w:t>
      </w:r>
      <w:r w:rsidR="004C5E81">
        <w:t>ies</w:t>
      </w:r>
      <w:r>
        <w:t xml:space="preserve"> (standard deviation) </w:t>
      </w:r>
      <w:r w:rsidR="004C5E81">
        <w:t>extracted from EN4.2.1 dataset</w:t>
      </w:r>
      <w:r w:rsidR="004C5E81">
        <w:t xml:space="preserve"> </w:t>
      </w:r>
      <w:r>
        <w:t>for each season DJF, MAM, JJA and SON at 5 m</w:t>
      </w:r>
      <w:r>
        <w:t xml:space="preserve"> and</w:t>
      </w:r>
      <w:r>
        <w:t xml:space="preserve"> 56 m</w:t>
      </w:r>
      <w:r w:rsidR="004C5E81">
        <w:t xml:space="preserve"> depth</w:t>
      </w:r>
      <w:r>
        <w:t>.</w:t>
      </w:r>
    </w:p>
    <w:p w:rsidR="00DC67A1" w:rsidRDefault="00DC67A1" w:rsidP="00DC67A1">
      <w:pPr>
        <w:spacing w:line="360" w:lineRule="auto"/>
        <w:jc w:val="both"/>
        <w:rPr>
          <w:b/>
        </w:rPr>
      </w:pPr>
      <w:r w:rsidRPr="00DC67A1">
        <w:rPr>
          <w:b/>
        </w:rPr>
        <w:t>(A)</w:t>
      </w:r>
      <w:r w:rsidR="004C5E81">
        <w:rPr>
          <w:b/>
        </w:rPr>
        <w:t xml:space="preserve"> Temperature</w:t>
      </w:r>
    </w:p>
    <w:p w:rsidR="004C5E81" w:rsidRPr="00DC67A1" w:rsidRDefault="004C5E81" w:rsidP="004C5E81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6921" cy="5680324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cer_tem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903" cy="56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A1" w:rsidRDefault="00DC67A1" w:rsidP="00132419">
      <w:pPr>
        <w:spacing w:line="360" w:lineRule="auto"/>
        <w:jc w:val="center"/>
      </w:pPr>
    </w:p>
    <w:p w:rsidR="004C5E81" w:rsidRDefault="004C5E81" w:rsidP="00DC67A1">
      <w:pPr>
        <w:rPr>
          <w:b/>
        </w:rPr>
      </w:pPr>
    </w:p>
    <w:p w:rsidR="004C5E81" w:rsidRDefault="004C5E81" w:rsidP="00DC67A1">
      <w:pPr>
        <w:rPr>
          <w:b/>
        </w:rPr>
      </w:pPr>
    </w:p>
    <w:p w:rsidR="00DC67A1" w:rsidRDefault="00DC67A1" w:rsidP="00DC67A1">
      <w:pPr>
        <w:rPr>
          <w:b/>
        </w:rPr>
      </w:pPr>
      <w:r w:rsidRPr="00DC67A1">
        <w:rPr>
          <w:b/>
        </w:rPr>
        <w:lastRenderedPageBreak/>
        <w:t>(B)</w:t>
      </w:r>
      <w:r w:rsidR="004C5E81">
        <w:rPr>
          <w:b/>
        </w:rPr>
        <w:t xml:space="preserve"> Salinity</w:t>
      </w:r>
    </w:p>
    <w:p w:rsidR="00DC67A1" w:rsidRPr="00DC67A1" w:rsidRDefault="004C5E81" w:rsidP="00132419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25656" cy="5651844"/>
            <wp:effectExtent l="0" t="0" r="381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cer_sa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554" cy="565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A1" w:rsidRDefault="00DC67A1">
      <w:pPr>
        <w:rPr>
          <w:rFonts w:ascii="Arial" w:hAnsi="Arial" w:cs="Arial"/>
          <w:b/>
        </w:rPr>
      </w:pPr>
    </w:p>
    <w:p w:rsidR="004C5E81" w:rsidRDefault="004C5E81" w:rsidP="0017722C">
      <w:pPr>
        <w:spacing w:line="360" w:lineRule="auto"/>
        <w:jc w:val="both"/>
        <w:rPr>
          <w:rFonts w:cs="Times New Roman"/>
          <w:b/>
        </w:rPr>
      </w:pPr>
    </w:p>
    <w:p w:rsidR="004C5E81" w:rsidRDefault="004C5E81" w:rsidP="0017722C">
      <w:pPr>
        <w:spacing w:line="360" w:lineRule="auto"/>
        <w:jc w:val="both"/>
        <w:rPr>
          <w:rFonts w:cs="Times New Roman"/>
          <w:b/>
        </w:rPr>
      </w:pPr>
    </w:p>
    <w:p w:rsidR="004C5E81" w:rsidRDefault="004C5E81" w:rsidP="0017722C">
      <w:pPr>
        <w:spacing w:line="360" w:lineRule="auto"/>
        <w:jc w:val="both"/>
        <w:rPr>
          <w:rFonts w:cs="Times New Roman"/>
          <w:b/>
        </w:rPr>
      </w:pPr>
    </w:p>
    <w:p w:rsidR="004C5E81" w:rsidRDefault="004C5E81" w:rsidP="0017722C">
      <w:pPr>
        <w:spacing w:line="360" w:lineRule="auto"/>
        <w:jc w:val="both"/>
        <w:rPr>
          <w:rFonts w:cs="Times New Roman"/>
          <w:b/>
        </w:rPr>
      </w:pPr>
    </w:p>
    <w:p w:rsidR="00DF062F" w:rsidRPr="00016388" w:rsidRDefault="00EA3A08" w:rsidP="0017722C">
      <w:pPr>
        <w:spacing w:line="360" w:lineRule="auto"/>
        <w:jc w:val="both"/>
        <w:rPr>
          <w:rFonts w:cs="Times New Roman"/>
        </w:rPr>
      </w:pPr>
      <w:r w:rsidRPr="00016388">
        <w:rPr>
          <w:rFonts w:cs="Times New Roman"/>
          <w:b/>
        </w:rPr>
        <w:lastRenderedPageBreak/>
        <w:t>Figure S</w:t>
      </w:r>
      <w:r w:rsidR="005167C4">
        <w:rPr>
          <w:rFonts w:cs="Times New Roman"/>
          <w:b/>
        </w:rPr>
        <w:t>3</w:t>
      </w:r>
      <w:r w:rsidR="008C313D" w:rsidRPr="00016388">
        <w:rPr>
          <w:rFonts w:cs="Times New Roman"/>
          <w:b/>
        </w:rPr>
        <w:t>.</w:t>
      </w:r>
      <w:r w:rsidR="008C313D" w:rsidRPr="00016388">
        <w:rPr>
          <w:rFonts w:cs="Times New Roman"/>
        </w:rPr>
        <w:t xml:space="preserve"> Multi-seasonal </w:t>
      </w:r>
      <w:r w:rsidR="00091407" w:rsidRPr="00016388">
        <w:rPr>
          <w:rFonts w:cs="Times New Roman"/>
        </w:rPr>
        <w:t xml:space="preserve">Pearson correlation analysis between </w:t>
      </w:r>
      <w:r w:rsidR="00016388">
        <w:rPr>
          <w:rFonts w:cs="Times New Roman"/>
        </w:rPr>
        <w:t xml:space="preserve">the </w:t>
      </w:r>
      <w:r w:rsidR="00091407" w:rsidRPr="00016388">
        <w:rPr>
          <w:rFonts w:cs="Times New Roman"/>
        </w:rPr>
        <w:t>shell</w:t>
      </w:r>
      <w:r w:rsidR="00016388">
        <w:rPr>
          <w:rFonts w:cs="Times New Roman"/>
        </w:rPr>
        <w:t xml:space="preserve"> growth </w:t>
      </w:r>
      <w:r w:rsidR="00091407" w:rsidRPr="00016388">
        <w:rPr>
          <w:rFonts w:cs="Times New Roman"/>
        </w:rPr>
        <w:t xml:space="preserve">signal and subsurface water temperature at the </w:t>
      </w:r>
      <w:r w:rsidR="009B4AB1">
        <w:rPr>
          <w:rFonts w:cs="Times New Roman"/>
        </w:rPr>
        <w:t xml:space="preserve">approximate </w:t>
      </w:r>
      <w:r w:rsidR="00091407" w:rsidRPr="00016388">
        <w:rPr>
          <w:rFonts w:cs="Times New Roman"/>
        </w:rPr>
        <w:t xml:space="preserve">collection site (66° N, 18°W) for 1900-2005 </w:t>
      </w:r>
      <w:r w:rsidR="00FD342D">
        <w:rPr>
          <w:rFonts w:cs="Times New Roman"/>
        </w:rPr>
        <w:t>at</w:t>
      </w:r>
      <w:r w:rsidR="00091407" w:rsidRPr="00016388">
        <w:rPr>
          <w:rFonts w:cs="Times New Roman"/>
        </w:rPr>
        <w:t xml:space="preserve"> different significance levels: </w:t>
      </w:r>
      <w:r w:rsidR="00CD1457" w:rsidRPr="00016388">
        <w:rPr>
          <w:rFonts w:cs="Times New Roman"/>
          <w:b/>
        </w:rPr>
        <w:t>(</w:t>
      </w:r>
      <w:r w:rsidR="00091407" w:rsidRPr="00016388">
        <w:rPr>
          <w:rFonts w:cs="Times New Roman"/>
          <w:b/>
        </w:rPr>
        <w:t>A)</w:t>
      </w:r>
      <w:r w:rsidR="00091407" w:rsidRPr="00016388">
        <w:rPr>
          <w:rFonts w:cs="Times New Roman"/>
        </w:rPr>
        <w:t xml:space="preserve"> 90%, </w:t>
      </w:r>
      <w:r w:rsidR="00CD1457" w:rsidRPr="00016388">
        <w:rPr>
          <w:rFonts w:cs="Times New Roman"/>
          <w:b/>
        </w:rPr>
        <w:t>(</w:t>
      </w:r>
      <w:r w:rsidR="00091407" w:rsidRPr="00016388">
        <w:rPr>
          <w:rFonts w:cs="Times New Roman"/>
          <w:b/>
        </w:rPr>
        <w:t>B)</w:t>
      </w:r>
      <w:r w:rsidR="00091407" w:rsidRPr="00016388">
        <w:rPr>
          <w:rFonts w:cs="Times New Roman"/>
        </w:rPr>
        <w:t xml:space="preserve"> 95% and </w:t>
      </w:r>
      <w:r w:rsidR="00CD1457" w:rsidRPr="00016388">
        <w:rPr>
          <w:rFonts w:cs="Times New Roman"/>
          <w:b/>
        </w:rPr>
        <w:t>(</w:t>
      </w:r>
      <w:r w:rsidR="00091407" w:rsidRPr="00016388">
        <w:rPr>
          <w:rFonts w:cs="Times New Roman"/>
          <w:b/>
        </w:rPr>
        <w:t>C)</w:t>
      </w:r>
      <w:r w:rsidR="00091407" w:rsidRPr="00016388">
        <w:rPr>
          <w:rFonts w:cs="Times New Roman"/>
        </w:rPr>
        <w:t xml:space="preserve"> 99%. The correlation coefficients above the significance threshold are not shown (grey grids).</w:t>
      </w:r>
      <w:r w:rsidR="00E9218B" w:rsidRPr="00016388">
        <w:rPr>
          <w:rFonts w:cs="Times New Roman"/>
        </w:rPr>
        <w:t xml:space="preserve"> The numbers represent the lag (</w:t>
      </w:r>
      <w:proofErr w:type="spellStart"/>
      <w:r w:rsidR="00E9218B" w:rsidRPr="00016388">
        <w:rPr>
          <w:rFonts w:cs="Times New Roman"/>
        </w:rPr>
        <w:t>yr</w:t>
      </w:r>
      <w:proofErr w:type="spellEnd"/>
      <w:r w:rsidR="00E9218B" w:rsidRPr="00016388">
        <w:rPr>
          <w:rFonts w:cs="Times New Roman"/>
        </w:rPr>
        <w:t>)</w:t>
      </w:r>
      <w:r w:rsidR="00FD342D">
        <w:rPr>
          <w:rFonts w:cs="Times New Roman"/>
        </w:rPr>
        <w:t xml:space="preserve"> at which the maximum correlation occurs</w:t>
      </w:r>
      <w:r w:rsidR="00E9218B" w:rsidRPr="00016388">
        <w:rPr>
          <w:rFonts w:cs="Times New Roman"/>
        </w:rPr>
        <w:t>.</w:t>
      </w:r>
    </w:p>
    <w:p w:rsidR="00EA3A08" w:rsidRPr="002E4A0E" w:rsidRDefault="00EA3A08" w:rsidP="00132419">
      <w:pPr>
        <w:jc w:val="center"/>
        <w:rPr>
          <w:rFonts w:ascii="Arial" w:hAnsi="Arial" w:cs="Arial"/>
        </w:rPr>
      </w:pPr>
      <w:r w:rsidRPr="002E4A0E">
        <w:rPr>
          <w:rFonts w:ascii="Arial" w:hAnsi="Arial" w:cs="Arial"/>
          <w:noProof/>
        </w:rPr>
        <w:drawing>
          <wp:inline distT="0" distB="0" distL="0" distR="0" wp14:anchorId="0F4C4DFC" wp14:editId="7D587CE8">
            <wp:extent cx="5943600" cy="2040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tmap_tem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9D" w:rsidRDefault="00CD0D9D">
      <w:pPr>
        <w:rPr>
          <w:rFonts w:ascii="Arial" w:hAnsi="Arial" w:cs="Arial"/>
          <w:b/>
        </w:rPr>
      </w:pPr>
    </w:p>
    <w:p w:rsidR="00EA3A08" w:rsidRPr="00016388" w:rsidRDefault="00EA3A08" w:rsidP="0017722C">
      <w:pPr>
        <w:spacing w:line="360" w:lineRule="auto"/>
        <w:jc w:val="both"/>
        <w:rPr>
          <w:rFonts w:cs="Times New Roman"/>
        </w:rPr>
      </w:pPr>
      <w:r w:rsidRPr="00016388">
        <w:rPr>
          <w:rFonts w:cs="Times New Roman"/>
          <w:b/>
        </w:rPr>
        <w:t>Figure S</w:t>
      </w:r>
      <w:r w:rsidR="005167C4">
        <w:rPr>
          <w:rFonts w:cs="Times New Roman"/>
          <w:b/>
        </w:rPr>
        <w:t>4</w:t>
      </w:r>
      <w:r w:rsidR="00E9218B" w:rsidRPr="00016388">
        <w:rPr>
          <w:rFonts w:cs="Times New Roman"/>
          <w:b/>
        </w:rPr>
        <w:t>.</w:t>
      </w:r>
      <w:r w:rsidR="00E9218B" w:rsidRPr="00016388">
        <w:rPr>
          <w:rFonts w:cs="Times New Roman"/>
        </w:rPr>
        <w:t xml:space="preserve"> Multi-seasonal Pearson correlation analysis between </w:t>
      </w:r>
      <w:r w:rsidR="00016388">
        <w:rPr>
          <w:rFonts w:cs="Times New Roman"/>
        </w:rPr>
        <w:t xml:space="preserve">the </w:t>
      </w:r>
      <w:r w:rsidR="00E9218B" w:rsidRPr="00016388">
        <w:rPr>
          <w:rFonts w:cs="Times New Roman"/>
        </w:rPr>
        <w:t xml:space="preserve">shell </w:t>
      </w:r>
      <w:r w:rsidR="00016388">
        <w:rPr>
          <w:rFonts w:cs="Times New Roman"/>
        </w:rPr>
        <w:t xml:space="preserve">growth </w:t>
      </w:r>
      <w:r w:rsidR="00E9218B" w:rsidRPr="00016388">
        <w:rPr>
          <w:rFonts w:cs="Times New Roman"/>
        </w:rPr>
        <w:t xml:space="preserve">signal and subsurface salinity at the </w:t>
      </w:r>
      <w:r w:rsidR="009B4AB1">
        <w:rPr>
          <w:rFonts w:cs="Times New Roman"/>
        </w:rPr>
        <w:t xml:space="preserve">approximate </w:t>
      </w:r>
      <w:r w:rsidR="00E9218B" w:rsidRPr="00016388">
        <w:rPr>
          <w:rFonts w:cs="Times New Roman"/>
        </w:rPr>
        <w:t>collection site (66</w:t>
      </w:r>
      <w:r w:rsidR="00BA2729">
        <w:rPr>
          <w:rFonts w:cs="Times New Roman"/>
        </w:rPr>
        <w:t xml:space="preserve"> </w:t>
      </w:r>
      <w:r w:rsidR="00E9218B" w:rsidRPr="00016388">
        <w:rPr>
          <w:rFonts w:cs="Times New Roman"/>
        </w:rPr>
        <w:t>°N, 18</w:t>
      </w:r>
      <w:r w:rsidR="00BA2729">
        <w:rPr>
          <w:rFonts w:cs="Times New Roman"/>
        </w:rPr>
        <w:t xml:space="preserve"> </w:t>
      </w:r>
      <w:r w:rsidR="00E9218B" w:rsidRPr="00016388">
        <w:rPr>
          <w:rFonts w:cs="Times New Roman"/>
        </w:rPr>
        <w:t xml:space="preserve">°W) for 1900-2005. The correlation results are presented for different significance levels: </w:t>
      </w:r>
      <w:r w:rsidR="00CD1457" w:rsidRPr="00016388">
        <w:rPr>
          <w:rFonts w:cs="Times New Roman"/>
          <w:b/>
        </w:rPr>
        <w:t>(</w:t>
      </w:r>
      <w:r w:rsidR="00E9218B" w:rsidRPr="00016388">
        <w:rPr>
          <w:rFonts w:cs="Times New Roman"/>
          <w:b/>
        </w:rPr>
        <w:t>A)</w:t>
      </w:r>
      <w:r w:rsidR="00E9218B" w:rsidRPr="00016388">
        <w:rPr>
          <w:rFonts w:cs="Times New Roman"/>
        </w:rPr>
        <w:t xml:space="preserve"> 90%, </w:t>
      </w:r>
      <w:r w:rsidR="00CD1457" w:rsidRPr="00016388">
        <w:rPr>
          <w:rFonts w:cs="Times New Roman"/>
          <w:b/>
        </w:rPr>
        <w:t>(</w:t>
      </w:r>
      <w:r w:rsidR="00E9218B" w:rsidRPr="00016388">
        <w:rPr>
          <w:rFonts w:cs="Times New Roman"/>
          <w:b/>
        </w:rPr>
        <w:t>B)</w:t>
      </w:r>
      <w:r w:rsidR="00E9218B" w:rsidRPr="00016388">
        <w:rPr>
          <w:rFonts w:cs="Times New Roman"/>
        </w:rPr>
        <w:t xml:space="preserve"> 95% and </w:t>
      </w:r>
      <w:r w:rsidR="00CD1457" w:rsidRPr="00016388">
        <w:rPr>
          <w:rFonts w:cs="Times New Roman"/>
          <w:b/>
        </w:rPr>
        <w:t>(</w:t>
      </w:r>
      <w:r w:rsidR="00E9218B" w:rsidRPr="00016388">
        <w:rPr>
          <w:rFonts w:cs="Times New Roman"/>
          <w:b/>
        </w:rPr>
        <w:t>C)</w:t>
      </w:r>
      <w:r w:rsidR="00E9218B" w:rsidRPr="00016388">
        <w:rPr>
          <w:rFonts w:cs="Times New Roman"/>
        </w:rPr>
        <w:t xml:space="preserve"> 99%. The correlation coefficients above the significance threshold are not shown (grey grids). The numbers represent the lag (</w:t>
      </w:r>
      <w:proofErr w:type="spellStart"/>
      <w:r w:rsidR="00E9218B" w:rsidRPr="00016388">
        <w:rPr>
          <w:rFonts w:cs="Times New Roman"/>
        </w:rPr>
        <w:t>yr</w:t>
      </w:r>
      <w:proofErr w:type="spellEnd"/>
      <w:r w:rsidR="00E9218B" w:rsidRPr="00016388">
        <w:rPr>
          <w:rFonts w:cs="Times New Roman"/>
        </w:rPr>
        <w:t>)</w:t>
      </w:r>
      <w:r w:rsidR="00FD342D">
        <w:rPr>
          <w:rFonts w:cs="Times New Roman"/>
        </w:rPr>
        <w:t xml:space="preserve"> at which the maximum correlation occurs</w:t>
      </w:r>
      <w:r w:rsidR="00E9218B" w:rsidRPr="00016388">
        <w:rPr>
          <w:rFonts w:cs="Times New Roman"/>
        </w:rPr>
        <w:t>.</w:t>
      </w:r>
    </w:p>
    <w:p w:rsidR="00BC54C1" w:rsidRPr="002E4A0E" w:rsidRDefault="00EA3A08" w:rsidP="00132419">
      <w:pPr>
        <w:jc w:val="center"/>
        <w:rPr>
          <w:rFonts w:ascii="Arial" w:hAnsi="Arial" w:cs="Arial"/>
        </w:rPr>
      </w:pPr>
      <w:r w:rsidRPr="002E4A0E">
        <w:rPr>
          <w:rFonts w:ascii="Arial" w:hAnsi="Arial" w:cs="Arial"/>
          <w:noProof/>
        </w:rPr>
        <w:drawing>
          <wp:inline distT="0" distB="0" distL="0" distR="0">
            <wp:extent cx="5943600" cy="20364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tmap_s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C4" w:rsidRDefault="005167C4" w:rsidP="0017722C">
      <w:pPr>
        <w:spacing w:line="360" w:lineRule="auto"/>
        <w:jc w:val="both"/>
        <w:rPr>
          <w:b/>
        </w:rPr>
      </w:pPr>
    </w:p>
    <w:p w:rsidR="00C956B5" w:rsidRPr="00F218E7" w:rsidRDefault="00C956B5" w:rsidP="0017722C">
      <w:pPr>
        <w:spacing w:line="360" w:lineRule="auto"/>
        <w:jc w:val="both"/>
      </w:pPr>
      <w:r w:rsidRPr="00F218E7">
        <w:rPr>
          <w:b/>
        </w:rPr>
        <w:lastRenderedPageBreak/>
        <w:t>Figure S</w:t>
      </w:r>
      <w:r w:rsidR="005167C4">
        <w:rPr>
          <w:b/>
        </w:rPr>
        <w:t>5</w:t>
      </w:r>
      <w:r w:rsidR="00B553D9" w:rsidRPr="00F218E7">
        <w:rPr>
          <w:b/>
        </w:rPr>
        <w:t>.</w:t>
      </w:r>
      <w:r w:rsidR="00B553D9" w:rsidRPr="00F218E7">
        <w:t xml:space="preserve"> Seasonal salinity-depth profiles along a longitudinal transect (25</w:t>
      </w:r>
      <w:r w:rsidR="00134FE4">
        <w:t xml:space="preserve"> </w:t>
      </w:r>
      <w:r w:rsidR="00B553D9" w:rsidRPr="00F218E7">
        <w:t>°W-15</w:t>
      </w:r>
      <w:r w:rsidR="00134FE4">
        <w:t xml:space="preserve"> </w:t>
      </w:r>
      <w:r w:rsidR="00B553D9" w:rsidRPr="00F218E7">
        <w:t>°W; 66</w:t>
      </w:r>
      <w:r w:rsidR="00134FE4">
        <w:t xml:space="preserve"> </w:t>
      </w:r>
      <w:r w:rsidR="00B553D9" w:rsidRPr="00F218E7">
        <w:t>°N). The transect is close to the shell collection site (black filled circle). The grey-shaded areas represent no available data.</w:t>
      </w:r>
    </w:p>
    <w:p w:rsidR="00721A49" w:rsidRPr="002E4A0E" w:rsidRDefault="00C956B5" w:rsidP="00C956B5">
      <w:pPr>
        <w:rPr>
          <w:rFonts w:ascii="Arial" w:hAnsi="Arial" w:cs="Arial"/>
        </w:rPr>
      </w:pPr>
      <w:r w:rsidRPr="002E4A0E">
        <w:rPr>
          <w:rFonts w:ascii="Arial" w:hAnsi="Arial" w:cs="Arial"/>
          <w:noProof/>
        </w:rPr>
        <w:drawing>
          <wp:inline distT="0" distB="0" distL="0" distR="0">
            <wp:extent cx="5943600" cy="3178064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ction_plt_sa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A49" w:rsidRPr="002E4A0E" w:rsidRDefault="00721A49" w:rsidP="00721A49">
      <w:pPr>
        <w:rPr>
          <w:rFonts w:ascii="Arial" w:hAnsi="Arial" w:cs="Arial"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5167C4" w:rsidRDefault="005167C4" w:rsidP="0017722C">
      <w:pPr>
        <w:spacing w:line="360" w:lineRule="auto"/>
        <w:jc w:val="both"/>
        <w:rPr>
          <w:b/>
        </w:rPr>
      </w:pPr>
    </w:p>
    <w:p w:rsidR="00721A49" w:rsidRPr="002E4A0E" w:rsidRDefault="00721A49" w:rsidP="0017722C">
      <w:pPr>
        <w:spacing w:line="360" w:lineRule="auto"/>
        <w:jc w:val="both"/>
      </w:pPr>
      <w:r w:rsidRPr="00CD0D9D">
        <w:rPr>
          <w:b/>
        </w:rPr>
        <w:lastRenderedPageBreak/>
        <w:t>Figure S</w:t>
      </w:r>
      <w:r w:rsidR="005167C4">
        <w:rPr>
          <w:b/>
        </w:rPr>
        <w:t>6</w:t>
      </w:r>
      <w:r w:rsidRPr="00CD0D9D">
        <w:rPr>
          <w:b/>
        </w:rPr>
        <w:t>.</w:t>
      </w:r>
      <w:r w:rsidR="00D8736C" w:rsidRPr="00CD0D9D">
        <w:rPr>
          <w:b/>
        </w:rPr>
        <w:t xml:space="preserve"> </w:t>
      </w:r>
      <w:r w:rsidR="00D8736C" w:rsidRPr="002E4A0E">
        <w:t xml:space="preserve">A 15-yr running correlation between the annually resolved master chronology and water temperature at 56 m </w:t>
      </w:r>
      <w:r w:rsidR="00134FE4">
        <w:t xml:space="preserve">depth </w:t>
      </w:r>
      <w:r w:rsidR="00D8736C" w:rsidRPr="002E4A0E">
        <w:t xml:space="preserve">during summer and autumn. Periods of decreased synchronization are </w:t>
      </w:r>
      <w:r w:rsidR="00B161D7">
        <w:t>shaded in grey.</w:t>
      </w:r>
      <w:r w:rsidR="00D8736C" w:rsidRPr="002E4A0E">
        <w:t xml:space="preserve"> </w:t>
      </w:r>
    </w:p>
    <w:p w:rsidR="008F14FC" w:rsidRPr="002E4A0E" w:rsidRDefault="008F14FC" w:rsidP="00721A49">
      <w:pPr>
        <w:rPr>
          <w:rFonts w:ascii="Arial" w:hAnsi="Arial" w:cs="Arial"/>
        </w:rPr>
      </w:pPr>
      <w:r w:rsidRPr="002E4A0E">
        <w:rPr>
          <w:rFonts w:ascii="Arial" w:hAnsi="Arial" w:cs="Arial"/>
          <w:noProof/>
        </w:rPr>
        <w:drawing>
          <wp:inline distT="0" distB="0" distL="0" distR="0">
            <wp:extent cx="54864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asonal_running_cor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F8" w:rsidRPr="002E4A0E" w:rsidRDefault="00B71DF8" w:rsidP="00721A49">
      <w:pPr>
        <w:rPr>
          <w:rFonts w:ascii="Arial" w:hAnsi="Arial" w:cs="Arial"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CD0D9D" w:rsidRDefault="00CD0D9D" w:rsidP="00721A49">
      <w:pPr>
        <w:rPr>
          <w:rFonts w:ascii="Arial" w:hAnsi="Arial" w:cs="Arial"/>
          <w:b/>
        </w:rPr>
      </w:pPr>
    </w:p>
    <w:p w:rsidR="00B71DF8" w:rsidRPr="002E4A0E" w:rsidRDefault="00B71DF8" w:rsidP="0017722C">
      <w:pPr>
        <w:spacing w:line="360" w:lineRule="auto"/>
        <w:jc w:val="both"/>
      </w:pPr>
      <w:r w:rsidRPr="00CD0D9D">
        <w:rPr>
          <w:b/>
        </w:rPr>
        <w:lastRenderedPageBreak/>
        <w:t>Figure S</w:t>
      </w:r>
      <w:r w:rsidR="005167C4">
        <w:rPr>
          <w:b/>
        </w:rPr>
        <w:t>7</w:t>
      </w:r>
      <w:r w:rsidRPr="00CD0D9D">
        <w:rPr>
          <w:b/>
        </w:rPr>
        <w:t>.</w:t>
      </w:r>
      <w:r w:rsidRPr="002E4A0E">
        <w:t xml:space="preserve"> </w:t>
      </w:r>
      <w:r w:rsidR="00650729">
        <w:t>S</w:t>
      </w:r>
      <w:r w:rsidR="00E159FB" w:rsidRPr="002E4A0E">
        <w:t>alinity variability at 56 m depth during</w:t>
      </w:r>
      <w:r w:rsidR="00650729">
        <w:t xml:space="preserve"> </w:t>
      </w:r>
      <w:r w:rsidR="00650729" w:rsidRPr="002E4A0E">
        <w:t xml:space="preserve">May-July (MJJ) </w:t>
      </w:r>
      <w:r w:rsidR="00650729">
        <w:t xml:space="preserve">for the </w:t>
      </w:r>
      <w:r w:rsidR="00E159FB" w:rsidRPr="002E4A0E">
        <w:t>1900-2005 analysis period (grey line).</w:t>
      </w:r>
      <w:r w:rsidR="002D0F73">
        <w:t xml:space="preserve"> </w:t>
      </w:r>
      <w:r w:rsidR="005D2BAD">
        <w:t>Salinity values above 0 are characteristic for a more prominent influence of Atlantic waters, whereas values below 0 represent Arctic influences.</w:t>
      </w:r>
      <w:r w:rsidR="002D0F73">
        <w:t xml:space="preserve"> </w:t>
      </w:r>
      <w:r w:rsidR="00FA75D2" w:rsidRPr="002E4A0E">
        <w:t>The salinity time series was extracted from EN4.2.1 data at shell collection site (66° N, 18° W)</w:t>
      </w:r>
      <w:r w:rsidR="00166F55" w:rsidRPr="002E4A0E">
        <w:t xml:space="preserve"> and detrended and standardized</w:t>
      </w:r>
      <w:r w:rsidR="00FA75D2" w:rsidRPr="002E4A0E">
        <w:t xml:space="preserve">. </w:t>
      </w:r>
      <w:r w:rsidR="00E159FB" w:rsidRPr="002E4A0E">
        <w:t xml:space="preserve">A 5-yr </w:t>
      </w:r>
      <w:proofErr w:type="spellStart"/>
      <w:r w:rsidR="00E159FB" w:rsidRPr="002E4A0E">
        <w:t>Savitsky-Golay</w:t>
      </w:r>
      <w:proofErr w:type="spellEnd"/>
      <w:r w:rsidR="00E159FB" w:rsidRPr="002E4A0E">
        <w:t xml:space="preserve"> </w:t>
      </w:r>
      <w:r w:rsidR="00F218E7">
        <w:t xml:space="preserve">(low-pass) </w:t>
      </w:r>
      <w:r w:rsidR="00E159FB" w:rsidRPr="002E4A0E">
        <w:t>filter was applied to the time series</w:t>
      </w:r>
      <w:r w:rsidR="00166F55" w:rsidRPr="002E4A0E">
        <w:t xml:space="preserve"> (blue line)</w:t>
      </w:r>
      <w:r w:rsidR="00E159FB" w:rsidRPr="002E4A0E">
        <w:t xml:space="preserve">. </w:t>
      </w:r>
      <w:r w:rsidR="00DA3246" w:rsidRPr="002E4A0E">
        <w:t>The period of reduced synchrony with water temperature is shaded in grey.</w:t>
      </w:r>
    </w:p>
    <w:p w:rsidR="00B71DF8" w:rsidRPr="002E4A0E" w:rsidRDefault="00B71DF8" w:rsidP="00721A49">
      <w:pPr>
        <w:rPr>
          <w:rFonts w:ascii="Arial" w:hAnsi="Arial" w:cs="Arial"/>
        </w:rPr>
      </w:pPr>
      <w:r w:rsidRPr="002E4A0E">
        <w:rPr>
          <w:rFonts w:ascii="Arial" w:hAnsi="Arial" w:cs="Arial"/>
          <w:noProof/>
        </w:rPr>
        <w:drawing>
          <wp:inline distT="0" distB="0" distL="0" distR="0">
            <wp:extent cx="59436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_mjj55_sg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F8" w:rsidRPr="002E4A0E" w:rsidRDefault="00B71DF8" w:rsidP="00721A49">
      <w:pPr>
        <w:rPr>
          <w:rFonts w:ascii="Arial" w:hAnsi="Arial" w:cs="Arial"/>
        </w:rPr>
      </w:pPr>
    </w:p>
    <w:p w:rsidR="00B71DF8" w:rsidRPr="002E4A0E" w:rsidRDefault="00B71DF8" w:rsidP="00721A49">
      <w:pPr>
        <w:rPr>
          <w:rFonts w:ascii="Arial" w:hAnsi="Arial" w:cs="Arial"/>
        </w:rPr>
      </w:pPr>
    </w:p>
    <w:p w:rsidR="00B71DF8" w:rsidRPr="002E4A0E" w:rsidRDefault="00B71DF8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2E4A0E" w:rsidRDefault="001361B9" w:rsidP="00721A49">
      <w:pPr>
        <w:rPr>
          <w:rFonts w:ascii="Arial" w:hAnsi="Arial" w:cs="Arial"/>
        </w:rPr>
      </w:pPr>
    </w:p>
    <w:p w:rsidR="001361B9" w:rsidRPr="00CD1457" w:rsidRDefault="001361B9" w:rsidP="00134FE4">
      <w:pPr>
        <w:spacing w:line="360" w:lineRule="auto"/>
        <w:jc w:val="both"/>
      </w:pPr>
      <w:r w:rsidRPr="00796164">
        <w:rPr>
          <w:b/>
        </w:rPr>
        <w:lastRenderedPageBreak/>
        <w:t>Figure S</w:t>
      </w:r>
      <w:r w:rsidR="005167C4">
        <w:rPr>
          <w:b/>
        </w:rPr>
        <w:t>8</w:t>
      </w:r>
      <w:r w:rsidRPr="00796164">
        <w:rPr>
          <w:b/>
        </w:rPr>
        <w:t>.</w:t>
      </w:r>
      <w:r w:rsidR="009921E0">
        <w:rPr>
          <w:b/>
        </w:rPr>
        <w:t xml:space="preserve"> </w:t>
      </w:r>
      <w:r w:rsidR="009921E0" w:rsidRPr="00A7059F">
        <w:t>Depth</w:t>
      </w:r>
      <w:r w:rsidR="00A7059F" w:rsidRPr="00A7059F">
        <w:t>-</w:t>
      </w:r>
      <w:r w:rsidR="009921E0" w:rsidRPr="00A7059F">
        <w:t>dependent</w:t>
      </w:r>
      <w:r w:rsidR="00796164" w:rsidRPr="00A7059F">
        <w:t xml:space="preserve"> </w:t>
      </w:r>
      <w:r w:rsidR="00A7059F" w:rsidRPr="00A7059F">
        <w:t>s</w:t>
      </w:r>
      <w:r w:rsidR="00CD1457" w:rsidRPr="00A7059F">
        <w:t>easonal</w:t>
      </w:r>
      <w:r w:rsidR="00CD1457" w:rsidRPr="00CD1457">
        <w:t xml:space="preserve"> variability of growth index time series at </w:t>
      </w:r>
      <w:r w:rsidR="00134FE4">
        <w:t>four</w:t>
      </w:r>
      <w:r w:rsidR="00CD1457" w:rsidRPr="00CD1457">
        <w:t xml:space="preserve"> different water depths</w:t>
      </w:r>
      <w:r w:rsidR="00134FE4">
        <w:t xml:space="preserve"> (i.e., 5, 56, 66 and 77 m)</w:t>
      </w:r>
      <w:r w:rsidR="00CD1457" w:rsidRPr="00CD1457">
        <w:t xml:space="preserve"> for 1900-2005 analysis period. Color shading shows the Pearson correlation coefficient (p&lt;0.05) between ARMC and seasonal </w:t>
      </w:r>
      <w:r w:rsidR="0079618C">
        <w:t>salinity</w:t>
      </w:r>
      <w:r w:rsidR="00CD1457" w:rsidRPr="00CD1457">
        <w:t xml:space="preserve"> time series at each grid point.</w:t>
      </w:r>
    </w:p>
    <w:p w:rsidR="00BC54C1" w:rsidRPr="00721A49" w:rsidRDefault="00721A49" w:rsidP="00721A49">
      <w:r>
        <w:rPr>
          <w:noProof/>
        </w:rPr>
        <w:drawing>
          <wp:inline distT="0" distB="0" distL="0" distR="0">
            <wp:extent cx="5943600" cy="46178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linity_sp_sup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4C1" w:rsidRPr="00721A49" w:rsidSect="00887F75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005" w:rsidRDefault="00474005" w:rsidP="008F14FC">
      <w:pPr>
        <w:spacing w:after="0" w:line="240" w:lineRule="auto"/>
      </w:pPr>
      <w:r>
        <w:separator/>
      </w:r>
    </w:p>
  </w:endnote>
  <w:endnote w:type="continuationSeparator" w:id="0">
    <w:p w:rsidR="00474005" w:rsidRDefault="00474005" w:rsidP="008F1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42690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2729" w:rsidRDefault="00BA272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A2729" w:rsidRDefault="00BA27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005" w:rsidRDefault="00474005" w:rsidP="008F14FC">
      <w:pPr>
        <w:spacing w:after="0" w:line="240" w:lineRule="auto"/>
      </w:pPr>
      <w:r>
        <w:separator/>
      </w:r>
    </w:p>
  </w:footnote>
  <w:footnote w:type="continuationSeparator" w:id="0">
    <w:p w:rsidR="00474005" w:rsidRDefault="00474005" w:rsidP="008F1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2729" w:rsidRPr="00CD0D9D" w:rsidRDefault="00BA2729" w:rsidP="00016388">
    <w:pPr>
      <w:jc w:val="right"/>
      <w:rPr>
        <w:rFonts w:ascii="Arial" w:hAnsi="Arial" w:cs="Arial"/>
        <w:b/>
      </w:rPr>
    </w:pPr>
    <w:r w:rsidRPr="00CD0D9D">
      <w:rPr>
        <w:rFonts w:ascii="Arial" w:hAnsi="Arial" w:cs="Arial"/>
        <w:b/>
      </w:rPr>
      <w:t>Supplementary material</w:t>
    </w:r>
  </w:p>
  <w:p w:rsidR="00BA2729" w:rsidRDefault="00BA27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034"/>
    <w:rsid w:val="0001275A"/>
    <w:rsid w:val="00014FF5"/>
    <w:rsid w:val="00016388"/>
    <w:rsid w:val="00091407"/>
    <w:rsid w:val="000B36A3"/>
    <w:rsid w:val="00132419"/>
    <w:rsid w:val="00134FE4"/>
    <w:rsid w:val="001361B9"/>
    <w:rsid w:val="00166F55"/>
    <w:rsid w:val="0017722C"/>
    <w:rsid w:val="00243B58"/>
    <w:rsid w:val="002D0F73"/>
    <w:rsid w:val="002E4A0E"/>
    <w:rsid w:val="00352773"/>
    <w:rsid w:val="004224C1"/>
    <w:rsid w:val="00446F46"/>
    <w:rsid w:val="00474005"/>
    <w:rsid w:val="004C5E81"/>
    <w:rsid w:val="005167C4"/>
    <w:rsid w:val="0053717F"/>
    <w:rsid w:val="005D2BAD"/>
    <w:rsid w:val="005E3D44"/>
    <w:rsid w:val="005F48A3"/>
    <w:rsid w:val="005F4DB7"/>
    <w:rsid w:val="00650729"/>
    <w:rsid w:val="006923EB"/>
    <w:rsid w:val="0072126B"/>
    <w:rsid w:val="00721A49"/>
    <w:rsid w:val="00796164"/>
    <w:rsid w:val="0079618C"/>
    <w:rsid w:val="007C294D"/>
    <w:rsid w:val="00887F75"/>
    <w:rsid w:val="008C313D"/>
    <w:rsid w:val="008F14FC"/>
    <w:rsid w:val="009921E0"/>
    <w:rsid w:val="009B4AB1"/>
    <w:rsid w:val="009F506F"/>
    <w:rsid w:val="00A7059F"/>
    <w:rsid w:val="00AC483F"/>
    <w:rsid w:val="00AE20F4"/>
    <w:rsid w:val="00B161D7"/>
    <w:rsid w:val="00B25832"/>
    <w:rsid w:val="00B553D9"/>
    <w:rsid w:val="00B70294"/>
    <w:rsid w:val="00B71DF8"/>
    <w:rsid w:val="00BA2729"/>
    <w:rsid w:val="00BB08D1"/>
    <w:rsid w:val="00BC54C1"/>
    <w:rsid w:val="00C57953"/>
    <w:rsid w:val="00C838F7"/>
    <w:rsid w:val="00C840C0"/>
    <w:rsid w:val="00C956B5"/>
    <w:rsid w:val="00CD0D9D"/>
    <w:rsid w:val="00CD1457"/>
    <w:rsid w:val="00D8736C"/>
    <w:rsid w:val="00DA3246"/>
    <w:rsid w:val="00DC67A1"/>
    <w:rsid w:val="00DF062F"/>
    <w:rsid w:val="00E159FB"/>
    <w:rsid w:val="00E72682"/>
    <w:rsid w:val="00E852BD"/>
    <w:rsid w:val="00E9218B"/>
    <w:rsid w:val="00EA3A08"/>
    <w:rsid w:val="00F1345D"/>
    <w:rsid w:val="00F14034"/>
    <w:rsid w:val="00F218E7"/>
    <w:rsid w:val="00F37483"/>
    <w:rsid w:val="00F50413"/>
    <w:rsid w:val="00FA75D2"/>
    <w:rsid w:val="00FD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13FE0"/>
  <w15:chartTrackingRefBased/>
  <w15:docId w15:val="{173BADD2-302C-4FF7-9F72-CB8B3778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8E7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4FC"/>
  </w:style>
  <w:style w:type="paragraph" w:styleId="Footer">
    <w:name w:val="footer"/>
    <w:basedOn w:val="Normal"/>
    <w:link w:val="FooterChar"/>
    <w:uiPriority w:val="99"/>
    <w:unhideWhenUsed/>
    <w:rsid w:val="008F1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4FC"/>
  </w:style>
  <w:style w:type="paragraph" w:styleId="Title">
    <w:name w:val="Title"/>
    <w:basedOn w:val="Normal"/>
    <w:next w:val="Normal"/>
    <w:link w:val="TitleChar"/>
    <w:qFormat/>
    <w:rsid w:val="00016388"/>
    <w:pPr>
      <w:suppressLineNumbers/>
      <w:spacing w:before="240" w:after="360" w:line="240" w:lineRule="auto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16388"/>
    <w:rPr>
      <w:rFonts w:ascii="Times New Roman" w:hAnsi="Times New Roman" w:cs="Times New Roman"/>
      <w:b/>
      <w:sz w:val="32"/>
      <w:szCs w:val="32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016388"/>
    <w:pPr>
      <w:numPr>
        <w:ilvl w:val="0"/>
      </w:numPr>
      <w:spacing w:before="240" w:after="240" w:line="240" w:lineRule="auto"/>
    </w:pPr>
    <w:rPr>
      <w:rFonts w:eastAsiaTheme="minorHAnsi" w:cs="Times New Roman"/>
      <w:b/>
      <w:color w:val="auto"/>
      <w:spacing w:val="0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638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16388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Caldarescu</dc:creator>
  <cp:keywords/>
  <dc:description/>
  <cp:lastModifiedBy>Diana Caldarescu</cp:lastModifiedBy>
  <cp:revision>49</cp:revision>
  <dcterms:created xsi:type="dcterms:W3CDTF">2020-12-10T13:31:00Z</dcterms:created>
  <dcterms:modified xsi:type="dcterms:W3CDTF">2021-06-03T11:10:00Z</dcterms:modified>
</cp:coreProperties>
</file>