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EC" w:rsidRPr="00D02191" w:rsidRDefault="000147EC" w:rsidP="000147EC">
      <w:pPr>
        <w:spacing w:line="360" w:lineRule="auto"/>
        <w:ind w:right="-334"/>
        <w:jc w:val="center"/>
        <w:rPr>
          <w:rFonts w:ascii="Times New Roman" w:hAnsi="Times New Roman"/>
          <w:b/>
          <w:bCs/>
          <w:sz w:val="24"/>
          <w:szCs w:val="24"/>
        </w:rPr>
      </w:pPr>
      <w:r w:rsidRPr="00D02191">
        <w:rPr>
          <w:rFonts w:ascii="Times New Roman" w:hAnsi="Times New Roman"/>
          <w:b/>
          <w:bCs/>
          <w:sz w:val="24"/>
          <w:szCs w:val="24"/>
        </w:rPr>
        <w:t xml:space="preserve">Supplementary Information </w:t>
      </w:r>
    </w:p>
    <w:p w:rsidR="000147EC" w:rsidRPr="00D02191" w:rsidRDefault="000147EC" w:rsidP="000147EC">
      <w:pPr>
        <w:spacing w:line="360" w:lineRule="auto"/>
        <w:ind w:right="-334"/>
        <w:jc w:val="center"/>
        <w:rPr>
          <w:rFonts w:ascii="Times New Roman" w:hAnsi="Times New Roman"/>
          <w:b/>
          <w:bCs/>
          <w:sz w:val="24"/>
          <w:szCs w:val="24"/>
        </w:rPr>
      </w:pPr>
    </w:p>
    <w:p w:rsidR="000147EC" w:rsidRPr="00D02191" w:rsidRDefault="000147EC" w:rsidP="000147EC">
      <w:pPr>
        <w:spacing w:line="360" w:lineRule="auto"/>
        <w:ind w:right="-334"/>
        <w:jc w:val="center"/>
        <w:rPr>
          <w:rFonts w:ascii="Times New Roman" w:hAnsi="Times New Roman"/>
          <w:bCs/>
          <w:sz w:val="24"/>
          <w:szCs w:val="24"/>
        </w:rPr>
      </w:pPr>
      <w:proofErr w:type="gramStart"/>
      <w:r w:rsidRPr="00D02191">
        <w:rPr>
          <w:rFonts w:ascii="Times New Roman" w:hAnsi="Times New Roman"/>
          <w:bCs/>
          <w:sz w:val="24"/>
          <w:szCs w:val="24"/>
        </w:rPr>
        <w:t>for</w:t>
      </w:r>
      <w:proofErr w:type="gramEnd"/>
    </w:p>
    <w:p w:rsidR="000147EC" w:rsidRPr="00D02191" w:rsidRDefault="000147EC" w:rsidP="004D089E">
      <w:pPr>
        <w:spacing w:line="360" w:lineRule="auto"/>
        <w:ind w:right="-334"/>
        <w:jc w:val="center"/>
        <w:rPr>
          <w:rFonts w:ascii="Times New Roman" w:hAnsi="Times New Roman"/>
          <w:b/>
          <w:bCs/>
          <w:sz w:val="24"/>
          <w:szCs w:val="24"/>
        </w:rPr>
      </w:pPr>
    </w:p>
    <w:p w:rsidR="004D089E" w:rsidRPr="00D02191" w:rsidRDefault="004D089E" w:rsidP="004D089E">
      <w:pPr>
        <w:ind w:right="-334"/>
        <w:jc w:val="center"/>
        <w:rPr>
          <w:rFonts w:ascii="Times New Roman" w:hAnsi="Times New Roman"/>
          <w:b/>
          <w:bCs/>
          <w:sz w:val="24"/>
          <w:szCs w:val="24"/>
        </w:rPr>
      </w:pPr>
      <w:r w:rsidRPr="00D02191">
        <w:rPr>
          <w:rFonts w:ascii="Times New Roman" w:hAnsi="Times New Roman"/>
          <w:b/>
          <w:bCs/>
          <w:sz w:val="24"/>
          <w:szCs w:val="24"/>
        </w:rPr>
        <w:t>Human endometrium-derived stem cell improves cardiac function after myocardial ischemic injury</w:t>
      </w:r>
      <w:r w:rsidRPr="00D02191">
        <w:rPr>
          <w:rFonts w:ascii="Times New Roman" w:hAnsi="Times New Roman" w:hint="eastAsia"/>
          <w:b/>
          <w:bCs/>
          <w:sz w:val="24"/>
          <w:szCs w:val="24"/>
        </w:rPr>
        <w:t xml:space="preserve"> </w:t>
      </w:r>
      <w:r w:rsidRPr="00D02191">
        <w:rPr>
          <w:rFonts w:ascii="Times New Roman" w:hAnsi="Times New Roman"/>
          <w:b/>
          <w:bCs/>
          <w:sz w:val="24"/>
          <w:szCs w:val="24"/>
        </w:rPr>
        <w:t>by enhancing angiogenesis and myocardial metabolism</w:t>
      </w:r>
    </w:p>
    <w:p w:rsidR="00D73C3B" w:rsidRPr="00D02191" w:rsidRDefault="00D73C3B" w:rsidP="00D73C3B">
      <w:pPr>
        <w:ind w:right="-334"/>
        <w:jc w:val="center"/>
        <w:rPr>
          <w:rFonts w:ascii="Times New Roman" w:hAnsi="Times New Roman"/>
          <w:b/>
          <w:bCs/>
          <w:sz w:val="24"/>
          <w:szCs w:val="24"/>
        </w:rPr>
      </w:pPr>
    </w:p>
    <w:p w:rsidR="00D73C3B" w:rsidRPr="00D02191" w:rsidRDefault="00D73C3B" w:rsidP="00D73C3B">
      <w:pPr>
        <w:ind w:right="-334"/>
        <w:jc w:val="left"/>
        <w:rPr>
          <w:rFonts w:ascii="Times New Roman" w:hAnsi="Times New Roman"/>
          <w:b/>
          <w:bCs/>
          <w:sz w:val="24"/>
          <w:szCs w:val="24"/>
        </w:rPr>
      </w:pPr>
    </w:p>
    <w:p w:rsidR="00010FA2" w:rsidRPr="00D02191" w:rsidRDefault="00010FA2" w:rsidP="00010FA2">
      <w:pPr>
        <w:ind w:right="-331"/>
        <w:rPr>
          <w:rFonts w:ascii="Times New Roman" w:hAnsi="Times New Roman"/>
          <w:bCs/>
          <w:sz w:val="24"/>
          <w:szCs w:val="24"/>
          <w:vertAlign w:val="superscript"/>
        </w:rPr>
      </w:pPr>
      <w:proofErr w:type="spellStart"/>
      <w:r w:rsidRPr="00D02191">
        <w:rPr>
          <w:rFonts w:ascii="Times New Roman" w:hAnsi="Times New Roman"/>
          <w:bCs/>
          <w:sz w:val="24"/>
          <w:szCs w:val="24"/>
        </w:rPr>
        <w:t>Xuemei</w:t>
      </w:r>
      <w:proofErr w:type="spellEnd"/>
      <w:r w:rsidRPr="00D02191">
        <w:rPr>
          <w:rFonts w:ascii="Times New Roman" w:hAnsi="Times New Roman"/>
          <w:bCs/>
          <w:sz w:val="24"/>
          <w:szCs w:val="24"/>
        </w:rPr>
        <w:t xml:space="preserve"> Fan</w:t>
      </w:r>
      <w:r w:rsidRPr="00D02191">
        <w:rPr>
          <w:rFonts w:ascii="Times New Roman" w:hAnsi="Times New Roman"/>
          <w:bCs/>
          <w:sz w:val="24"/>
          <w:szCs w:val="24"/>
          <w:vertAlign w:val="superscript"/>
        </w:rPr>
        <w:t>1</w:t>
      </w:r>
      <w:r w:rsidR="00910609" w:rsidRPr="00D02191">
        <w:rPr>
          <w:rFonts w:ascii="Times New Roman" w:hAnsi="Times New Roman"/>
          <w:bCs/>
          <w:sz w:val="24"/>
          <w:szCs w:val="24"/>
          <w:vertAlign w:val="superscript"/>
        </w:rPr>
        <w:t>, 2</w:t>
      </w:r>
      <w:r w:rsidRPr="00D02191">
        <w:rPr>
          <w:rFonts w:ascii="Times New Roman" w:hAnsi="Times New Roman"/>
          <w:bCs/>
          <w:sz w:val="24"/>
          <w:szCs w:val="24"/>
        </w:rPr>
        <w:t>, Sheng He</w:t>
      </w:r>
      <w:bookmarkStart w:id="0" w:name="_Hlk62857937"/>
      <w:r w:rsidRPr="00D02191">
        <w:rPr>
          <w:rFonts w:ascii="Times New Roman" w:hAnsi="Times New Roman"/>
          <w:bCs/>
          <w:sz w:val="24"/>
          <w:szCs w:val="24"/>
          <w:vertAlign w:val="superscript"/>
        </w:rPr>
        <w:t>1,</w:t>
      </w:r>
      <w:bookmarkStart w:id="1" w:name="_Hlk62859079"/>
      <w:r w:rsidRPr="00D02191">
        <w:rPr>
          <w:rFonts w:ascii="Times New Roman" w:hAnsi="Times New Roman"/>
          <w:bCs/>
          <w:sz w:val="24"/>
          <w:szCs w:val="24"/>
          <w:vertAlign w:val="superscript"/>
        </w:rPr>
        <w:t xml:space="preserve"> 3</w:t>
      </w:r>
      <w:bookmarkEnd w:id="0"/>
      <w:bookmarkEnd w:id="1"/>
      <w:r w:rsidRPr="00D02191">
        <w:rPr>
          <w:rFonts w:ascii="Times New Roman" w:hAnsi="Times New Roman"/>
          <w:bCs/>
          <w:sz w:val="24"/>
          <w:szCs w:val="24"/>
        </w:rPr>
        <w:t xml:space="preserve">, </w:t>
      </w:r>
      <w:proofErr w:type="spellStart"/>
      <w:r w:rsidRPr="00D02191">
        <w:rPr>
          <w:rFonts w:ascii="Times New Roman" w:hAnsi="Times New Roman"/>
          <w:bCs/>
          <w:sz w:val="24"/>
          <w:szCs w:val="24"/>
        </w:rPr>
        <w:t>Huifang</w:t>
      </w:r>
      <w:proofErr w:type="spellEnd"/>
      <w:r w:rsidRPr="00D02191">
        <w:rPr>
          <w:rFonts w:ascii="Times New Roman" w:hAnsi="Times New Roman"/>
          <w:bCs/>
          <w:sz w:val="24"/>
          <w:szCs w:val="24"/>
        </w:rPr>
        <w:t xml:space="preserve"> Song</w:t>
      </w:r>
      <w:r w:rsidRPr="00D02191">
        <w:rPr>
          <w:rFonts w:ascii="Times New Roman" w:hAnsi="Times New Roman"/>
          <w:bCs/>
          <w:sz w:val="24"/>
          <w:szCs w:val="24"/>
          <w:vertAlign w:val="superscript"/>
        </w:rPr>
        <w:t>1</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Wenjuan</w:t>
      </w:r>
      <w:proofErr w:type="spellEnd"/>
      <w:r w:rsidRPr="00D02191">
        <w:rPr>
          <w:rFonts w:ascii="Times New Roman" w:hAnsi="Times New Roman"/>
          <w:bCs/>
          <w:sz w:val="24"/>
          <w:szCs w:val="24"/>
        </w:rPr>
        <w:t xml:space="preserve"> Yin</w:t>
      </w:r>
      <w:r w:rsidRPr="00D02191">
        <w:rPr>
          <w:rFonts w:ascii="Times New Roman" w:hAnsi="Times New Roman"/>
          <w:bCs/>
          <w:sz w:val="24"/>
          <w:szCs w:val="24"/>
          <w:vertAlign w:val="superscript"/>
        </w:rPr>
        <w:t>1</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Jie</w:t>
      </w:r>
      <w:proofErr w:type="spellEnd"/>
      <w:r w:rsidRPr="00D02191">
        <w:rPr>
          <w:rFonts w:ascii="Times New Roman" w:hAnsi="Times New Roman"/>
          <w:bCs/>
          <w:sz w:val="24"/>
          <w:szCs w:val="24"/>
        </w:rPr>
        <w:t xml:space="preserve"> Zhang</w:t>
      </w:r>
      <w:r w:rsidRPr="00D02191">
        <w:rPr>
          <w:rFonts w:ascii="Times New Roman" w:hAnsi="Times New Roman"/>
          <w:bCs/>
          <w:sz w:val="24"/>
          <w:szCs w:val="24"/>
          <w:vertAlign w:val="superscript"/>
        </w:rPr>
        <w:t>1</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Zexu</w:t>
      </w:r>
      <w:proofErr w:type="spellEnd"/>
      <w:r w:rsidRPr="00D02191">
        <w:rPr>
          <w:rFonts w:ascii="Times New Roman" w:hAnsi="Times New Roman"/>
          <w:bCs/>
          <w:sz w:val="24"/>
          <w:szCs w:val="24"/>
        </w:rPr>
        <w:t xml:space="preserve"> Peng</w:t>
      </w:r>
      <w:r w:rsidRPr="00D02191">
        <w:rPr>
          <w:rFonts w:ascii="Times New Roman" w:hAnsi="Times New Roman"/>
          <w:bCs/>
          <w:sz w:val="24"/>
          <w:szCs w:val="24"/>
          <w:vertAlign w:val="superscript"/>
        </w:rPr>
        <w:t>1</w:t>
      </w:r>
      <w:r w:rsidRPr="00D02191">
        <w:rPr>
          <w:rFonts w:ascii="Times New Roman" w:hAnsi="Times New Roman"/>
          <w:bCs/>
          <w:sz w:val="24"/>
          <w:szCs w:val="24"/>
        </w:rPr>
        <w:t>,</w:t>
      </w:r>
      <w:r w:rsidRPr="00D02191">
        <w:rPr>
          <w:rFonts w:ascii="Times New Roman" w:hAnsi="Times New Roman"/>
          <w:sz w:val="24"/>
          <w:szCs w:val="24"/>
        </w:rPr>
        <w:t xml:space="preserve"> </w:t>
      </w:r>
      <w:r w:rsidRPr="00D02191">
        <w:rPr>
          <w:rFonts w:ascii="Times New Roman" w:hAnsi="Times New Roman"/>
          <w:bCs/>
          <w:sz w:val="24"/>
          <w:szCs w:val="24"/>
        </w:rPr>
        <w:t>Kun Yang</w:t>
      </w:r>
      <w:r w:rsidRPr="00D02191">
        <w:rPr>
          <w:rFonts w:ascii="Times New Roman" w:hAnsi="Times New Roman"/>
          <w:bCs/>
          <w:sz w:val="24"/>
          <w:szCs w:val="24"/>
          <w:vertAlign w:val="superscript"/>
        </w:rPr>
        <w:t>1, 2</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Xiaoyan</w:t>
      </w:r>
      <w:proofErr w:type="spellEnd"/>
      <w:r w:rsidRPr="00D02191">
        <w:rPr>
          <w:rFonts w:ascii="Times New Roman" w:hAnsi="Times New Roman"/>
          <w:bCs/>
          <w:sz w:val="24"/>
          <w:szCs w:val="24"/>
        </w:rPr>
        <w:t xml:space="preserve"> Zhai</w:t>
      </w:r>
      <w:r w:rsidRPr="00D02191">
        <w:rPr>
          <w:rFonts w:ascii="Times New Roman" w:hAnsi="Times New Roman"/>
          <w:bCs/>
          <w:sz w:val="24"/>
          <w:szCs w:val="24"/>
          <w:vertAlign w:val="superscript"/>
        </w:rPr>
        <w:t>1</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Lingxia</w:t>
      </w:r>
      <w:proofErr w:type="spellEnd"/>
      <w:r w:rsidRPr="00D02191">
        <w:rPr>
          <w:rFonts w:ascii="Times New Roman" w:hAnsi="Times New Roman"/>
          <w:bCs/>
          <w:sz w:val="24"/>
          <w:szCs w:val="24"/>
        </w:rPr>
        <w:t xml:space="preserve"> Zhao</w:t>
      </w:r>
      <w:r w:rsidRPr="00D02191">
        <w:rPr>
          <w:rFonts w:ascii="Times New Roman" w:hAnsi="Times New Roman"/>
          <w:bCs/>
          <w:sz w:val="24"/>
          <w:szCs w:val="24"/>
          <w:vertAlign w:val="superscript"/>
        </w:rPr>
        <w:t>2</w:t>
      </w:r>
      <w:r w:rsidRPr="00D02191">
        <w:rPr>
          <w:rFonts w:ascii="Times New Roman" w:hAnsi="Times New Roman"/>
          <w:bCs/>
          <w:sz w:val="24"/>
          <w:szCs w:val="24"/>
        </w:rPr>
        <w:t>, Hui Gong</w:t>
      </w:r>
      <w:r w:rsidRPr="00D02191">
        <w:rPr>
          <w:rFonts w:ascii="Times New Roman" w:hAnsi="Times New Roman"/>
          <w:bCs/>
          <w:sz w:val="24"/>
          <w:szCs w:val="24"/>
          <w:vertAlign w:val="superscript"/>
        </w:rPr>
        <w:t>1</w:t>
      </w:r>
      <w:r w:rsidRPr="00D02191">
        <w:rPr>
          <w:rFonts w:ascii="Times New Roman" w:hAnsi="Times New Roman"/>
          <w:bCs/>
          <w:sz w:val="24"/>
          <w:szCs w:val="24"/>
        </w:rPr>
        <w:t>, Yi Ping</w:t>
      </w:r>
      <w:r w:rsidRPr="00D02191">
        <w:rPr>
          <w:rFonts w:ascii="Times New Roman" w:hAnsi="Times New Roman"/>
          <w:bCs/>
          <w:sz w:val="24"/>
          <w:szCs w:val="24"/>
          <w:vertAlign w:val="superscript"/>
        </w:rPr>
        <w:t>4</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Xiangying</w:t>
      </w:r>
      <w:proofErr w:type="spellEnd"/>
      <w:r w:rsidRPr="00D02191">
        <w:rPr>
          <w:rFonts w:ascii="Times New Roman" w:hAnsi="Times New Roman"/>
          <w:bCs/>
          <w:sz w:val="24"/>
          <w:szCs w:val="24"/>
        </w:rPr>
        <w:t xml:space="preserve"> Jiao</w:t>
      </w:r>
      <w:r w:rsidRPr="00D02191">
        <w:rPr>
          <w:rFonts w:ascii="Times New Roman" w:hAnsi="Times New Roman"/>
          <w:bCs/>
          <w:sz w:val="24"/>
          <w:szCs w:val="24"/>
          <w:vertAlign w:val="superscript"/>
        </w:rPr>
        <w:t>1</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Sanyuan</w:t>
      </w:r>
      <w:proofErr w:type="spellEnd"/>
      <w:r w:rsidRPr="00D02191">
        <w:rPr>
          <w:rFonts w:ascii="Times New Roman" w:hAnsi="Times New Roman"/>
          <w:bCs/>
          <w:sz w:val="24"/>
          <w:szCs w:val="24"/>
        </w:rPr>
        <w:t xml:space="preserve"> Zhang</w:t>
      </w:r>
      <w:r w:rsidRPr="00D02191">
        <w:rPr>
          <w:rFonts w:ascii="Times New Roman" w:hAnsi="Times New Roman"/>
          <w:bCs/>
          <w:sz w:val="24"/>
          <w:szCs w:val="24"/>
          <w:vertAlign w:val="superscript"/>
        </w:rPr>
        <w:t>3</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Changping</w:t>
      </w:r>
      <w:proofErr w:type="spellEnd"/>
      <w:r w:rsidRPr="00D02191">
        <w:rPr>
          <w:rFonts w:ascii="Times New Roman" w:hAnsi="Times New Roman"/>
          <w:bCs/>
          <w:sz w:val="24"/>
          <w:szCs w:val="24"/>
        </w:rPr>
        <w:t xml:space="preserve"> Yan</w:t>
      </w:r>
      <w:r w:rsidRPr="00D02191">
        <w:rPr>
          <w:rFonts w:ascii="Times New Roman" w:hAnsi="Times New Roman"/>
          <w:bCs/>
          <w:sz w:val="24"/>
          <w:szCs w:val="24"/>
          <w:vertAlign w:val="superscript"/>
        </w:rPr>
        <w:t>3</w:t>
      </w:r>
      <w:r w:rsidRPr="00D02191">
        <w:rPr>
          <w:rFonts w:ascii="Times New Roman" w:hAnsi="Times New Roman"/>
          <w:bCs/>
          <w:sz w:val="24"/>
          <w:szCs w:val="24"/>
        </w:rPr>
        <w:t xml:space="preserve">, </w:t>
      </w:r>
      <w:proofErr w:type="spellStart"/>
      <w:r w:rsidRPr="00D02191">
        <w:rPr>
          <w:rFonts w:ascii="Times New Roman" w:hAnsi="Times New Roman"/>
          <w:bCs/>
          <w:sz w:val="24"/>
          <w:szCs w:val="24"/>
        </w:rPr>
        <w:t>Hongliang</w:t>
      </w:r>
      <w:proofErr w:type="spellEnd"/>
      <w:r w:rsidRPr="00D02191">
        <w:rPr>
          <w:rFonts w:ascii="Times New Roman" w:hAnsi="Times New Roman"/>
          <w:bCs/>
          <w:sz w:val="24"/>
          <w:szCs w:val="24"/>
        </w:rPr>
        <w:t xml:space="preserve"> Wang</w:t>
      </w:r>
      <w:r w:rsidRPr="00D02191">
        <w:rPr>
          <w:rFonts w:ascii="Times New Roman" w:hAnsi="Times New Roman"/>
          <w:bCs/>
          <w:sz w:val="24"/>
          <w:szCs w:val="24"/>
          <w:vertAlign w:val="superscript"/>
        </w:rPr>
        <w:t>3, 5</w:t>
      </w:r>
      <w:r w:rsidRPr="00D02191">
        <w:rPr>
          <w:rFonts w:ascii="Times New Roman" w:hAnsi="Times New Roman"/>
          <w:bCs/>
          <w:sz w:val="24"/>
          <w:szCs w:val="24"/>
        </w:rPr>
        <w:t>, Ren-</w:t>
      </w:r>
      <w:proofErr w:type="spellStart"/>
      <w:r w:rsidRPr="00D02191">
        <w:rPr>
          <w:rFonts w:ascii="Times New Roman" w:hAnsi="Times New Roman"/>
          <w:bCs/>
          <w:sz w:val="24"/>
          <w:szCs w:val="24"/>
        </w:rPr>
        <w:t>Ke</w:t>
      </w:r>
      <w:proofErr w:type="spellEnd"/>
      <w:r w:rsidRPr="00D02191">
        <w:rPr>
          <w:rFonts w:ascii="Times New Roman" w:hAnsi="Times New Roman"/>
          <w:bCs/>
          <w:sz w:val="24"/>
          <w:szCs w:val="24"/>
        </w:rPr>
        <w:t xml:space="preserve"> Li</w:t>
      </w:r>
      <w:r w:rsidRPr="00D02191">
        <w:rPr>
          <w:rFonts w:ascii="Times New Roman" w:hAnsi="Times New Roman"/>
          <w:bCs/>
          <w:sz w:val="24"/>
          <w:szCs w:val="24"/>
          <w:vertAlign w:val="superscript"/>
        </w:rPr>
        <w:t>6*</w:t>
      </w:r>
      <w:r w:rsidRPr="00D02191">
        <w:rPr>
          <w:rFonts w:ascii="Times New Roman" w:hAnsi="Times New Roman"/>
          <w:bCs/>
          <w:sz w:val="24"/>
          <w:szCs w:val="24"/>
        </w:rPr>
        <w:t>, Jun Xie</w:t>
      </w:r>
      <w:r w:rsidRPr="00D02191">
        <w:rPr>
          <w:rFonts w:ascii="Times New Roman" w:hAnsi="Times New Roman"/>
          <w:bCs/>
          <w:sz w:val="24"/>
          <w:szCs w:val="24"/>
          <w:vertAlign w:val="superscript"/>
        </w:rPr>
        <w:t>1*</w:t>
      </w:r>
    </w:p>
    <w:p w:rsidR="00D73C3B" w:rsidRPr="00D02191" w:rsidRDefault="00D73C3B" w:rsidP="00D73C3B">
      <w:pPr>
        <w:ind w:right="-331"/>
        <w:jc w:val="center"/>
        <w:rPr>
          <w:rFonts w:ascii="Times New Roman" w:hAnsi="Times New Roman"/>
          <w:bCs/>
          <w:sz w:val="24"/>
          <w:szCs w:val="24"/>
        </w:rPr>
      </w:pPr>
    </w:p>
    <w:p w:rsidR="00D73C3B" w:rsidRPr="00D02191" w:rsidRDefault="00D73C3B" w:rsidP="00D73C3B">
      <w:pPr>
        <w:ind w:right="-331"/>
        <w:rPr>
          <w:rFonts w:ascii="Times New Roman" w:hAnsi="Times New Roman"/>
          <w:bCs/>
          <w:sz w:val="24"/>
          <w:szCs w:val="24"/>
        </w:rPr>
      </w:pPr>
    </w:p>
    <w:p w:rsidR="00D73C3B" w:rsidRPr="00D02191" w:rsidRDefault="00D73C3B" w:rsidP="00D73C3B">
      <w:pPr>
        <w:ind w:right="-331"/>
        <w:rPr>
          <w:rFonts w:ascii="Times New Roman" w:hAnsi="Times New Roman"/>
          <w:bCs/>
          <w:sz w:val="24"/>
          <w:szCs w:val="24"/>
        </w:rPr>
      </w:pPr>
      <w:r w:rsidRPr="00D02191">
        <w:rPr>
          <w:rFonts w:ascii="Times New Roman" w:hAnsi="Times New Roman"/>
          <w:bCs/>
          <w:sz w:val="24"/>
          <w:szCs w:val="24"/>
          <w:vertAlign w:val="superscript"/>
        </w:rPr>
        <w:t>1</w:t>
      </w:r>
      <w:bookmarkStart w:id="2" w:name="_Hlk62857686"/>
      <w:r w:rsidRPr="00D02191">
        <w:rPr>
          <w:rFonts w:ascii="Times New Roman" w:hAnsi="Times New Roman"/>
          <w:bCs/>
          <w:sz w:val="24"/>
          <w:szCs w:val="24"/>
        </w:rPr>
        <w:t>The Laboratory of Stem Cell Regenerative Medicine Research</w:t>
      </w:r>
      <w:bookmarkEnd w:id="2"/>
      <w:r w:rsidRPr="00D02191">
        <w:rPr>
          <w:rFonts w:ascii="Times New Roman" w:hAnsi="Times New Roman" w:hint="eastAsia"/>
          <w:bCs/>
          <w:sz w:val="24"/>
          <w:szCs w:val="24"/>
        </w:rPr>
        <w:t>,</w:t>
      </w:r>
      <w:r w:rsidRPr="00D02191">
        <w:rPr>
          <w:rFonts w:ascii="Times New Roman" w:hAnsi="Times New Roman"/>
          <w:bCs/>
          <w:sz w:val="24"/>
          <w:szCs w:val="24"/>
        </w:rPr>
        <w:t xml:space="preserve"> Shanxi Key Laboratory of Birth Defect and Cell Regeneration, Key Laboratory of Cell Physiology of Ministry of Education, Shanxi Medical University, Taiyuan, China</w:t>
      </w:r>
    </w:p>
    <w:p w:rsidR="00D73C3B" w:rsidRPr="00D02191" w:rsidRDefault="00D73C3B" w:rsidP="00D73C3B">
      <w:pPr>
        <w:ind w:right="-331"/>
        <w:rPr>
          <w:rFonts w:ascii="Times New Roman" w:hAnsi="Times New Roman"/>
          <w:bCs/>
          <w:sz w:val="24"/>
          <w:szCs w:val="24"/>
        </w:rPr>
      </w:pPr>
    </w:p>
    <w:p w:rsidR="00D73C3B" w:rsidRPr="00D02191" w:rsidRDefault="00D73C3B" w:rsidP="00D73C3B">
      <w:pPr>
        <w:ind w:right="-331"/>
        <w:rPr>
          <w:rFonts w:ascii="Times New Roman" w:hAnsi="Times New Roman"/>
          <w:bCs/>
          <w:sz w:val="24"/>
          <w:szCs w:val="24"/>
        </w:rPr>
      </w:pPr>
      <w:r w:rsidRPr="00D02191">
        <w:rPr>
          <w:rFonts w:ascii="Times New Roman" w:hAnsi="Times New Roman"/>
          <w:bCs/>
          <w:sz w:val="24"/>
          <w:szCs w:val="24"/>
          <w:vertAlign w:val="superscript"/>
        </w:rPr>
        <w:t>2</w:t>
      </w:r>
      <w:r w:rsidRPr="00D02191">
        <w:rPr>
          <w:rFonts w:ascii="Times New Roman" w:hAnsi="Times New Roman"/>
          <w:bCs/>
          <w:sz w:val="24"/>
          <w:szCs w:val="24"/>
        </w:rPr>
        <w:t>Shanxi Bethune Hospital</w:t>
      </w:r>
      <w:r w:rsidRPr="00D02191">
        <w:rPr>
          <w:rFonts w:ascii="Times New Roman" w:hAnsi="Times New Roman" w:hint="eastAsia"/>
          <w:bCs/>
          <w:sz w:val="24"/>
          <w:szCs w:val="24"/>
        </w:rPr>
        <w:t>,</w:t>
      </w:r>
      <w:r w:rsidRPr="00D02191">
        <w:rPr>
          <w:rFonts w:ascii="Times New Roman" w:hAnsi="Times New Roman"/>
          <w:bCs/>
          <w:sz w:val="24"/>
          <w:szCs w:val="24"/>
        </w:rPr>
        <w:t xml:space="preserve"> </w:t>
      </w:r>
      <w:proofErr w:type="gramStart"/>
      <w:r w:rsidRPr="00D02191">
        <w:rPr>
          <w:rFonts w:ascii="Times New Roman" w:hAnsi="Times New Roman"/>
          <w:bCs/>
          <w:sz w:val="24"/>
          <w:szCs w:val="24"/>
        </w:rPr>
        <w:t>The</w:t>
      </w:r>
      <w:proofErr w:type="gramEnd"/>
      <w:r w:rsidRPr="00D02191">
        <w:rPr>
          <w:rFonts w:ascii="Times New Roman" w:hAnsi="Times New Roman"/>
          <w:bCs/>
          <w:sz w:val="24"/>
          <w:szCs w:val="24"/>
        </w:rPr>
        <w:t xml:space="preserve"> Third Hospital of Shanxi Medical University, Taiyuan, China</w:t>
      </w:r>
    </w:p>
    <w:p w:rsidR="00D73C3B" w:rsidRPr="00D02191" w:rsidRDefault="00D73C3B" w:rsidP="00D73C3B">
      <w:pPr>
        <w:ind w:right="-331"/>
        <w:rPr>
          <w:rFonts w:ascii="Times New Roman" w:hAnsi="Times New Roman"/>
          <w:bCs/>
          <w:sz w:val="24"/>
          <w:szCs w:val="24"/>
        </w:rPr>
      </w:pPr>
    </w:p>
    <w:p w:rsidR="00D73C3B" w:rsidRPr="00D02191" w:rsidRDefault="00D73C3B" w:rsidP="00D73C3B">
      <w:pPr>
        <w:ind w:right="-331"/>
        <w:rPr>
          <w:rFonts w:ascii="Times New Roman" w:hAnsi="Times New Roman"/>
          <w:bCs/>
          <w:sz w:val="24"/>
          <w:szCs w:val="24"/>
        </w:rPr>
      </w:pPr>
      <w:r w:rsidRPr="00D02191">
        <w:rPr>
          <w:rFonts w:ascii="Times New Roman" w:hAnsi="Times New Roman"/>
          <w:bCs/>
          <w:sz w:val="24"/>
          <w:szCs w:val="24"/>
          <w:vertAlign w:val="superscript"/>
        </w:rPr>
        <w:t>3</w:t>
      </w:r>
      <w:r w:rsidRPr="00D02191">
        <w:rPr>
          <w:rFonts w:ascii="Times New Roman" w:hAnsi="Times New Roman"/>
          <w:bCs/>
          <w:sz w:val="24"/>
          <w:szCs w:val="24"/>
        </w:rPr>
        <w:t xml:space="preserve">The First </w:t>
      </w:r>
      <w:bookmarkStart w:id="3" w:name="_Hlk62859015"/>
      <w:r w:rsidRPr="00D02191">
        <w:rPr>
          <w:rFonts w:ascii="Times New Roman" w:hAnsi="Times New Roman"/>
          <w:bCs/>
          <w:sz w:val="24"/>
          <w:szCs w:val="24"/>
        </w:rPr>
        <w:t xml:space="preserve">Hospital of </w:t>
      </w:r>
      <w:bookmarkStart w:id="4" w:name="_GoBack"/>
      <w:bookmarkEnd w:id="4"/>
      <w:r w:rsidRPr="00D02191">
        <w:rPr>
          <w:rFonts w:ascii="Times New Roman" w:hAnsi="Times New Roman"/>
          <w:bCs/>
          <w:sz w:val="24"/>
          <w:szCs w:val="24"/>
        </w:rPr>
        <w:t xml:space="preserve">Shanxi Medical University, </w:t>
      </w:r>
      <w:bookmarkEnd w:id="3"/>
      <w:r w:rsidRPr="00D02191">
        <w:rPr>
          <w:rFonts w:ascii="Times New Roman" w:hAnsi="Times New Roman"/>
          <w:bCs/>
          <w:sz w:val="24"/>
          <w:szCs w:val="24"/>
        </w:rPr>
        <w:t>Taiyuan, China</w:t>
      </w:r>
    </w:p>
    <w:p w:rsidR="00D73C3B" w:rsidRPr="00D02191" w:rsidRDefault="00D73C3B" w:rsidP="00D73C3B">
      <w:pPr>
        <w:ind w:right="-331"/>
        <w:rPr>
          <w:rFonts w:ascii="Times New Roman" w:hAnsi="Times New Roman"/>
          <w:bCs/>
          <w:sz w:val="24"/>
          <w:szCs w:val="24"/>
        </w:rPr>
      </w:pPr>
    </w:p>
    <w:p w:rsidR="00D73C3B" w:rsidRPr="00D02191" w:rsidRDefault="00D73C3B" w:rsidP="00D73C3B">
      <w:pPr>
        <w:ind w:right="-331"/>
        <w:rPr>
          <w:rFonts w:ascii="Times New Roman" w:hAnsi="Times New Roman"/>
          <w:bCs/>
          <w:sz w:val="24"/>
          <w:szCs w:val="24"/>
        </w:rPr>
      </w:pPr>
      <w:r w:rsidRPr="00D02191">
        <w:rPr>
          <w:rFonts w:ascii="Times New Roman" w:hAnsi="Times New Roman"/>
          <w:bCs/>
          <w:sz w:val="24"/>
          <w:szCs w:val="24"/>
          <w:vertAlign w:val="superscript"/>
        </w:rPr>
        <w:t>4</w:t>
      </w:r>
      <w:r w:rsidRPr="00D02191">
        <w:rPr>
          <w:rFonts w:ascii="Times New Roman" w:hAnsi="Times New Roman"/>
          <w:bCs/>
          <w:sz w:val="24"/>
          <w:szCs w:val="24"/>
        </w:rPr>
        <w:t>The Second Hospital of Shanxi Medical University, Taiyuan, China</w:t>
      </w:r>
    </w:p>
    <w:p w:rsidR="00D73C3B" w:rsidRPr="00D02191" w:rsidRDefault="00D73C3B" w:rsidP="00D73C3B">
      <w:pPr>
        <w:ind w:right="-331"/>
        <w:rPr>
          <w:rFonts w:ascii="Times New Roman" w:hAnsi="Times New Roman"/>
          <w:bCs/>
          <w:sz w:val="24"/>
          <w:szCs w:val="24"/>
        </w:rPr>
      </w:pPr>
    </w:p>
    <w:p w:rsidR="00D73C3B" w:rsidRPr="00D02191" w:rsidRDefault="00D73C3B" w:rsidP="00D73C3B">
      <w:pPr>
        <w:ind w:right="-331"/>
        <w:rPr>
          <w:rFonts w:ascii="Times New Roman" w:hAnsi="Times New Roman"/>
          <w:bCs/>
          <w:sz w:val="24"/>
          <w:szCs w:val="24"/>
        </w:rPr>
      </w:pPr>
      <w:r w:rsidRPr="00D02191">
        <w:rPr>
          <w:rFonts w:ascii="Times New Roman" w:hAnsi="Times New Roman"/>
          <w:bCs/>
          <w:sz w:val="24"/>
          <w:szCs w:val="24"/>
          <w:vertAlign w:val="superscript"/>
        </w:rPr>
        <w:t>5</w:t>
      </w:r>
      <w:r w:rsidRPr="00D02191">
        <w:rPr>
          <w:rFonts w:ascii="Times New Roman" w:hAnsi="Times New Roman"/>
          <w:bCs/>
          <w:sz w:val="24"/>
          <w:szCs w:val="24"/>
        </w:rPr>
        <w:t>Key Laboratory of Molecular Imaging, Molecular Imaging Precision Medicine Collaborative Innovation Center, Shanxi Medical University, Taiyuan, China</w:t>
      </w:r>
    </w:p>
    <w:p w:rsidR="00D73C3B" w:rsidRPr="00D02191" w:rsidRDefault="00D73C3B" w:rsidP="00D73C3B">
      <w:pPr>
        <w:ind w:right="-331"/>
        <w:rPr>
          <w:rFonts w:ascii="Times New Roman" w:hAnsi="Times New Roman"/>
          <w:bCs/>
          <w:sz w:val="24"/>
          <w:szCs w:val="24"/>
        </w:rPr>
      </w:pPr>
    </w:p>
    <w:p w:rsidR="00D73C3B" w:rsidRPr="00D02191" w:rsidRDefault="00D73C3B" w:rsidP="00D73C3B">
      <w:pPr>
        <w:ind w:right="-331"/>
        <w:rPr>
          <w:rFonts w:ascii="Times New Roman" w:hAnsi="Times New Roman"/>
          <w:bCs/>
          <w:sz w:val="24"/>
          <w:szCs w:val="24"/>
        </w:rPr>
      </w:pPr>
      <w:r w:rsidRPr="00D02191">
        <w:rPr>
          <w:rFonts w:ascii="Times New Roman" w:hAnsi="Times New Roman"/>
          <w:bCs/>
          <w:sz w:val="24"/>
          <w:szCs w:val="24"/>
          <w:vertAlign w:val="superscript"/>
        </w:rPr>
        <w:t>6</w:t>
      </w:r>
      <w:r w:rsidRPr="00D02191">
        <w:rPr>
          <w:rFonts w:ascii="Times New Roman" w:hAnsi="Times New Roman"/>
          <w:bCs/>
          <w:sz w:val="24"/>
          <w:szCs w:val="24"/>
        </w:rPr>
        <w:t>Toronto General Hospital Research Institute, University Health Network, Toronto, Canada</w:t>
      </w:r>
    </w:p>
    <w:p w:rsidR="00D73C3B" w:rsidRPr="00D02191" w:rsidRDefault="00D73C3B" w:rsidP="00D73C3B">
      <w:pPr>
        <w:ind w:right="-331"/>
        <w:rPr>
          <w:rFonts w:ascii="Times New Roman" w:hAnsi="Times New Roman"/>
          <w:bCs/>
          <w:sz w:val="24"/>
          <w:szCs w:val="24"/>
        </w:rPr>
      </w:pPr>
    </w:p>
    <w:p w:rsidR="00EE4EE8" w:rsidRPr="00D02191" w:rsidRDefault="00EE4EE8" w:rsidP="00EE4EE8">
      <w:pPr>
        <w:ind w:right="-334"/>
        <w:rPr>
          <w:rFonts w:ascii="Times New Roman" w:hAnsi="Times New Roman"/>
          <w:bCs/>
          <w:sz w:val="24"/>
          <w:szCs w:val="24"/>
        </w:rPr>
      </w:pPr>
    </w:p>
    <w:p w:rsidR="000147EC" w:rsidRPr="00D02191" w:rsidRDefault="000147EC" w:rsidP="000147EC">
      <w:pPr>
        <w:ind w:right="-331"/>
        <w:rPr>
          <w:rFonts w:ascii="Times New Roman" w:hAnsi="Times New Roman"/>
          <w:bCs/>
          <w:sz w:val="24"/>
          <w:szCs w:val="24"/>
        </w:rPr>
      </w:pPr>
    </w:p>
    <w:p w:rsidR="00DE29EE" w:rsidRPr="00D02191" w:rsidRDefault="00DE29EE"/>
    <w:p w:rsidR="00B36C08" w:rsidRPr="00D02191" w:rsidRDefault="00B36C08"/>
    <w:p w:rsidR="00B36C08" w:rsidRPr="00D02191" w:rsidRDefault="00B36C08"/>
    <w:p w:rsidR="00B36C08" w:rsidRPr="00D02191" w:rsidRDefault="00B36C08"/>
    <w:p w:rsidR="00B36C08" w:rsidRPr="00D02191" w:rsidRDefault="00B36C08"/>
    <w:p w:rsidR="00986078" w:rsidRPr="00D02191" w:rsidRDefault="00986078"/>
    <w:p w:rsidR="00986078" w:rsidRPr="00D02191" w:rsidRDefault="00986078"/>
    <w:p w:rsidR="00986078" w:rsidRPr="00D02191" w:rsidRDefault="00986078"/>
    <w:p w:rsidR="00986078" w:rsidRPr="00D02191" w:rsidRDefault="00986078"/>
    <w:p w:rsidR="00986078" w:rsidRPr="00D02191" w:rsidRDefault="00986078"/>
    <w:p w:rsidR="00986078" w:rsidRPr="00D02191" w:rsidRDefault="00986078"/>
    <w:p w:rsidR="00986078" w:rsidRPr="00D02191" w:rsidRDefault="00986078"/>
    <w:p w:rsidR="00986078" w:rsidRPr="00D02191" w:rsidRDefault="00986078"/>
    <w:p w:rsidR="00986078" w:rsidRPr="00D02191" w:rsidRDefault="00986078"/>
    <w:p w:rsidR="00986078" w:rsidRPr="00D02191" w:rsidRDefault="00986078"/>
    <w:p w:rsidR="00986078" w:rsidRPr="00D02191" w:rsidRDefault="00986078"/>
    <w:p w:rsidR="00FE39DE" w:rsidRPr="00D02191" w:rsidRDefault="00FE39DE" w:rsidP="00FE39DE">
      <w:pPr>
        <w:spacing w:line="360" w:lineRule="auto"/>
        <w:jc w:val="center"/>
        <w:rPr>
          <w:rFonts w:ascii="Times New Roman" w:hAnsi="Times New Roman"/>
          <w:b/>
          <w:bCs/>
          <w:sz w:val="24"/>
          <w:szCs w:val="24"/>
        </w:rPr>
      </w:pPr>
      <w:r w:rsidRPr="00D02191">
        <w:rPr>
          <w:rFonts w:ascii="Times New Roman" w:hAnsi="Times New Roman"/>
          <w:b/>
          <w:bCs/>
          <w:sz w:val="24"/>
          <w:szCs w:val="24"/>
        </w:rPr>
        <w:lastRenderedPageBreak/>
        <w:t>Supplementary Methods</w:t>
      </w:r>
    </w:p>
    <w:p w:rsidR="00FE39DE" w:rsidRPr="00D02191" w:rsidRDefault="00FE39DE" w:rsidP="00986078">
      <w:pPr>
        <w:spacing w:line="360" w:lineRule="auto"/>
        <w:jc w:val="left"/>
        <w:rPr>
          <w:rFonts w:ascii="Times New Roman" w:hAnsi="Times New Roman"/>
          <w:b/>
          <w:bCs/>
          <w:sz w:val="24"/>
          <w:szCs w:val="24"/>
        </w:rPr>
      </w:pPr>
    </w:p>
    <w:p w:rsidR="00986078" w:rsidRPr="00D02191" w:rsidRDefault="00986078" w:rsidP="00986078">
      <w:pPr>
        <w:spacing w:line="360" w:lineRule="auto"/>
        <w:jc w:val="left"/>
        <w:rPr>
          <w:rFonts w:ascii="Times New Roman" w:hAnsi="Times New Roman"/>
          <w:sz w:val="24"/>
          <w:szCs w:val="24"/>
        </w:rPr>
      </w:pPr>
      <w:r w:rsidRPr="00D02191">
        <w:rPr>
          <w:rFonts w:ascii="Times New Roman" w:hAnsi="Times New Roman"/>
          <w:b/>
          <w:bCs/>
          <w:sz w:val="24"/>
          <w:szCs w:val="24"/>
        </w:rPr>
        <w:t>RNA-Sequencing</w:t>
      </w:r>
    </w:p>
    <w:p w:rsidR="00986078" w:rsidRPr="00D02191" w:rsidRDefault="00986078" w:rsidP="00986078">
      <w:pPr>
        <w:spacing w:line="360" w:lineRule="auto"/>
        <w:ind w:firstLine="420"/>
        <w:jc w:val="left"/>
        <w:rPr>
          <w:rFonts w:ascii="Times New Roman" w:hAnsi="Times New Roman"/>
          <w:sz w:val="24"/>
          <w:szCs w:val="24"/>
        </w:rPr>
      </w:pPr>
      <w:bookmarkStart w:id="5" w:name="_Hlk50590931"/>
      <w:r w:rsidRPr="00D02191">
        <w:rPr>
          <w:rFonts w:ascii="Times New Roman" w:hAnsi="Times New Roman"/>
          <w:sz w:val="24"/>
          <w:szCs w:val="24"/>
        </w:rPr>
        <w:t>RNA-sequencing (RNA-</w:t>
      </w:r>
      <w:proofErr w:type="spellStart"/>
      <w:r w:rsidRPr="00D02191">
        <w:rPr>
          <w:rFonts w:ascii="Times New Roman" w:hAnsi="Times New Roman"/>
          <w:sz w:val="24"/>
          <w:szCs w:val="24"/>
        </w:rPr>
        <w:t>seq</w:t>
      </w:r>
      <w:proofErr w:type="spellEnd"/>
      <w:r w:rsidRPr="00D02191">
        <w:rPr>
          <w:rFonts w:ascii="Times New Roman" w:hAnsi="Times New Roman"/>
          <w:sz w:val="24"/>
          <w:szCs w:val="24"/>
        </w:rPr>
        <w:t xml:space="preserve">) analyses were performed </w:t>
      </w:r>
      <w:r w:rsidR="00DD6977" w:rsidRPr="00D02191">
        <w:rPr>
          <w:rFonts w:ascii="Times New Roman" w:hAnsi="Times New Roman"/>
          <w:sz w:val="24"/>
          <w:szCs w:val="24"/>
        </w:rPr>
        <w:t>for</w:t>
      </w:r>
      <w:r w:rsidRPr="00D02191">
        <w:rPr>
          <w:rFonts w:ascii="Times New Roman" w:hAnsi="Times New Roman"/>
          <w:sz w:val="24"/>
          <w:szCs w:val="24"/>
        </w:rPr>
        <w:t xml:space="preserve"> both </w:t>
      </w:r>
      <w:proofErr w:type="spellStart"/>
      <w:r w:rsidRPr="00D02191">
        <w:rPr>
          <w:rFonts w:ascii="Times New Roman" w:hAnsi="Times New Roman"/>
          <w:sz w:val="24"/>
          <w:szCs w:val="24"/>
        </w:rPr>
        <w:t>hEMSCs</w:t>
      </w:r>
      <w:proofErr w:type="spellEnd"/>
      <w:r w:rsidRPr="00D02191">
        <w:rPr>
          <w:rFonts w:ascii="Times New Roman" w:hAnsi="Times New Roman"/>
          <w:sz w:val="24"/>
          <w:szCs w:val="24"/>
        </w:rPr>
        <w:t xml:space="preserve"> and </w:t>
      </w:r>
      <w:proofErr w:type="spellStart"/>
      <w:r w:rsidRPr="00D02191">
        <w:rPr>
          <w:rFonts w:ascii="Times New Roman" w:hAnsi="Times New Roman"/>
          <w:sz w:val="24"/>
          <w:szCs w:val="24"/>
        </w:rPr>
        <w:t>hBMSCs</w:t>
      </w:r>
      <w:proofErr w:type="spellEnd"/>
      <w:r w:rsidRPr="00D02191">
        <w:rPr>
          <w:rFonts w:ascii="Times New Roman" w:hAnsi="Times New Roman"/>
          <w:sz w:val="24"/>
          <w:szCs w:val="24"/>
        </w:rPr>
        <w:t>.</w:t>
      </w:r>
      <w:bookmarkStart w:id="6" w:name="_Hlk50483055"/>
      <w:bookmarkEnd w:id="5"/>
      <w:r w:rsidRPr="00D02191">
        <w:rPr>
          <w:rFonts w:ascii="Times New Roman" w:hAnsi="Times New Roman"/>
          <w:sz w:val="24"/>
          <w:szCs w:val="24"/>
        </w:rPr>
        <w:t xml:space="preserve"> Purified RNA samples were provided to</w:t>
      </w:r>
      <w:bookmarkEnd w:id="6"/>
      <w:r w:rsidRPr="00D02191">
        <w:rPr>
          <w:rFonts w:ascii="Times New Roman" w:hAnsi="Times New Roman"/>
          <w:sz w:val="24"/>
          <w:szCs w:val="24"/>
        </w:rPr>
        <w:t xml:space="preserve"> Wuhan </w:t>
      </w:r>
      <w:proofErr w:type="spellStart"/>
      <w:r w:rsidRPr="00D02191">
        <w:rPr>
          <w:rFonts w:ascii="Times New Roman" w:hAnsi="Times New Roman"/>
          <w:sz w:val="24"/>
          <w:szCs w:val="24"/>
        </w:rPr>
        <w:t>Huada</w:t>
      </w:r>
      <w:proofErr w:type="spellEnd"/>
      <w:r w:rsidRPr="00D02191">
        <w:rPr>
          <w:rFonts w:ascii="Times New Roman" w:hAnsi="Times New Roman"/>
          <w:sz w:val="24"/>
          <w:szCs w:val="24"/>
        </w:rPr>
        <w:t xml:space="preserve"> Medical Laboratory Co., LTD.,</w:t>
      </w:r>
      <w:r w:rsidRPr="00D02191">
        <w:t xml:space="preserve"> </w:t>
      </w:r>
      <w:r w:rsidRPr="00D02191">
        <w:rPr>
          <w:rFonts w:ascii="Times New Roman" w:hAnsi="Times New Roman"/>
          <w:sz w:val="24"/>
          <w:szCs w:val="24"/>
        </w:rPr>
        <w:t xml:space="preserve">for library construction and sequencing. Briefly, </w:t>
      </w:r>
      <w:proofErr w:type="spellStart"/>
      <w:r w:rsidRPr="00D02191">
        <w:rPr>
          <w:rFonts w:ascii="Times New Roman" w:hAnsi="Times New Roman"/>
          <w:sz w:val="24"/>
          <w:szCs w:val="24"/>
        </w:rPr>
        <w:t>hEMSCs</w:t>
      </w:r>
      <w:proofErr w:type="spellEnd"/>
      <w:r w:rsidRPr="00D02191">
        <w:rPr>
          <w:rFonts w:ascii="Times New Roman" w:hAnsi="Times New Roman"/>
          <w:sz w:val="24"/>
          <w:szCs w:val="24"/>
        </w:rPr>
        <w:t xml:space="preserve"> and </w:t>
      </w:r>
      <w:proofErr w:type="spellStart"/>
      <w:r w:rsidRPr="00D02191">
        <w:rPr>
          <w:rFonts w:ascii="Times New Roman" w:hAnsi="Times New Roman"/>
          <w:sz w:val="24"/>
          <w:szCs w:val="24"/>
        </w:rPr>
        <w:t>hBMSCs</w:t>
      </w:r>
      <w:proofErr w:type="spellEnd"/>
      <w:r w:rsidRPr="00D02191">
        <w:rPr>
          <w:rFonts w:ascii="Times New Roman" w:hAnsi="Times New Roman"/>
          <w:sz w:val="24"/>
          <w:szCs w:val="24"/>
        </w:rPr>
        <w:t xml:space="preserve"> were inoculated separately into a 10 cm dish at a density of 4x10</w:t>
      </w:r>
      <w:r w:rsidRPr="00D02191">
        <w:rPr>
          <w:rFonts w:ascii="Times New Roman" w:hAnsi="Times New Roman"/>
          <w:sz w:val="24"/>
          <w:szCs w:val="24"/>
          <w:vertAlign w:val="superscript"/>
        </w:rPr>
        <w:t>5</w:t>
      </w:r>
      <w:r w:rsidRPr="00D02191">
        <w:rPr>
          <w:rFonts w:ascii="Times New Roman" w:hAnsi="Times New Roman"/>
          <w:sz w:val="24"/>
          <w:szCs w:val="24"/>
        </w:rPr>
        <w:t xml:space="preserve"> cells. The two kinds of cells were collected 48 h after cell inoculation and total RNA was extracted. Quality and quantity checks were performed by means of Fragment Analyzer (Agilent 2100) and real-time quantitative PCR. The library was then constructed according to the manufacturer’s protocols.</w:t>
      </w:r>
      <w:r w:rsidRPr="00D02191">
        <w:t xml:space="preserve"> </w:t>
      </w:r>
      <w:r w:rsidRPr="00D02191">
        <w:rPr>
          <w:rFonts w:ascii="Times New Roman" w:hAnsi="Times New Roman"/>
          <w:sz w:val="24"/>
          <w:szCs w:val="24"/>
        </w:rPr>
        <w:t xml:space="preserve">Sequencing data were obtained using Illumina </w:t>
      </w:r>
      <w:proofErr w:type="spellStart"/>
      <w:r w:rsidRPr="00D02191">
        <w:rPr>
          <w:rFonts w:ascii="Times New Roman" w:hAnsi="Times New Roman"/>
          <w:sz w:val="24"/>
          <w:szCs w:val="24"/>
        </w:rPr>
        <w:t>HiSeqTM</w:t>
      </w:r>
      <w:proofErr w:type="spellEnd"/>
      <w:r w:rsidRPr="00D02191">
        <w:rPr>
          <w:rFonts w:ascii="Times New Roman" w:hAnsi="Times New Roman"/>
          <w:sz w:val="24"/>
          <w:szCs w:val="24"/>
        </w:rPr>
        <w:t xml:space="preserve"> 4000. The raw data was a</w:t>
      </w:r>
      <w:r w:rsidR="00DD6977" w:rsidRPr="00D02191">
        <w:rPr>
          <w:rFonts w:ascii="Times New Roman" w:hAnsi="Times New Roman"/>
          <w:sz w:val="24"/>
          <w:szCs w:val="24"/>
        </w:rPr>
        <w:t>n</w:t>
      </w:r>
      <w:r w:rsidR="0033571C" w:rsidRPr="00D02191">
        <w:rPr>
          <w:rFonts w:ascii="Times New Roman" w:hAnsi="Times New Roman"/>
          <w:sz w:val="24"/>
          <w:szCs w:val="24"/>
        </w:rPr>
        <w:t>alyzed in the following steps: t</w:t>
      </w:r>
      <w:r w:rsidRPr="00D02191">
        <w:rPr>
          <w:rFonts w:ascii="Times New Roman" w:hAnsi="Times New Roman"/>
          <w:sz w:val="24"/>
          <w:szCs w:val="24"/>
        </w:rPr>
        <w:t>he sequencing data was</w:t>
      </w:r>
      <w:r w:rsidR="0033571C" w:rsidRPr="00D02191">
        <w:rPr>
          <w:rFonts w:ascii="Times New Roman" w:hAnsi="Times New Roman"/>
          <w:sz w:val="24"/>
          <w:szCs w:val="24"/>
        </w:rPr>
        <w:t xml:space="preserve"> first</w:t>
      </w:r>
      <w:r w:rsidRPr="00D02191">
        <w:rPr>
          <w:rFonts w:ascii="Times New Roman" w:hAnsi="Times New Roman"/>
          <w:sz w:val="24"/>
          <w:szCs w:val="24"/>
        </w:rPr>
        <w:t xml:space="preserve"> filtered with </w:t>
      </w:r>
      <w:proofErr w:type="spellStart"/>
      <w:r w:rsidRPr="00D02191">
        <w:rPr>
          <w:rFonts w:ascii="Times New Roman" w:hAnsi="Times New Roman"/>
          <w:sz w:val="24"/>
          <w:szCs w:val="24"/>
        </w:rPr>
        <w:t>SOAPnuke</w:t>
      </w:r>
      <w:proofErr w:type="spellEnd"/>
      <w:r w:rsidRPr="00D02191">
        <w:rPr>
          <w:rFonts w:ascii="Times New Roman" w:hAnsi="Times New Roman"/>
          <w:sz w:val="24"/>
          <w:szCs w:val="24"/>
        </w:rPr>
        <w:t xml:space="preserve"> (v1.5.2) by removing adapter sequences, low-qualit</w:t>
      </w:r>
      <w:r w:rsidR="00DD6977" w:rsidRPr="00D02191">
        <w:rPr>
          <w:rFonts w:ascii="Times New Roman" w:hAnsi="Times New Roman"/>
          <w:sz w:val="24"/>
          <w:szCs w:val="24"/>
        </w:rPr>
        <w:t>y base reads (base quality ≤</w:t>
      </w:r>
      <w:r w:rsidRPr="00D02191">
        <w:rPr>
          <w:rFonts w:ascii="Times New Roman" w:hAnsi="Times New Roman"/>
          <w:sz w:val="24"/>
          <w:szCs w:val="24"/>
        </w:rPr>
        <w:t>5) and reads with &gt;10% unknown bases. After filtering, the remaining reads were defined as clean reads, and were mapped to the reference genome using HISAT2 (v2.0.4). Clean reads were aligned with the reference encoding gene set using Bowtie 2 (v2.2.5), and gene expression was calculated usi</w:t>
      </w:r>
      <w:r w:rsidR="00DD6977" w:rsidRPr="00D02191">
        <w:rPr>
          <w:rFonts w:ascii="Times New Roman" w:hAnsi="Times New Roman"/>
          <w:sz w:val="24"/>
          <w:szCs w:val="24"/>
        </w:rPr>
        <w:t xml:space="preserve">ng RESM (v1.2.12). Based on the </w:t>
      </w:r>
      <w:r w:rsidRPr="00D02191">
        <w:rPr>
          <w:rFonts w:ascii="Times New Roman" w:hAnsi="Times New Roman"/>
          <w:sz w:val="24"/>
          <w:szCs w:val="24"/>
        </w:rPr>
        <w:t xml:space="preserve">gene expression </w:t>
      </w:r>
      <w:r w:rsidR="00DD6977" w:rsidRPr="00D02191">
        <w:rPr>
          <w:rFonts w:ascii="Times New Roman" w:hAnsi="Times New Roman"/>
          <w:sz w:val="24"/>
          <w:szCs w:val="24"/>
        </w:rPr>
        <w:t xml:space="preserve">levels </w:t>
      </w:r>
      <w:r w:rsidRPr="00D02191">
        <w:rPr>
          <w:rFonts w:ascii="Times New Roman" w:hAnsi="Times New Roman"/>
          <w:sz w:val="24"/>
          <w:szCs w:val="24"/>
        </w:rPr>
        <w:t xml:space="preserve">in different samples, the heat-map was drawn with </w:t>
      </w:r>
      <w:proofErr w:type="spellStart"/>
      <w:r w:rsidRPr="00D02191">
        <w:rPr>
          <w:rFonts w:ascii="Times New Roman" w:hAnsi="Times New Roman"/>
          <w:sz w:val="24"/>
          <w:szCs w:val="24"/>
        </w:rPr>
        <w:t>Pheatmap</w:t>
      </w:r>
      <w:proofErr w:type="spellEnd"/>
      <w:r w:rsidRPr="00D02191">
        <w:rPr>
          <w:rFonts w:ascii="Times New Roman" w:hAnsi="Times New Roman"/>
          <w:sz w:val="24"/>
          <w:szCs w:val="24"/>
        </w:rPr>
        <w:t>. DESeq2 software (v1.4.5)</w:t>
      </w:r>
      <w:r w:rsidR="0033571C" w:rsidRPr="00D02191">
        <w:rPr>
          <w:rFonts w:ascii="Times New Roman" w:hAnsi="Times New Roman"/>
          <w:sz w:val="24"/>
          <w:szCs w:val="24"/>
        </w:rPr>
        <w:t xml:space="preserve"> </w:t>
      </w:r>
      <w:r w:rsidRPr="00D02191">
        <w:rPr>
          <w:rFonts w:ascii="Times New Roman" w:hAnsi="Times New Roman"/>
          <w:sz w:val="24"/>
          <w:szCs w:val="24"/>
        </w:rPr>
        <w:t>with Q</w:t>
      </w:r>
      <w:r w:rsidR="00DD6977" w:rsidRPr="00D02191">
        <w:rPr>
          <w:rFonts w:ascii="Times New Roman" w:hAnsi="Times New Roman"/>
          <w:sz w:val="24"/>
          <w:szCs w:val="24"/>
        </w:rPr>
        <w:t xml:space="preserve"> ≤0</w:t>
      </w:r>
      <w:r w:rsidRPr="00D02191">
        <w:rPr>
          <w:rFonts w:ascii="Times New Roman" w:hAnsi="Times New Roman"/>
          <w:sz w:val="24"/>
          <w:szCs w:val="24"/>
        </w:rPr>
        <w:t xml:space="preserve">.05 </w:t>
      </w:r>
      <w:r w:rsidR="0033571C" w:rsidRPr="00D02191">
        <w:rPr>
          <w:rFonts w:ascii="Times New Roman" w:hAnsi="Times New Roman"/>
          <w:sz w:val="24"/>
          <w:szCs w:val="24"/>
        </w:rPr>
        <w:t>was</w:t>
      </w:r>
      <w:r w:rsidRPr="00D02191">
        <w:rPr>
          <w:rFonts w:ascii="Times New Roman" w:hAnsi="Times New Roman"/>
          <w:sz w:val="24"/>
          <w:szCs w:val="24"/>
        </w:rPr>
        <w:t xml:space="preserve"> used for differential gene expression analysis.</w:t>
      </w:r>
    </w:p>
    <w:p w:rsidR="00986078" w:rsidRPr="00D02191" w:rsidRDefault="00986078" w:rsidP="00986078">
      <w:pPr>
        <w:spacing w:line="360" w:lineRule="auto"/>
        <w:jc w:val="left"/>
        <w:rPr>
          <w:rFonts w:ascii="Times New Roman" w:hAnsi="Times New Roman"/>
          <w:b/>
          <w:bCs/>
          <w:sz w:val="24"/>
          <w:szCs w:val="24"/>
        </w:rPr>
      </w:pPr>
      <w:bookmarkStart w:id="7" w:name="_Hlk51189843"/>
      <w:bookmarkStart w:id="8" w:name="OLE_LINK7"/>
      <w:r w:rsidRPr="00D02191">
        <w:rPr>
          <w:rFonts w:ascii="Times New Roman" w:hAnsi="Times New Roman"/>
          <w:b/>
          <w:bCs/>
          <w:sz w:val="24"/>
          <w:szCs w:val="24"/>
        </w:rPr>
        <w:t xml:space="preserve">Protein Array </w:t>
      </w:r>
    </w:p>
    <w:p w:rsidR="00986078" w:rsidRPr="00D02191" w:rsidRDefault="00986078" w:rsidP="00986078">
      <w:pPr>
        <w:spacing w:line="360" w:lineRule="auto"/>
        <w:ind w:firstLine="420"/>
        <w:jc w:val="left"/>
        <w:rPr>
          <w:rFonts w:ascii="Times New Roman" w:hAnsi="Times New Roman"/>
          <w:sz w:val="24"/>
          <w:szCs w:val="24"/>
        </w:rPr>
      </w:pPr>
      <w:bookmarkStart w:id="9" w:name="_Hlk51627003"/>
      <w:r w:rsidRPr="00D02191">
        <w:rPr>
          <w:rFonts w:ascii="Times New Roman" w:hAnsi="Times New Roman"/>
          <w:sz w:val="24"/>
          <w:szCs w:val="24"/>
        </w:rPr>
        <w:t xml:space="preserve">HEMSCs and </w:t>
      </w:r>
      <w:proofErr w:type="spellStart"/>
      <w:r w:rsidRPr="00D02191">
        <w:rPr>
          <w:rFonts w:ascii="Times New Roman" w:hAnsi="Times New Roman"/>
          <w:sz w:val="24"/>
          <w:szCs w:val="24"/>
        </w:rPr>
        <w:t>hBMSCs</w:t>
      </w:r>
      <w:proofErr w:type="spellEnd"/>
      <w:r w:rsidRPr="00D02191">
        <w:rPr>
          <w:rFonts w:ascii="Times New Roman" w:hAnsi="Times New Roman"/>
          <w:sz w:val="24"/>
          <w:szCs w:val="24"/>
        </w:rPr>
        <w:t xml:space="preserve"> were inoculated separately into a 10 cm dish, at a density of 4x10</w:t>
      </w:r>
      <w:r w:rsidRPr="00D02191">
        <w:rPr>
          <w:rFonts w:ascii="Times New Roman" w:hAnsi="Times New Roman"/>
          <w:sz w:val="24"/>
          <w:szCs w:val="24"/>
          <w:vertAlign w:val="superscript"/>
        </w:rPr>
        <w:t>5</w:t>
      </w:r>
      <w:r w:rsidRPr="00D02191">
        <w:rPr>
          <w:rFonts w:ascii="Times New Roman" w:hAnsi="Times New Roman"/>
          <w:sz w:val="24"/>
          <w:szCs w:val="24"/>
        </w:rPr>
        <w:t xml:space="preserve"> cells. Cell culture medium from these two </w:t>
      </w:r>
      <w:r w:rsidR="00DD6977" w:rsidRPr="00D02191">
        <w:rPr>
          <w:rFonts w:ascii="Times New Roman" w:hAnsi="Times New Roman"/>
          <w:sz w:val="24"/>
          <w:szCs w:val="24"/>
        </w:rPr>
        <w:t>cell types</w:t>
      </w:r>
      <w:r w:rsidRPr="00D02191">
        <w:rPr>
          <w:rFonts w:ascii="Times New Roman" w:hAnsi="Times New Roman"/>
          <w:sz w:val="24"/>
          <w:szCs w:val="24"/>
        </w:rPr>
        <w:t xml:space="preserve"> was collected 48 h after cell inoculation. </w:t>
      </w:r>
      <w:bookmarkEnd w:id="9"/>
      <w:r w:rsidRPr="00D02191">
        <w:rPr>
          <w:rFonts w:ascii="Times New Roman" w:hAnsi="Times New Roman"/>
          <w:sz w:val="24"/>
          <w:szCs w:val="24"/>
        </w:rPr>
        <w:t xml:space="preserve">Afterwards, a protein chip containing 440 kinds of human cytokines (GSR-CAA-440) from </w:t>
      </w:r>
      <w:proofErr w:type="spellStart"/>
      <w:r w:rsidRPr="00D02191">
        <w:rPr>
          <w:rFonts w:ascii="Times New Roman" w:hAnsi="Times New Roman"/>
          <w:sz w:val="24"/>
          <w:szCs w:val="24"/>
        </w:rPr>
        <w:t>RayBiotech</w:t>
      </w:r>
      <w:proofErr w:type="spellEnd"/>
      <w:r w:rsidRPr="00D02191">
        <w:rPr>
          <w:rFonts w:ascii="Times New Roman" w:hAnsi="Times New Roman"/>
          <w:sz w:val="24"/>
          <w:szCs w:val="24"/>
        </w:rPr>
        <w:t xml:space="preserve"> was used to analyze the expression levels of these soluble cytokines in the medium.</w:t>
      </w:r>
      <w:bookmarkEnd w:id="7"/>
      <w:r w:rsidRPr="00D02191">
        <w:rPr>
          <w:rFonts w:ascii="Times New Roman" w:hAnsi="Times New Roman"/>
          <w:sz w:val="24"/>
          <w:szCs w:val="24"/>
        </w:rPr>
        <w:t xml:space="preserve"> </w:t>
      </w:r>
      <w:proofErr w:type="spellStart"/>
      <w:r w:rsidRPr="00D02191">
        <w:rPr>
          <w:rFonts w:ascii="Times New Roman" w:hAnsi="Times New Roman"/>
          <w:sz w:val="24"/>
          <w:szCs w:val="24"/>
        </w:rPr>
        <w:t>Raybiotech</w:t>
      </w:r>
      <w:proofErr w:type="spellEnd"/>
      <w:r w:rsidRPr="00D02191">
        <w:rPr>
          <w:rFonts w:ascii="Times New Roman" w:hAnsi="Times New Roman"/>
          <w:sz w:val="24"/>
          <w:szCs w:val="24"/>
        </w:rPr>
        <w:t xml:space="preserve"> software was used to remove the background of the original data</w:t>
      </w:r>
      <w:r w:rsidR="00DD6977" w:rsidRPr="00D02191">
        <w:rPr>
          <w:rFonts w:ascii="Times New Roman" w:hAnsi="Times New Roman"/>
          <w:sz w:val="24"/>
          <w:szCs w:val="24"/>
        </w:rPr>
        <w:t>,</w:t>
      </w:r>
      <w:r w:rsidRPr="00D02191">
        <w:rPr>
          <w:rFonts w:ascii="Times New Roman" w:hAnsi="Times New Roman"/>
          <w:sz w:val="24"/>
          <w:szCs w:val="24"/>
        </w:rPr>
        <w:t xml:space="preserve"> and to scr</w:t>
      </w:r>
      <w:r w:rsidR="0033571C" w:rsidRPr="00D02191">
        <w:rPr>
          <w:rFonts w:ascii="Times New Roman" w:hAnsi="Times New Roman"/>
          <w:sz w:val="24"/>
          <w:szCs w:val="24"/>
        </w:rPr>
        <w:t>een the differential expression</w:t>
      </w:r>
      <w:r w:rsidRPr="00D02191">
        <w:rPr>
          <w:rFonts w:ascii="Times New Roman" w:hAnsi="Times New Roman"/>
          <w:sz w:val="24"/>
          <w:szCs w:val="24"/>
        </w:rPr>
        <w:t xml:space="preserve"> of proteins after the normalization treatment.</w:t>
      </w:r>
    </w:p>
    <w:bookmarkEnd w:id="8"/>
    <w:p w:rsidR="00986078" w:rsidRPr="00D02191" w:rsidRDefault="00986078"/>
    <w:p w:rsidR="00B36C08" w:rsidRPr="00D02191" w:rsidRDefault="00B36C08"/>
    <w:p w:rsidR="00B36C08" w:rsidRPr="00D02191" w:rsidRDefault="00B36C08"/>
    <w:p w:rsidR="00FE39DE" w:rsidRPr="00D02191" w:rsidRDefault="00FE39DE">
      <w:pPr>
        <w:rPr>
          <w:rFonts w:ascii="Times New Roman" w:hAnsi="Times New Roman"/>
          <w:sz w:val="24"/>
          <w:szCs w:val="24"/>
        </w:rPr>
      </w:pPr>
    </w:p>
    <w:p w:rsidR="00FE39DE" w:rsidRPr="00D02191" w:rsidRDefault="00FE39DE">
      <w:pPr>
        <w:rPr>
          <w:rFonts w:ascii="Times New Roman" w:hAnsi="Times New Roman"/>
          <w:sz w:val="24"/>
          <w:szCs w:val="24"/>
        </w:rPr>
      </w:pPr>
    </w:p>
    <w:p w:rsidR="00FE39DE" w:rsidRPr="00D02191" w:rsidRDefault="00FE39DE">
      <w:pPr>
        <w:rPr>
          <w:rFonts w:ascii="Times New Roman" w:hAnsi="Times New Roman"/>
          <w:sz w:val="24"/>
          <w:szCs w:val="24"/>
        </w:rPr>
      </w:pPr>
    </w:p>
    <w:p w:rsidR="00FE39DE" w:rsidRPr="00D02191" w:rsidRDefault="00FE39DE">
      <w:pPr>
        <w:rPr>
          <w:rFonts w:ascii="Times New Roman" w:hAnsi="Times New Roman"/>
          <w:sz w:val="24"/>
          <w:szCs w:val="24"/>
        </w:rPr>
      </w:pPr>
    </w:p>
    <w:p w:rsidR="00FE39DE" w:rsidRPr="00D02191" w:rsidRDefault="00FE39DE">
      <w:pPr>
        <w:rPr>
          <w:rFonts w:ascii="Times New Roman" w:hAnsi="Times New Roman"/>
          <w:sz w:val="24"/>
          <w:szCs w:val="24"/>
        </w:rPr>
      </w:pPr>
    </w:p>
    <w:p w:rsidR="00FE39DE" w:rsidRPr="00D02191" w:rsidRDefault="00FE39DE">
      <w:pPr>
        <w:rPr>
          <w:rFonts w:ascii="Times New Roman" w:hAnsi="Times New Roman"/>
          <w:sz w:val="24"/>
          <w:szCs w:val="24"/>
        </w:rPr>
      </w:pPr>
    </w:p>
    <w:p w:rsidR="00FE39DE" w:rsidRPr="00D02191" w:rsidRDefault="00143BE3" w:rsidP="00143BE3">
      <w:pPr>
        <w:jc w:val="center"/>
        <w:rPr>
          <w:rFonts w:ascii="Times New Roman" w:hAnsi="Times New Roman"/>
          <w:b/>
          <w:sz w:val="24"/>
          <w:szCs w:val="24"/>
        </w:rPr>
      </w:pPr>
      <w:r w:rsidRPr="00D02191">
        <w:rPr>
          <w:rFonts w:ascii="Times New Roman" w:hAnsi="Times New Roman"/>
          <w:b/>
          <w:sz w:val="24"/>
          <w:szCs w:val="24"/>
        </w:rPr>
        <w:lastRenderedPageBreak/>
        <w:t>Supplementary Figure</w:t>
      </w:r>
    </w:p>
    <w:p w:rsidR="00143BE3" w:rsidRPr="00D02191" w:rsidRDefault="000678F7" w:rsidP="00143BE3">
      <w:pPr>
        <w:jc w:val="left"/>
        <w:rPr>
          <w:rFonts w:ascii="Times New Roman" w:hAnsi="Times New Roman"/>
          <w:b/>
          <w:sz w:val="24"/>
          <w:szCs w:val="24"/>
        </w:rPr>
      </w:pPr>
      <w:r w:rsidRPr="00D02191">
        <w:rPr>
          <w:rFonts w:ascii="Times New Roman" w:hAnsi="Times New Roman"/>
          <w:b/>
          <w:noProof/>
          <w:sz w:val="24"/>
          <w:szCs w:val="24"/>
        </w:rPr>
        <w:drawing>
          <wp:inline distT="0" distB="0" distL="0" distR="0" wp14:anchorId="160B67C0" wp14:editId="4E97F7C8">
            <wp:extent cx="6549656" cy="48029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9654" cy="4810321"/>
                    </a:xfrm>
                    <a:prstGeom prst="rect">
                      <a:avLst/>
                    </a:prstGeom>
                    <a:noFill/>
                  </pic:spPr>
                </pic:pic>
              </a:graphicData>
            </a:graphic>
          </wp:inline>
        </w:drawing>
      </w:r>
    </w:p>
    <w:p w:rsidR="00143BE3" w:rsidRPr="00D02191" w:rsidRDefault="00143BE3" w:rsidP="00143BE3">
      <w:pPr>
        <w:jc w:val="left"/>
        <w:rPr>
          <w:rFonts w:ascii="Times New Roman" w:hAnsi="Times New Roman"/>
          <w:b/>
          <w:sz w:val="24"/>
          <w:szCs w:val="24"/>
        </w:rPr>
      </w:pPr>
    </w:p>
    <w:p w:rsidR="00F6793A" w:rsidRPr="00D02191" w:rsidRDefault="00FE39DE" w:rsidP="00F6793A">
      <w:pPr>
        <w:rPr>
          <w:rFonts w:ascii="Times New Roman" w:hAnsi="Times New Roman"/>
          <w:sz w:val="24"/>
          <w:szCs w:val="24"/>
        </w:rPr>
      </w:pPr>
      <w:proofErr w:type="gramStart"/>
      <w:r w:rsidRPr="00D02191">
        <w:rPr>
          <w:rFonts w:ascii="Times New Roman" w:hAnsi="Times New Roman"/>
          <w:b/>
          <w:sz w:val="24"/>
          <w:szCs w:val="24"/>
        </w:rPr>
        <w:t>Fig.</w:t>
      </w:r>
      <w:proofErr w:type="gramEnd"/>
      <w:r w:rsidRPr="00D02191">
        <w:rPr>
          <w:rFonts w:ascii="Times New Roman" w:hAnsi="Times New Roman"/>
          <w:b/>
          <w:sz w:val="24"/>
          <w:szCs w:val="24"/>
        </w:rPr>
        <w:t xml:space="preserve"> S1: Results from RNA-</w:t>
      </w:r>
      <w:proofErr w:type="spellStart"/>
      <w:r w:rsidRPr="00D02191">
        <w:rPr>
          <w:rFonts w:ascii="Times New Roman" w:hAnsi="Times New Roman"/>
          <w:b/>
          <w:sz w:val="24"/>
          <w:szCs w:val="24"/>
        </w:rPr>
        <w:t>seq</w:t>
      </w:r>
      <w:proofErr w:type="spellEnd"/>
      <w:r w:rsidRPr="00D02191">
        <w:rPr>
          <w:rFonts w:ascii="Times New Roman" w:hAnsi="Times New Roman"/>
          <w:b/>
          <w:sz w:val="24"/>
          <w:szCs w:val="24"/>
        </w:rPr>
        <w:t xml:space="preserve"> and Protein array.</w:t>
      </w:r>
      <w:r w:rsidR="004C46A0" w:rsidRPr="00D02191">
        <w:rPr>
          <w:rFonts w:ascii="Times New Roman" w:hAnsi="Times New Roman"/>
          <w:b/>
          <w:sz w:val="24"/>
          <w:szCs w:val="24"/>
        </w:rPr>
        <w:t xml:space="preserve"> </w:t>
      </w:r>
      <w:proofErr w:type="gramStart"/>
      <w:r w:rsidRPr="00D02191">
        <w:rPr>
          <w:rFonts w:ascii="Times New Roman" w:hAnsi="Times New Roman"/>
          <w:b/>
          <w:sz w:val="24"/>
          <w:szCs w:val="24"/>
        </w:rPr>
        <w:t>a</w:t>
      </w:r>
      <w:proofErr w:type="gramEnd"/>
      <w:r w:rsidR="00AF0795" w:rsidRPr="00D02191">
        <w:rPr>
          <w:rFonts w:ascii="Times New Roman" w:hAnsi="Times New Roman"/>
          <w:b/>
          <w:sz w:val="24"/>
          <w:szCs w:val="24"/>
        </w:rPr>
        <w:t xml:space="preserve"> </w:t>
      </w:r>
      <w:proofErr w:type="spellStart"/>
      <w:r w:rsidR="00AF0795" w:rsidRPr="00D02191">
        <w:rPr>
          <w:rFonts w:ascii="Times New Roman" w:hAnsi="Times New Roman"/>
          <w:sz w:val="24"/>
          <w:szCs w:val="24"/>
        </w:rPr>
        <w:t>Heatmap</w:t>
      </w:r>
      <w:proofErr w:type="spellEnd"/>
      <w:r w:rsidR="00AF0795" w:rsidRPr="00D02191">
        <w:rPr>
          <w:rFonts w:ascii="Times New Roman" w:hAnsi="Times New Roman"/>
          <w:sz w:val="24"/>
          <w:szCs w:val="24"/>
        </w:rPr>
        <w:t xml:space="preserve"> </w:t>
      </w:r>
      <w:r w:rsidR="00143BE3" w:rsidRPr="00D02191">
        <w:rPr>
          <w:rFonts w:ascii="Times New Roman" w:hAnsi="Times New Roman"/>
          <w:sz w:val="24"/>
          <w:szCs w:val="24"/>
        </w:rPr>
        <w:t>from RNA-</w:t>
      </w:r>
      <w:proofErr w:type="spellStart"/>
      <w:r w:rsidR="00143BE3" w:rsidRPr="00D02191">
        <w:rPr>
          <w:rFonts w:ascii="Times New Roman" w:hAnsi="Times New Roman"/>
          <w:sz w:val="24"/>
          <w:szCs w:val="24"/>
        </w:rPr>
        <w:t>seq</w:t>
      </w:r>
      <w:proofErr w:type="spellEnd"/>
      <w:r w:rsidR="00143BE3" w:rsidRPr="00D02191">
        <w:rPr>
          <w:rFonts w:ascii="Times New Roman" w:hAnsi="Times New Roman"/>
          <w:sz w:val="24"/>
          <w:szCs w:val="24"/>
        </w:rPr>
        <w:t xml:space="preserve"> representing expression levels for </w:t>
      </w:r>
      <w:r w:rsidR="00AF0795" w:rsidRPr="00D02191">
        <w:rPr>
          <w:rFonts w:ascii="Times New Roman" w:hAnsi="Times New Roman"/>
          <w:sz w:val="24"/>
          <w:szCs w:val="24"/>
        </w:rPr>
        <w:t xml:space="preserve">differentially expressed genes (DEGs) between </w:t>
      </w:r>
      <w:proofErr w:type="spellStart"/>
      <w:r w:rsidR="00AF0795" w:rsidRPr="00D02191">
        <w:rPr>
          <w:rFonts w:ascii="Times New Roman" w:hAnsi="Times New Roman"/>
          <w:sz w:val="24"/>
          <w:szCs w:val="24"/>
        </w:rPr>
        <w:t>hBMSCs</w:t>
      </w:r>
      <w:proofErr w:type="spellEnd"/>
      <w:r w:rsidR="00AF0795" w:rsidRPr="00D02191">
        <w:rPr>
          <w:rFonts w:ascii="Times New Roman" w:hAnsi="Times New Roman"/>
          <w:sz w:val="24"/>
          <w:szCs w:val="24"/>
        </w:rPr>
        <w:t xml:space="preserve"> and </w:t>
      </w:r>
      <w:proofErr w:type="spellStart"/>
      <w:r w:rsidR="00AF0795" w:rsidRPr="00D02191">
        <w:rPr>
          <w:rFonts w:ascii="Times New Roman" w:hAnsi="Times New Roman"/>
          <w:sz w:val="24"/>
          <w:szCs w:val="24"/>
        </w:rPr>
        <w:t>hEMSC</w:t>
      </w:r>
      <w:r w:rsidR="00143BE3" w:rsidRPr="00D02191">
        <w:rPr>
          <w:rFonts w:ascii="Times New Roman" w:hAnsi="Times New Roman"/>
          <w:sz w:val="24"/>
          <w:szCs w:val="24"/>
        </w:rPr>
        <w:t>s</w:t>
      </w:r>
      <w:proofErr w:type="spellEnd"/>
      <w:r w:rsidR="00AF0795" w:rsidRPr="00D02191">
        <w:rPr>
          <w:rFonts w:ascii="Times New Roman" w:hAnsi="Times New Roman"/>
          <w:sz w:val="24"/>
          <w:szCs w:val="24"/>
        </w:rPr>
        <w:t xml:space="preserve">. Red: upregulation; Blue: downregulation. </w:t>
      </w:r>
      <w:r w:rsidR="00143BE3" w:rsidRPr="00D02191">
        <w:rPr>
          <w:rFonts w:ascii="Times New Roman" w:hAnsi="Times New Roman"/>
          <w:sz w:val="24"/>
          <w:szCs w:val="24"/>
        </w:rPr>
        <w:t>E</w:t>
      </w:r>
      <w:r w:rsidR="00AF0795" w:rsidRPr="00D02191">
        <w:rPr>
          <w:rFonts w:ascii="Times New Roman" w:hAnsi="Times New Roman"/>
          <w:sz w:val="24"/>
          <w:szCs w:val="24"/>
        </w:rPr>
        <w:t xml:space="preserve">xpression intensity was based on </w:t>
      </w:r>
      <w:r w:rsidR="008C2858" w:rsidRPr="00D02191">
        <w:rPr>
          <w:rFonts w:ascii="Times New Roman" w:hAnsi="Times New Roman"/>
          <w:sz w:val="24"/>
          <w:szCs w:val="24"/>
        </w:rPr>
        <w:t>R software analysis of gene expression levels</w:t>
      </w:r>
      <w:r w:rsidR="00143BE3" w:rsidRPr="00D02191">
        <w:rPr>
          <w:rFonts w:ascii="Times New Roman" w:hAnsi="Times New Roman"/>
          <w:sz w:val="24"/>
          <w:szCs w:val="24"/>
        </w:rPr>
        <w:t>.</w:t>
      </w:r>
      <w:r w:rsidR="00AF0795" w:rsidRPr="00D02191">
        <w:rPr>
          <w:rFonts w:ascii="Times New Roman" w:hAnsi="Times New Roman"/>
          <w:b/>
          <w:sz w:val="24"/>
          <w:szCs w:val="24"/>
        </w:rPr>
        <w:t xml:space="preserve"> </w:t>
      </w:r>
      <w:proofErr w:type="gramStart"/>
      <w:r w:rsidRPr="00D02191">
        <w:rPr>
          <w:rFonts w:ascii="Times New Roman" w:hAnsi="Times New Roman"/>
          <w:b/>
          <w:sz w:val="24"/>
          <w:szCs w:val="24"/>
        </w:rPr>
        <w:t>b</w:t>
      </w:r>
      <w:proofErr w:type="gramEnd"/>
      <w:r w:rsidR="004C46A0" w:rsidRPr="00D02191">
        <w:rPr>
          <w:rFonts w:ascii="Times New Roman" w:hAnsi="Times New Roman"/>
          <w:sz w:val="24"/>
          <w:szCs w:val="24"/>
        </w:rPr>
        <w:t xml:space="preserve"> </w:t>
      </w:r>
      <w:r w:rsidR="00AF0795" w:rsidRPr="00D02191">
        <w:rPr>
          <w:rFonts w:ascii="Times New Roman" w:hAnsi="Times New Roman"/>
          <w:sz w:val="24"/>
          <w:szCs w:val="24"/>
        </w:rPr>
        <w:t xml:space="preserve">Twenty categories with significant enrichment were screened for functional enrichment analysis of gene ontology (GO). </w:t>
      </w:r>
      <w:r w:rsidR="00271683" w:rsidRPr="00D02191">
        <w:rPr>
          <w:rFonts w:ascii="Times New Roman" w:hAnsi="Times New Roman"/>
          <w:sz w:val="24"/>
          <w:szCs w:val="24"/>
        </w:rPr>
        <w:t xml:space="preserve">Yellow line: Number of genes. Bars: Significance level. </w:t>
      </w:r>
      <w:proofErr w:type="gramStart"/>
      <w:r w:rsidR="00AF0795" w:rsidRPr="00D02191">
        <w:rPr>
          <w:rFonts w:ascii="Times New Roman" w:hAnsi="Times New Roman"/>
          <w:b/>
          <w:sz w:val="24"/>
          <w:szCs w:val="24"/>
        </w:rPr>
        <w:t>c</w:t>
      </w:r>
      <w:proofErr w:type="gramEnd"/>
      <w:r w:rsidR="00AF0795" w:rsidRPr="00D02191">
        <w:rPr>
          <w:rFonts w:ascii="Times New Roman" w:hAnsi="Times New Roman"/>
          <w:sz w:val="24"/>
          <w:szCs w:val="24"/>
        </w:rPr>
        <w:t xml:space="preserve"> </w:t>
      </w:r>
      <w:proofErr w:type="spellStart"/>
      <w:r w:rsidR="004C46A0" w:rsidRPr="00D02191">
        <w:rPr>
          <w:rFonts w:ascii="Times New Roman" w:hAnsi="Times New Roman"/>
          <w:sz w:val="24"/>
          <w:szCs w:val="24"/>
        </w:rPr>
        <w:t>Heatmap</w:t>
      </w:r>
      <w:proofErr w:type="spellEnd"/>
      <w:r w:rsidR="004C46A0" w:rsidRPr="00D02191">
        <w:rPr>
          <w:rFonts w:ascii="Times New Roman" w:hAnsi="Times New Roman"/>
          <w:sz w:val="24"/>
          <w:szCs w:val="24"/>
        </w:rPr>
        <w:t xml:space="preserve"> </w:t>
      </w:r>
      <w:r w:rsidR="008C2858" w:rsidRPr="00D02191">
        <w:rPr>
          <w:rFonts w:ascii="Times New Roman" w:hAnsi="Times New Roman"/>
          <w:sz w:val="24"/>
          <w:szCs w:val="24"/>
        </w:rPr>
        <w:t xml:space="preserve">showing up- and down-regulation for </w:t>
      </w:r>
      <w:r w:rsidR="004C46A0" w:rsidRPr="00D02191">
        <w:rPr>
          <w:rFonts w:ascii="Times New Roman" w:hAnsi="Times New Roman"/>
          <w:sz w:val="24"/>
          <w:szCs w:val="24"/>
        </w:rPr>
        <w:t>DEGs</w:t>
      </w:r>
      <w:r w:rsidR="008C2858" w:rsidRPr="00D02191">
        <w:rPr>
          <w:rFonts w:ascii="Times New Roman" w:hAnsi="Times New Roman"/>
          <w:sz w:val="24"/>
          <w:szCs w:val="24"/>
        </w:rPr>
        <w:t xml:space="preserve"> in</w:t>
      </w:r>
      <w:r w:rsidR="004C46A0" w:rsidRPr="00D02191">
        <w:rPr>
          <w:rFonts w:ascii="Times New Roman" w:hAnsi="Times New Roman"/>
          <w:sz w:val="24"/>
          <w:szCs w:val="24"/>
        </w:rPr>
        <w:t xml:space="preserve"> </w:t>
      </w:r>
      <w:proofErr w:type="spellStart"/>
      <w:r w:rsidR="008C2858" w:rsidRPr="00D02191">
        <w:rPr>
          <w:rFonts w:ascii="Times New Roman" w:hAnsi="Times New Roman"/>
          <w:sz w:val="24"/>
          <w:szCs w:val="24"/>
        </w:rPr>
        <w:t>hBMSCs</w:t>
      </w:r>
      <w:proofErr w:type="spellEnd"/>
      <w:r w:rsidR="008C2858" w:rsidRPr="00D02191">
        <w:rPr>
          <w:rFonts w:ascii="Times New Roman" w:hAnsi="Times New Roman"/>
          <w:sz w:val="24"/>
          <w:szCs w:val="24"/>
        </w:rPr>
        <w:t xml:space="preserve"> and </w:t>
      </w:r>
      <w:proofErr w:type="spellStart"/>
      <w:r w:rsidR="008C2858" w:rsidRPr="00D02191">
        <w:rPr>
          <w:rFonts w:ascii="Times New Roman" w:hAnsi="Times New Roman"/>
          <w:sz w:val="24"/>
          <w:szCs w:val="24"/>
        </w:rPr>
        <w:t>hEMSCs</w:t>
      </w:r>
      <w:proofErr w:type="spellEnd"/>
      <w:r w:rsidR="008C2858" w:rsidRPr="00D02191">
        <w:rPr>
          <w:rFonts w:ascii="Times New Roman" w:hAnsi="Times New Roman"/>
          <w:sz w:val="24"/>
          <w:szCs w:val="24"/>
        </w:rPr>
        <w:t xml:space="preserve"> </w:t>
      </w:r>
      <w:r w:rsidR="004C46A0" w:rsidRPr="00D02191">
        <w:rPr>
          <w:rFonts w:ascii="Times New Roman" w:hAnsi="Times New Roman"/>
          <w:sz w:val="24"/>
          <w:szCs w:val="24"/>
        </w:rPr>
        <w:t xml:space="preserve">related to angiogenesis. </w:t>
      </w:r>
      <w:proofErr w:type="gramStart"/>
      <w:r w:rsidRPr="00D02191">
        <w:rPr>
          <w:rFonts w:ascii="Times New Roman" w:hAnsi="Times New Roman"/>
          <w:b/>
          <w:sz w:val="24"/>
          <w:szCs w:val="24"/>
        </w:rPr>
        <w:t>d</w:t>
      </w:r>
      <w:proofErr w:type="gramEnd"/>
      <w:r w:rsidRPr="00D02191">
        <w:rPr>
          <w:rFonts w:ascii="Times New Roman" w:hAnsi="Times New Roman"/>
          <w:sz w:val="24"/>
          <w:szCs w:val="24"/>
        </w:rPr>
        <w:t xml:space="preserve"> </w:t>
      </w:r>
      <w:r w:rsidR="008C2858" w:rsidRPr="00D02191">
        <w:rPr>
          <w:rFonts w:ascii="Times New Roman" w:hAnsi="Times New Roman"/>
          <w:sz w:val="24"/>
          <w:szCs w:val="24"/>
        </w:rPr>
        <w:t xml:space="preserve">Venn diagram and protein array analysis between </w:t>
      </w:r>
      <w:proofErr w:type="spellStart"/>
      <w:r w:rsidR="008C2858" w:rsidRPr="00D02191">
        <w:rPr>
          <w:rFonts w:ascii="Times New Roman" w:hAnsi="Times New Roman"/>
          <w:sz w:val="24"/>
          <w:szCs w:val="24"/>
        </w:rPr>
        <w:t>hBMSCs</w:t>
      </w:r>
      <w:proofErr w:type="spellEnd"/>
      <w:r w:rsidR="008C2858" w:rsidRPr="00D02191">
        <w:rPr>
          <w:rFonts w:ascii="Times New Roman" w:hAnsi="Times New Roman"/>
          <w:sz w:val="24"/>
          <w:szCs w:val="24"/>
        </w:rPr>
        <w:t xml:space="preserve"> and </w:t>
      </w:r>
      <w:proofErr w:type="spellStart"/>
      <w:r w:rsidR="008C2858" w:rsidRPr="00D02191">
        <w:rPr>
          <w:rFonts w:ascii="Times New Roman" w:hAnsi="Times New Roman"/>
          <w:sz w:val="24"/>
          <w:szCs w:val="24"/>
        </w:rPr>
        <w:t>hEMSCs</w:t>
      </w:r>
      <w:proofErr w:type="spellEnd"/>
      <w:r w:rsidR="008C2858" w:rsidRPr="00D02191">
        <w:rPr>
          <w:rFonts w:ascii="Times New Roman" w:hAnsi="Times New Roman"/>
          <w:sz w:val="24"/>
          <w:szCs w:val="24"/>
        </w:rPr>
        <w:t xml:space="preserve"> for DEGs. B</w:t>
      </w:r>
      <w:r w:rsidR="004C46A0" w:rsidRPr="00D02191">
        <w:rPr>
          <w:rFonts w:ascii="Times New Roman" w:hAnsi="Times New Roman"/>
          <w:sz w:val="24"/>
          <w:szCs w:val="24"/>
        </w:rPr>
        <w:t xml:space="preserve">lack circle </w:t>
      </w:r>
      <w:r w:rsidR="008C2858" w:rsidRPr="00D02191">
        <w:rPr>
          <w:rFonts w:ascii="Times New Roman" w:hAnsi="Times New Roman"/>
          <w:sz w:val="24"/>
          <w:szCs w:val="24"/>
        </w:rPr>
        <w:t xml:space="preserve">in Venn diagram </w:t>
      </w:r>
      <w:r w:rsidR="004C46A0" w:rsidRPr="00D02191">
        <w:rPr>
          <w:rFonts w:ascii="Times New Roman" w:hAnsi="Times New Roman"/>
          <w:sz w:val="24"/>
          <w:szCs w:val="24"/>
        </w:rPr>
        <w:t xml:space="preserve">represents DEGs related to angiogenesis between </w:t>
      </w:r>
      <w:proofErr w:type="spellStart"/>
      <w:r w:rsidR="004C46A0" w:rsidRPr="00D02191">
        <w:rPr>
          <w:rFonts w:ascii="Times New Roman" w:hAnsi="Times New Roman"/>
          <w:sz w:val="24"/>
          <w:szCs w:val="24"/>
        </w:rPr>
        <w:t>hEMSCs</w:t>
      </w:r>
      <w:proofErr w:type="spellEnd"/>
      <w:r w:rsidR="004C46A0" w:rsidRPr="00D02191">
        <w:rPr>
          <w:rFonts w:ascii="Times New Roman" w:hAnsi="Times New Roman"/>
          <w:sz w:val="24"/>
          <w:szCs w:val="24"/>
        </w:rPr>
        <w:t xml:space="preserve"> and </w:t>
      </w:r>
      <w:proofErr w:type="spellStart"/>
      <w:r w:rsidR="004C46A0" w:rsidRPr="00D02191">
        <w:rPr>
          <w:rFonts w:ascii="Times New Roman" w:hAnsi="Times New Roman"/>
          <w:sz w:val="24"/>
          <w:szCs w:val="24"/>
        </w:rPr>
        <w:t>hBMSCs</w:t>
      </w:r>
      <w:proofErr w:type="spellEnd"/>
      <w:r w:rsidR="004C46A0" w:rsidRPr="00D02191">
        <w:rPr>
          <w:rFonts w:ascii="Times New Roman" w:hAnsi="Times New Roman"/>
          <w:sz w:val="24"/>
          <w:szCs w:val="24"/>
        </w:rPr>
        <w:t xml:space="preserve"> by RNA-</w:t>
      </w:r>
      <w:proofErr w:type="spellStart"/>
      <w:r w:rsidR="004C46A0" w:rsidRPr="00D02191">
        <w:rPr>
          <w:rFonts w:ascii="Times New Roman" w:hAnsi="Times New Roman"/>
          <w:sz w:val="24"/>
          <w:szCs w:val="24"/>
        </w:rPr>
        <w:t>seq</w:t>
      </w:r>
      <w:proofErr w:type="spellEnd"/>
      <w:r w:rsidR="004C46A0" w:rsidRPr="00D02191">
        <w:rPr>
          <w:rFonts w:ascii="Times New Roman" w:hAnsi="Times New Roman"/>
          <w:sz w:val="24"/>
          <w:szCs w:val="24"/>
        </w:rPr>
        <w:t xml:space="preserve">, </w:t>
      </w:r>
      <w:r w:rsidR="008C2858" w:rsidRPr="00D02191">
        <w:rPr>
          <w:rFonts w:ascii="Times New Roman" w:hAnsi="Times New Roman"/>
          <w:sz w:val="24"/>
          <w:szCs w:val="24"/>
        </w:rPr>
        <w:t>while</w:t>
      </w:r>
      <w:r w:rsidR="004C46A0" w:rsidRPr="00D02191">
        <w:rPr>
          <w:rFonts w:ascii="Times New Roman" w:hAnsi="Times New Roman"/>
          <w:sz w:val="24"/>
          <w:szCs w:val="24"/>
        </w:rPr>
        <w:t xml:space="preserve"> gray circle represents </w:t>
      </w:r>
      <w:r w:rsidR="008C2858" w:rsidRPr="00D02191">
        <w:rPr>
          <w:rFonts w:ascii="Times New Roman" w:hAnsi="Times New Roman"/>
          <w:sz w:val="24"/>
          <w:szCs w:val="24"/>
        </w:rPr>
        <w:t xml:space="preserve">DEGs identified through </w:t>
      </w:r>
      <w:r w:rsidR="004C46A0" w:rsidRPr="00D02191">
        <w:rPr>
          <w:rFonts w:ascii="Times New Roman" w:hAnsi="Times New Roman"/>
          <w:sz w:val="24"/>
          <w:szCs w:val="24"/>
        </w:rPr>
        <w:t>protein arrays. The intersection of the two circ</w:t>
      </w:r>
      <w:r w:rsidR="008C2858" w:rsidRPr="00D02191">
        <w:rPr>
          <w:rFonts w:ascii="Times New Roman" w:hAnsi="Times New Roman"/>
          <w:sz w:val="24"/>
          <w:szCs w:val="24"/>
        </w:rPr>
        <w:t>les represents overlapping DEGs between RNA-</w:t>
      </w:r>
      <w:proofErr w:type="spellStart"/>
      <w:r w:rsidR="008C2858" w:rsidRPr="00D02191">
        <w:rPr>
          <w:rFonts w:ascii="Times New Roman" w:hAnsi="Times New Roman"/>
          <w:sz w:val="24"/>
          <w:szCs w:val="24"/>
        </w:rPr>
        <w:t>seq</w:t>
      </w:r>
      <w:proofErr w:type="spellEnd"/>
      <w:r w:rsidR="008C2858" w:rsidRPr="00D02191">
        <w:rPr>
          <w:rFonts w:ascii="Times New Roman" w:hAnsi="Times New Roman"/>
          <w:sz w:val="24"/>
          <w:szCs w:val="24"/>
        </w:rPr>
        <w:t xml:space="preserve"> and protein array for angiogenesis, where five</w:t>
      </w:r>
      <w:r w:rsidR="0069046B" w:rsidRPr="00D02191">
        <w:rPr>
          <w:rFonts w:ascii="Times New Roman" w:hAnsi="Times New Roman"/>
          <w:sz w:val="24"/>
          <w:szCs w:val="24"/>
        </w:rPr>
        <w:t xml:space="preserve"> </w:t>
      </w:r>
      <w:r w:rsidR="008C2858" w:rsidRPr="00D02191">
        <w:rPr>
          <w:rFonts w:ascii="Times New Roman" w:hAnsi="Times New Roman"/>
          <w:sz w:val="24"/>
          <w:szCs w:val="24"/>
        </w:rPr>
        <w:t>angiogen</w:t>
      </w:r>
      <w:r w:rsidR="009577B0" w:rsidRPr="00D02191">
        <w:rPr>
          <w:rFonts w:ascii="Times New Roman" w:hAnsi="Times New Roman"/>
          <w:sz w:val="24"/>
          <w:szCs w:val="24"/>
        </w:rPr>
        <w:t xml:space="preserve">esis-related factors were found, of which PGF and ANG4 were up-regulated in </w:t>
      </w:r>
      <w:proofErr w:type="spellStart"/>
      <w:r w:rsidR="009577B0" w:rsidRPr="00D02191">
        <w:rPr>
          <w:rFonts w:ascii="Times New Roman" w:hAnsi="Times New Roman"/>
          <w:sz w:val="24"/>
          <w:szCs w:val="24"/>
        </w:rPr>
        <w:t>hBMSCs</w:t>
      </w:r>
      <w:proofErr w:type="spellEnd"/>
      <w:r w:rsidR="009577B0" w:rsidRPr="00D02191">
        <w:rPr>
          <w:rFonts w:ascii="Times New Roman" w:hAnsi="Times New Roman"/>
          <w:sz w:val="24"/>
          <w:szCs w:val="24"/>
        </w:rPr>
        <w:t>, while FLT</w:t>
      </w:r>
      <w:r w:rsidR="000678F7" w:rsidRPr="00D02191">
        <w:rPr>
          <w:rFonts w:ascii="Times New Roman" w:hAnsi="Times New Roman"/>
          <w:sz w:val="24"/>
          <w:szCs w:val="24"/>
        </w:rPr>
        <w:t>-</w:t>
      </w:r>
      <w:r w:rsidR="009577B0" w:rsidRPr="00D02191">
        <w:rPr>
          <w:rFonts w:ascii="Times New Roman" w:hAnsi="Times New Roman"/>
          <w:sz w:val="24"/>
          <w:szCs w:val="24"/>
        </w:rPr>
        <w:t>1, TEK</w:t>
      </w:r>
      <w:r w:rsidR="00F03057" w:rsidRPr="00D02191">
        <w:rPr>
          <w:rFonts w:ascii="Times New Roman" w:hAnsi="Times New Roman"/>
          <w:sz w:val="24"/>
          <w:szCs w:val="24"/>
        </w:rPr>
        <w:t xml:space="preserve"> (</w:t>
      </w:r>
      <w:r w:rsidR="000678F7" w:rsidRPr="00D02191">
        <w:rPr>
          <w:rFonts w:ascii="Times New Roman" w:hAnsi="Times New Roman"/>
          <w:sz w:val="24"/>
          <w:szCs w:val="24"/>
        </w:rPr>
        <w:t>also known as TIE</w:t>
      </w:r>
      <w:r w:rsidR="00F03057" w:rsidRPr="00D02191">
        <w:rPr>
          <w:rFonts w:ascii="Times New Roman" w:hAnsi="Times New Roman"/>
          <w:sz w:val="24"/>
          <w:szCs w:val="24"/>
        </w:rPr>
        <w:t>2)</w:t>
      </w:r>
      <w:r w:rsidR="009577B0" w:rsidRPr="00D02191">
        <w:rPr>
          <w:rFonts w:ascii="Times New Roman" w:hAnsi="Times New Roman"/>
          <w:sz w:val="24"/>
          <w:szCs w:val="24"/>
        </w:rPr>
        <w:t xml:space="preserve">, and FGF9 were upregulated </w:t>
      </w:r>
      <w:r w:rsidR="005D5294" w:rsidRPr="00D02191">
        <w:rPr>
          <w:rFonts w:ascii="Times New Roman" w:hAnsi="Times New Roman"/>
          <w:sz w:val="24"/>
          <w:szCs w:val="24"/>
        </w:rPr>
        <w:t xml:space="preserve">in </w:t>
      </w:r>
      <w:proofErr w:type="spellStart"/>
      <w:r w:rsidR="005D5294" w:rsidRPr="00D02191">
        <w:rPr>
          <w:rFonts w:ascii="Times New Roman" w:hAnsi="Times New Roman"/>
          <w:sz w:val="24"/>
          <w:szCs w:val="24"/>
        </w:rPr>
        <w:t>hEMSCs</w:t>
      </w:r>
      <w:proofErr w:type="spellEnd"/>
      <w:r w:rsidR="005D5294" w:rsidRPr="00D02191">
        <w:rPr>
          <w:rFonts w:ascii="Times New Roman" w:hAnsi="Times New Roman"/>
          <w:sz w:val="24"/>
          <w:szCs w:val="24"/>
        </w:rPr>
        <w:t>.</w:t>
      </w:r>
      <w:r w:rsidR="0069046B" w:rsidRPr="00D02191">
        <w:rPr>
          <w:rFonts w:ascii="Times New Roman" w:hAnsi="Times New Roman"/>
          <w:sz w:val="24"/>
          <w:szCs w:val="24"/>
        </w:rPr>
        <w:t xml:space="preserve"> </w:t>
      </w:r>
      <w:r w:rsidR="00F03057" w:rsidRPr="00D02191">
        <w:rPr>
          <w:rFonts w:ascii="Times New Roman" w:hAnsi="Times New Roman"/>
          <w:bCs/>
          <w:sz w:val="24"/>
          <w:szCs w:val="24"/>
        </w:rPr>
        <w:t>FGF9: F</w:t>
      </w:r>
      <w:r w:rsidR="008B0388" w:rsidRPr="00D02191">
        <w:rPr>
          <w:rFonts w:ascii="Times New Roman" w:hAnsi="Times New Roman"/>
          <w:bCs/>
          <w:sz w:val="24"/>
          <w:szCs w:val="24"/>
        </w:rPr>
        <w:t>ibroblast growth factor 9; FLT-1:</w:t>
      </w:r>
      <w:r w:rsidR="008B0388" w:rsidRPr="00D02191">
        <w:rPr>
          <w:rFonts w:asciiTheme="minorHAnsi" w:eastAsiaTheme="minorEastAsia" w:cstheme="minorBidi"/>
          <w:kern w:val="24"/>
          <w:sz w:val="28"/>
          <w:szCs w:val="28"/>
        </w:rPr>
        <w:t xml:space="preserve"> </w:t>
      </w:r>
      <w:proofErr w:type="spellStart"/>
      <w:r w:rsidR="008B0388" w:rsidRPr="00D02191">
        <w:rPr>
          <w:rFonts w:ascii="Times New Roman" w:hAnsi="Times New Roman"/>
          <w:bCs/>
          <w:sz w:val="24"/>
          <w:szCs w:val="24"/>
        </w:rPr>
        <w:t>Fms</w:t>
      </w:r>
      <w:proofErr w:type="spellEnd"/>
      <w:r w:rsidR="008B0388" w:rsidRPr="00D02191">
        <w:rPr>
          <w:rFonts w:ascii="Times New Roman" w:hAnsi="Times New Roman"/>
          <w:bCs/>
          <w:sz w:val="24"/>
          <w:szCs w:val="24"/>
        </w:rPr>
        <w:t>-like tyrosine kinase 1;</w:t>
      </w:r>
      <w:r w:rsidR="00F6793A" w:rsidRPr="00D02191">
        <w:rPr>
          <w:rFonts w:ascii="Times New Roman" w:hAnsi="Times New Roman"/>
          <w:bCs/>
          <w:sz w:val="24"/>
          <w:szCs w:val="24"/>
        </w:rPr>
        <w:t xml:space="preserve"> </w:t>
      </w:r>
      <w:r w:rsidR="00F03057" w:rsidRPr="00D02191">
        <w:rPr>
          <w:rFonts w:ascii="Times New Roman" w:hAnsi="Times New Roman"/>
          <w:bCs/>
          <w:sz w:val="24"/>
          <w:szCs w:val="24"/>
        </w:rPr>
        <w:t>PGF: Placental growth factor</w:t>
      </w:r>
      <w:r w:rsidR="00143BE3" w:rsidRPr="00D02191">
        <w:rPr>
          <w:rFonts w:ascii="Times New Roman" w:hAnsi="Times New Roman"/>
          <w:bCs/>
          <w:sz w:val="24"/>
          <w:szCs w:val="24"/>
        </w:rPr>
        <w:t xml:space="preserve">; </w:t>
      </w:r>
      <w:r w:rsidR="008B0388" w:rsidRPr="00D02191">
        <w:rPr>
          <w:rFonts w:ascii="Times New Roman" w:hAnsi="Times New Roman"/>
          <w:sz w:val="24"/>
          <w:szCs w:val="24"/>
        </w:rPr>
        <w:t>ANG4</w:t>
      </w:r>
      <w:r w:rsidR="00F03057" w:rsidRPr="00D02191">
        <w:rPr>
          <w:rFonts w:ascii="Times New Roman" w:hAnsi="Times New Roman"/>
          <w:sz w:val="24"/>
          <w:szCs w:val="24"/>
        </w:rPr>
        <w:t>: A</w:t>
      </w:r>
      <w:r w:rsidR="00143BE3" w:rsidRPr="00D02191">
        <w:rPr>
          <w:rFonts w:ascii="Times New Roman" w:hAnsi="Times New Roman"/>
          <w:sz w:val="24"/>
          <w:szCs w:val="24"/>
        </w:rPr>
        <w:t>ngiopoietin 4.</w:t>
      </w:r>
    </w:p>
    <w:p w:rsidR="009577B0" w:rsidRPr="00D02191" w:rsidRDefault="009577B0" w:rsidP="009577B0">
      <w:pPr>
        <w:rPr>
          <w:rFonts w:ascii="Times New Roman" w:hAnsi="Times New Roman"/>
          <w:sz w:val="24"/>
          <w:szCs w:val="24"/>
        </w:rPr>
      </w:pPr>
    </w:p>
    <w:p w:rsidR="005D5294" w:rsidRPr="00D02191" w:rsidRDefault="005D5294" w:rsidP="009577B0">
      <w:pPr>
        <w:rPr>
          <w:rFonts w:ascii="Times New Roman" w:hAnsi="Times New Roman"/>
          <w:sz w:val="24"/>
          <w:szCs w:val="24"/>
        </w:rPr>
      </w:pPr>
    </w:p>
    <w:p w:rsidR="005D5294" w:rsidRPr="00D02191" w:rsidRDefault="005D5294" w:rsidP="009577B0">
      <w:pPr>
        <w:rPr>
          <w:rFonts w:ascii="Times New Roman" w:hAnsi="Times New Roman"/>
          <w:sz w:val="24"/>
          <w:szCs w:val="24"/>
        </w:rPr>
      </w:pPr>
    </w:p>
    <w:p w:rsidR="00601510" w:rsidRPr="00D02191" w:rsidRDefault="00473DE1" w:rsidP="005D5294">
      <w:pPr>
        <w:jc w:val="center"/>
        <w:rPr>
          <w:rFonts w:ascii="Times New Roman" w:hAnsi="Times New Roman"/>
          <w:b/>
          <w:sz w:val="24"/>
          <w:szCs w:val="24"/>
        </w:rPr>
      </w:pPr>
      <w:r w:rsidRPr="00D02191">
        <w:rPr>
          <w:rFonts w:ascii="Times New Roman" w:hAnsi="Times New Roman"/>
          <w:b/>
          <w:sz w:val="24"/>
          <w:szCs w:val="24"/>
        </w:rPr>
        <w:lastRenderedPageBreak/>
        <w:t>Supplementary Tables</w:t>
      </w:r>
    </w:p>
    <w:p w:rsidR="00601510" w:rsidRPr="00D02191" w:rsidRDefault="00601510" w:rsidP="00601510">
      <w:pPr>
        <w:jc w:val="center"/>
        <w:rPr>
          <w:rFonts w:ascii="Times New Roman" w:hAnsi="Times New Roman"/>
          <w:b/>
          <w:sz w:val="24"/>
          <w:szCs w:val="24"/>
        </w:rPr>
      </w:pPr>
    </w:p>
    <w:p w:rsidR="00E17F6C" w:rsidRPr="00D02191" w:rsidRDefault="00E17F6C" w:rsidP="00601510">
      <w:pPr>
        <w:jc w:val="center"/>
        <w:rPr>
          <w:rFonts w:ascii="Times New Roman" w:hAnsi="Times New Roman"/>
          <w:b/>
          <w:sz w:val="24"/>
          <w:szCs w:val="24"/>
        </w:rPr>
      </w:pPr>
    </w:p>
    <w:p w:rsidR="00E17F6C" w:rsidRPr="00D02191" w:rsidRDefault="00E17F6C" w:rsidP="00601510">
      <w:pPr>
        <w:jc w:val="center"/>
        <w:rPr>
          <w:rFonts w:ascii="Times New Roman" w:hAnsi="Times New Roman"/>
          <w:b/>
          <w:sz w:val="24"/>
          <w:szCs w:val="24"/>
        </w:rPr>
      </w:pPr>
    </w:p>
    <w:p w:rsidR="00601510" w:rsidRPr="00D02191" w:rsidRDefault="00601510" w:rsidP="00473DE1">
      <w:pPr>
        <w:spacing w:after="120"/>
        <w:jc w:val="center"/>
        <w:rPr>
          <w:rFonts w:ascii="Times New Roman" w:hAnsi="Times New Roman"/>
          <w:b/>
          <w:sz w:val="24"/>
          <w:szCs w:val="24"/>
        </w:rPr>
      </w:pPr>
      <w:r w:rsidRPr="00D02191">
        <w:rPr>
          <w:rFonts w:ascii="Times New Roman" w:hAnsi="Times New Roman"/>
          <w:b/>
          <w:sz w:val="24"/>
          <w:szCs w:val="24"/>
        </w:rPr>
        <w:t xml:space="preserve">Table </w:t>
      </w:r>
      <w:r w:rsidR="00D73C3B" w:rsidRPr="00D02191">
        <w:rPr>
          <w:rFonts w:ascii="Times New Roman" w:hAnsi="Times New Roman"/>
          <w:b/>
          <w:sz w:val="24"/>
          <w:szCs w:val="24"/>
        </w:rPr>
        <w:t>S</w:t>
      </w:r>
      <w:r w:rsidRPr="00D02191">
        <w:rPr>
          <w:rFonts w:ascii="Times New Roman" w:hAnsi="Times New Roman"/>
          <w:b/>
          <w:sz w:val="24"/>
          <w:szCs w:val="24"/>
        </w:rPr>
        <w:t>1: Formulation of Differentiation Media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6075"/>
        <w:gridCol w:w="1710"/>
      </w:tblGrid>
      <w:tr w:rsidR="00D02191" w:rsidRPr="00D02191" w:rsidTr="00473DE1">
        <w:tc>
          <w:tcPr>
            <w:tcW w:w="1665" w:type="dxa"/>
            <w:shd w:val="clear" w:color="auto" w:fill="auto"/>
          </w:tcPr>
          <w:p w:rsidR="00B36C08" w:rsidRPr="00D02191" w:rsidRDefault="00B36C08">
            <w:pPr>
              <w:spacing w:after="120"/>
              <w:ind w:right="-334"/>
              <w:jc w:val="center"/>
              <w:rPr>
                <w:rFonts w:ascii="Times New Roman" w:hAnsi="Times New Roman"/>
                <w:b/>
                <w:bCs/>
                <w:sz w:val="24"/>
                <w:szCs w:val="24"/>
              </w:rPr>
            </w:pPr>
            <w:r w:rsidRPr="00D02191">
              <w:rPr>
                <w:rFonts w:ascii="Times New Roman" w:hAnsi="Times New Roman"/>
                <w:b/>
                <w:bCs/>
                <w:sz w:val="24"/>
                <w:szCs w:val="24"/>
              </w:rPr>
              <w:t>Lineage</w:t>
            </w:r>
          </w:p>
        </w:tc>
        <w:tc>
          <w:tcPr>
            <w:tcW w:w="6075" w:type="dxa"/>
            <w:shd w:val="clear" w:color="auto" w:fill="auto"/>
          </w:tcPr>
          <w:p w:rsidR="00B36C08" w:rsidRPr="00D02191" w:rsidRDefault="00B36C08" w:rsidP="00601510">
            <w:pPr>
              <w:spacing w:after="120"/>
              <w:ind w:right="-334"/>
              <w:jc w:val="center"/>
              <w:rPr>
                <w:rFonts w:ascii="Times New Roman" w:hAnsi="Times New Roman"/>
                <w:b/>
                <w:bCs/>
                <w:sz w:val="24"/>
                <w:szCs w:val="24"/>
              </w:rPr>
            </w:pPr>
            <w:r w:rsidRPr="00D02191">
              <w:rPr>
                <w:rFonts w:ascii="Times New Roman" w:hAnsi="Times New Roman"/>
                <w:b/>
                <w:bCs/>
                <w:sz w:val="24"/>
                <w:szCs w:val="24"/>
              </w:rPr>
              <w:t>Differentiation induction media components</w:t>
            </w:r>
          </w:p>
        </w:tc>
        <w:tc>
          <w:tcPr>
            <w:tcW w:w="1710" w:type="dxa"/>
            <w:shd w:val="clear" w:color="auto" w:fill="auto"/>
          </w:tcPr>
          <w:p w:rsidR="00B36C08" w:rsidRPr="00D02191" w:rsidRDefault="00B36C08" w:rsidP="00601510">
            <w:pPr>
              <w:spacing w:after="120"/>
              <w:ind w:right="-334"/>
              <w:jc w:val="center"/>
              <w:rPr>
                <w:rFonts w:ascii="Times New Roman" w:hAnsi="Times New Roman"/>
                <w:b/>
                <w:bCs/>
                <w:sz w:val="24"/>
                <w:szCs w:val="24"/>
              </w:rPr>
            </w:pPr>
            <w:r w:rsidRPr="00D02191">
              <w:rPr>
                <w:rFonts w:ascii="Times New Roman" w:hAnsi="Times New Roman"/>
                <w:b/>
                <w:bCs/>
                <w:sz w:val="24"/>
                <w:szCs w:val="24"/>
              </w:rPr>
              <w:t>Staining</w:t>
            </w:r>
          </w:p>
        </w:tc>
      </w:tr>
      <w:tr w:rsidR="00D02191" w:rsidRPr="00D02191" w:rsidTr="00473DE1">
        <w:trPr>
          <w:trHeight w:val="155"/>
        </w:trPr>
        <w:tc>
          <w:tcPr>
            <w:tcW w:w="1665" w:type="dxa"/>
            <w:shd w:val="clear" w:color="auto" w:fill="auto"/>
          </w:tcPr>
          <w:p w:rsidR="00B36C08" w:rsidRPr="00D02191" w:rsidRDefault="00B36C08">
            <w:pPr>
              <w:spacing w:after="120"/>
              <w:ind w:right="-334"/>
              <w:jc w:val="center"/>
              <w:rPr>
                <w:rFonts w:ascii="Times New Roman" w:hAnsi="Times New Roman"/>
                <w:bCs/>
                <w:sz w:val="24"/>
                <w:szCs w:val="24"/>
              </w:rPr>
            </w:pPr>
            <w:r w:rsidRPr="00D02191">
              <w:rPr>
                <w:rFonts w:ascii="Times New Roman" w:hAnsi="Times New Roman"/>
                <w:bCs/>
                <w:sz w:val="24"/>
                <w:szCs w:val="24"/>
              </w:rPr>
              <w:t>Osteogenic</w:t>
            </w:r>
          </w:p>
        </w:tc>
        <w:tc>
          <w:tcPr>
            <w:tcW w:w="6075" w:type="dxa"/>
            <w:shd w:val="clear" w:color="auto" w:fill="auto"/>
          </w:tcPr>
          <w:p w:rsidR="00B36C08" w:rsidRPr="00D02191" w:rsidRDefault="00B36C08" w:rsidP="00601510">
            <w:pPr>
              <w:spacing w:after="120"/>
              <w:ind w:right="-334"/>
              <w:jc w:val="center"/>
              <w:rPr>
                <w:rFonts w:ascii="Times New Roman" w:hAnsi="Times New Roman"/>
                <w:bCs/>
                <w:sz w:val="24"/>
                <w:szCs w:val="24"/>
              </w:rPr>
            </w:pPr>
            <w:r w:rsidRPr="00D02191">
              <w:rPr>
                <w:rFonts w:ascii="Times New Roman" w:hAnsi="Times New Roman"/>
                <w:bCs/>
                <w:sz w:val="24"/>
                <w:szCs w:val="24"/>
              </w:rPr>
              <w:t>Osteogenesis Differentiation Kit (</w:t>
            </w:r>
            <w:proofErr w:type="spellStart"/>
            <w:r w:rsidRPr="00D02191">
              <w:rPr>
                <w:rFonts w:ascii="Times New Roman" w:hAnsi="Times New Roman"/>
                <w:bCs/>
                <w:sz w:val="24"/>
                <w:szCs w:val="24"/>
              </w:rPr>
              <w:t>Gibco</w:t>
            </w:r>
            <w:proofErr w:type="spellEnd"/>
            <w:r w:rsidRPr="00D02191">
              <w:rPr>
                <w:rFonts w:ascii="Times New Roman" w:hAnsi="Times New Roman"/>
                <w:bCs/>
                <w:sz w:val="24"/>
                <w:szCs w:val="24"/>
              </w:rPr>
              <w:t>, Cat#: A1007201)</w:t>
            </w:r>
          </w:p>
        </w:tc>
        <w:tc>
          <w:tcPr>
            <w:tcW w:w="1710" w:type="dxa"/>
            <w:shd w:val="clear" w:color="auto" w:fill="auto"/>
          </w:tcPr>
          <w:p w:rsidR="00B36C08" w:rsidRPr="00D02191" w:rsidRDefault="00B36C08" w:rsidP="00601510">
            <w:pPr>
              <w:spacing w:after="120"/>
              <w:ind w:right="-334"/>
              <w:jc w:val="center"/>
              <w:rPr>
                <w:rFonts w:ascii="Times New Roman" w:hAnsi="Times New Roman"/>
                <w:bCs/>
                <w:sz w:val="24"/>
                <w:szCs w:val="24"/>
              </w:rPr>
            </w:pPr>
            <w:r w:rsidRPr="00D02191">
              <w:rPr>
                <w:rFonts w:ascii="Times New Roman" w:hAnsi="Times New Roman"/>
                <w:bCs/>
                <w:sz w:val="24"/>
                <w:szCs w:val="24"/>
              </w:rPr>
              <w:t>alizarin red</w:t>
            </w:r>
          </w:p>
        </w:tc>
      </w:tr>
      <w:tr w:rsidR="00D02191" w:rsidRPr="00D02191" w:rsidTr="00473DE1">
        <w:trPr>
          <w:trHeight w:val="155"/>
        </w:trPr>
        <w:tc>
          <w:tcPr>
            <w:tcW w:w="1665" w:type="dxa"/>
            <w:vMerge w:val="restart"/>
            <w:shd w:val="clear" w:color="auto" w:fill="auto"/>
          </w:tcPr>
          <w:p w:rsidR="00B36C08" w:rsidRPr="00D02191" w:rsidRDefault="00B36C08">
            <w:pPr>
              <w:spacing w:after="120"/>
              <w:ind w:right="-334"/>
              <w:jc w:val="center"/>
              <w:rPr>
                <w:rFonts w:ascii="Times New Roman" w:hAnsi="Times New Roman"/>
                <w:bCs/>
                <w:sz w:val="24"/>
                <w:szCs w:val="24"/>
              </w:rPr>
            </w:pPr>
            <w:proofErr w:type="spellStart"/>
            <w:r w:rsidRPr="00D02191">
              <w:rPr>
                <w:rFonts w:ascii="Times New Roman" w:hAnsi="Times New Roman"/>
                <w:bCs/>
                <w:sz w:val="24"/>
                <w:szCs w:val="24"/>
              </w:rPr>
              <w:t>Adipogenic</w:t>
            </w:r>
            <w:proofErr w:type="spellEnd"/>
          </w:p>
        </w:tc>
        <w:tc>
          <w:tcPr>
            <w:tcW w:w="6075" w:type="dxa"/>
            <w:shd w:val="clear" w:color="auto" w:fill="auto"/>
          </w:tcPr>
          <w:p w:rsidR="00B36C08" w:rsidRPr="00D02191" w:rsidRDefault="00B36C08" w:rsidP="00601510">
            <w:pPr>
              <w:spacing w:after="120"/>
              <w:ind w:right="-334"/>
              <w:jc w:val="center"/>
              <w:rPr>
                <w:rFonts w:ascii="Times New Roman" w:hAnsi="Times New Roman"/>
                <w:bCs/>
                <w:sz w:val="24"/>
                <w:szCs w:val="24"/>
              </w:rPr>
            </w:pPr>
            <w:r w:rsidRPr="00D02191">
              <w:rPr>
                <w:rFonts w:ascii="Times New Roman" w:hAnsi="Times New Roman"/>
                <w:bCs/>
                <w:sz w:val="24"/>
                <w:szCs w:val="24"/>
              </w:rPr>
              <w:t>Isobutyl-</w:t>
            </w:r>
            <w:proofErr w:type="spellStart"/>
            <w:r w:rsidRPr="00D02191">
              <w:rPr>
                <w:rFonts w:ascii="Times New Roman" w:hAnsi="Times New Roman"/>
                <w:bCs/>
                <w:sz w:val="24"/>
                <w:szCs w:val="24"/>
              </w:rPr>
              <w:t>methylxanthine</w:t>
            </w:r>
            <w:proofErr w:type="spellEnd"/>
            <w:r w:rsidRPr="00D02191">
              <w:rPr>
                <w:rFonts w:ascii="Times New Roman" w:hAnsi="Times New Roman"/>
                <w:bCs/>
                <w:sz w:val="24"/>
                <w:szCs w:val="24"/>
              </w:rPr>
              <w:t xml:space="preserve"> (500 µM, Sigma, Cat#: 17018)</w:t>
            </w:r>
          </w:p>
        </w:tc>
        <w:tc>
          <w:tcPr>
            <w:tcW w:w="1710" w:type="dxa"/>
            <w:vMerge w:val="restart"/>
            <w:shd w:val="clear" w:color="auto" w:fill="auto"/>
          </w:tcPr>
          <w:p w:rsidR="00B36C08" w:rsidRPr="00D02191" w:rsidRDefault="00B36C08" w:rsidP="00601510">
            <w:pPr>
              <w:spacing w:after="120"/>
              <w:ind w:right="-334"/>
              <w:jc w:val="center"/>
              <w:rPr>
                <w:rFonts w:ascii="Times New Roman" w:hAnsi="Times New Roman"/>
                <w:bCs/>
                <w:sz w:val="24"/>
                <w:szCs w:val="24"/>
              </w:rPr>
            </w:pPr>
            <w:r w:rsidRPr="00D02191">
              <w:rPr>
                <w:rFonts w:ascii="Times New Roman" w:hAnsi="Times New Roman"/>
                <w:bCs/>
                <w:sz w:val="24"/>
                <w:szCs w:val="24"/>
              </w:rPr>
              <w:t>oil red</w:t>
            </w:r>
          </w:p>
        </w:tc>
      </w:tr>
      <w:tr w:rsidR="00D02191" w:rsidRPr="00D02191" w:rsidTr="00473DE1">
        <w:trPr>
          <w:trHeight w:val="155"/>
        </w:trPr>
        <w:tc>
          <w:tcPr>
            <w:tcW w:w="1665" w:type="dxa"/>
            <w:vMerge/>
            <w:shd w:val="clear" w:color="auto" w:fill="auto"/>
          </w:tcPr>
          <w:p w:rsidR="00B36C08" w:rsidRPr="00D02191" w:rsidRDefault="00B36C08" w:rsidP="00601510">
            <w:pPr>
              <w:spacing w:after="120"/>
              <w:ind w:right="-334"/>
              <w:jc w:val="center"/>
              <w:rPr>
                <w:rFonts w:ascii="Times New Roman" w:hAnsi="Times New Roman"/>
                <w:bCs/>
                <w:sz w:val="24"/>
                <w:szCs w:val="24"/>
              </w:rPr>
            </w:pPr>
          </w:p>
        </w:tc>
        <w:tc>
          <w:tcPr>
            <w:tcW w:w="6075" w:type="dxa"/>
            <w:shd w:val="clear" w:color="auto" w:fill="auto"/>
          </w:tcPr>
          <w:p w:rsidR="00B36C08" w:rsidRPr="00D02191" w:rsidRDefault="00B36C08" w:rsidP="00601510">
            <w:pPr>
              <w:spacing w:after="120"/>
              <w:ind w:right="-334"/>
              <w:jc w:val="center"/>
              <w:rPr>
                <w:rFonts w:ascii="Times New Roman" w:hAnsi="Times New Roman"/>
                <w:bCs/>
                <w:sz w:val="24"/>
                <w:szCs w:val="24"/>
              </w:rPr>
            </w:pPr>
            <w:r w:rsidRPr="00D02191">
              <w:rPr>
                <w:rFonts w:ascii="Times New Roman" w:hAnsi="Times New Roman"/>
                <w:bCs/>
                <w:sz w:val="24"/>
                <w:szCs w:val="24"/>
              </w:rPr>
              <w:t>Rosiglitazone (1 µM, Sigma, Cat#: R2408)</w:t>
            </w:r>
          </w:p>
        </w:tc>
        <w:tc>
          <w:tcPr>
            <w:tcW w:w="1710" w:type="dxa"/>
            <w:vMerge/>
            <w:shd w:val="clear" w:color="auto" w:fill="auto"/>
          </w:tcPr>
          <w:p w:rsidR="00B36C08" w:rsidRPr="00D02191" w:rsidRDefault="00B36C08" w:rsidP="00601510">
            <w:pPr>
              <w:spacing w:after="120"/>
              <w:ind w:right="-334"/>
              <w:jc w:val="center"/>
              <w:rPr>
                <w:rFonts w:ascii="Times New Roman" w:hAnsi="Times New Roman"/>
                <w:bCs/>
                <w:sz w:val="24"/>
                <w:szCs w:val="24"/>
              </w:rPr>
            </w:pPr>
          </w:p>
        </w:tc>
      </w:tr>
      <w:tr w:rsidR="00D02191" w:rsidRPr="00D02191" w:rsidTr="00473DE1">
        <w:trPr>
          <w:trHeight w:val="155"/>
        </w:trPr>
        <w:tc>
          <w:tcPr>
            <w:tcW w:w="1665" w:type="dxa"/>
            <w:vMerge/>
            <w:shd w:val="clear" w:color="auto" w:fill="auto"/>
          </w:tcPr>
          <w:p w:rsidR="00B36C08" w:rsidRPr="00D02191" w:rsidRDefault="00B36C08" w:rsidP="00601510">
            <w:pPr>
              <w:spacing w:after="120"/>
              <w:ind w:right="-334"/>
              <w:jc w:val="center"/>
              <w:rPr>
                <w:rFonts w:ascii="Times New Roman" w:hAnsi="Times New Roman"/>
                <w:bCs/>
                <w:sz w:val="24"/>
                <w:szCs w:val="24"/>
              </w:rPr>
            </w:pPr>
          </w:p>
        </w:tc>
        <w:tc>
          <w:tcPr>
            <w:tcW w:w="6075" w:type="dxa"/>
            <w:shd w:val="clear" w:color="auto" w:fill="auto"/>
          </w:tcPr>
          <w:p w:rsidR="00B36C08" w:rsidRPr="00D02191" w:rsidRDefault="00B36C08" w:rsidP="00601510">
            <w:pPr>
              <w:spacing w:after="120"/>
              <w:ind w:right="-334"/>
              <w:jc w:val="center"/>
              <w:rPr>
                <w:rFonts w:ascii="Times New Roman" w:hAnsi="Times New Roman"/>
                <w:bCs/>
                <w:sz w:val="24"/>
                <w:szCs w:val="24"/>
              </w:rPr>
            </w:pPr>
            <w:r w:rsidRPr="00D02191">
              <w:rPr>
                <w:rFonts w:ascii="Times New Roman" w:hAnsi="Times New Roman"/>
                <w:bCs/>
                <w:sz w:val="24"/>
                <w:szCs w:val="24"/>
              </w:rPr>
              <w:t>Dexamethasone (1 µM, Sigma, Cat#: D4902)</w:t>
            </w:r>
          </w:p>
        </w:tc>
        <w:tc>
          <w:tcPr>
            <w:tcW w:w="1710" w:type="dxa"/>
            <w:vMerge/>
            <w:shd w:val="clear" w:color="auto" w:fill="auto"/>
          </w:tcPr>
          <w:p w:rsidR="00B36C08" w:rsidRPr="00D02191" w:rsidRDefault="00B36C08" w:rsidP="00601510">
            <w:pPr>
              <w:spacing w:after="120"/>
              <w:ind w:right="-334"/>
              <w:jc w:val="center"/>
              <w:rPr>
                <w:rFonts w:ascii="Times New Roman" w:hAnsi="Times New Roman"/>
                <w:bCs/>
                <w:sz w:val="24"/>
                <w:szCs w:val="24"/>
              </w:rPr>
            </w:pPr>
          </w:p>
        </w:tc>
      </w:tr>
      <w:tr w:rsidR="00D02191" w:rsidRPr="00D02191" w:rsidTr="00473DE1">
        <w:trPr>
          <w:trHeight w:val="155"/>
        </w:trPr>
        <w:tc>
          <w:tcPr>
            <w:tcW w:w="1665" w:type="dxa"/>
            <w:vMerge/>
            <w:shd w:val="clear" w:color="auto" w:fill="auto"/>
          </w:tcPr>
          <w:p w:rsidR="00B36C08" w:rsidRPr="00D02191" w:rsidRDefault="00B36C08" w:rsidP="00601510">
            <w:pPr>
              <w:spacing w:after="120"/>
              <w:ind w:right="-334"/>
              <w:jc w:val="center"/>
              <w:rPr>
                <w:rFonts w:ascii="Times New Roman" w:hAnsi="Times New Roman"/>
                <w:bCs/>
                <w:sz w:val="24"/>
                <w:szCs w:val="24"/>
              </w:rPr>
            </w:pPr>
          </w:p>
        </w:tc>
        <w:tc>
          <w:tcPr>
            <w:tcW w:w="6075" w:type="dxa"/>
            <w:shd w:val="clear" w:color="auto" w:fill="auto"/>
          </w:tcPr>
          <w:p w:rsidR="00B36C08" w:rsidRPr="00D02191" w:rsidRDefault="00B36C08" w:rsidP="00601510">
            <w:pPr>
              <w:spacing w:after="120"/>
              <w:ind w:right="-334"/>
              <w:jc w:val="center"/>
              <w:rPr>
                <w:rFonts w:ascii="Times New Roman" w:hAnsi="Times New Roman"/>
                <w:bCs/>
                <w:sz w:val="24"/>
                <w:szCs w:val="24"/>
              </w:rPr>
            </w:pPr>
            <w:proofErr w:type="spellStart"/>
            <w:r w:rsidRPr="00D02191">
              <w:rPr>
                <w:rFonts w:ascii="Times New Roman" w:hAnsi="Times New Roman"/>
                <w:bCs/>
                <w:sz w:val="24"/>
                <w:szCs w:val="24"/>
              </w:rPr>
              <w:t>Novolin</w:t>
            </w:r>
            <w:proofErr w:type="spellEnd"/>
            <w:r w:rsidRPr="00D02191">
              <w:rPr>
                <w:rFonts w:ascii="Times New Roman" w:hAnsi="Times New Roman"/>
                <w:bCs/>
                <w:sz w:val="24"/>
                <w:szCs w:val="24"/>
              </w:rPr>
              <w:t xml:space="preserve"> R (10 µg/ml, Novo </w:t>
            </w:r>
            <w:proofErr w:type="spellStart"/>
            <w:r w:rsidRPr="00D02191">
              <w:rPr>
                <w:rFonts w:ascii="Times New Roman" w:hAnsi="Times New Roman"/>
                <w:bCs/>
                <w:sz w:val="24"/>
                <w:szCs w:val="24"/>
              </w:rPr>
              <w:t>nordisk</w:t>
            </w:r>
            <w:proofErr w:type="spellEnd"/>
            <w:r w:rsidRPr="00D02191">
              <w:rPr>
                <w:rFonts w:ascii="Times New Roman" w:hAnsi="Times New Roman"/>
                <w:bCs/>
                <w:sz w:val="24"/>
                <w:szCs w:val="24"/>
              </w:rPr>
              <w:t>)</w:t>
            </w:r>
          </w:p>
        </w:tc>
        <w:tc>
          <w:tcPr>
            <w:tcW w:w="1710" w:type="dxa"/>
            <w:vMerge/>
            <w:shd w:val="clear" w:color="auto" w:fill="auto"/>
          </w:tcPr>
          <w:p w:rsidR="00B36C08" w:rsidRPr="00D02191" w:rsidRDefault="00B36C08" w:rsidP="00601510">
            <w:pPr>
              <w:spacing w:after="120"/>
              <w:ind w:right="-334"/>
              <w:jc w:val="center"/>
              <w:rPr>
                <w:rFonts w:ascii="Times New Roman" w:hAnsi="Times New Roman"/>
                <w:bCs/>
                <w:sz w:val="24"/>
                <w:szCs w:val="24"/>
              </w:rPr>
            </w:pPr>
          </w:p>
        </w:tc>
      </w:tr>
    </w:tbl>
    <w:p w:rsidR="00E17F6C" w:rsidRPr="00D02191" w:rsidRDefault="00E17F6C" w:rsidP="00473DE1">
      <w:pPr>
        <w:spacing w:after="120" w:line="480" w:lineRule="auto"/>
        <w:ind w:right="-331"/>
        <w:jc w:val="center"/>
        <w:rPr>
          <w:rFonts w:ascii="Times New Roman" w:hAnsi="Times New Roman"/>
          <w:bCs/>
          <w:sz w:val="22"/>
        </w:rPr>
      </w:pPr>
    </w:p>
    <w:p w:rsidR="00B36C08" w:rsidRPr="00D02191" w:rsidRDefault="00B36C08" w:rsidP="00473DE1">
      <w:pPr>
        <w:spacing w:after="120"/>
        <w:ind w:right="-331"/>
        <w:jc w:val="center"/>
        <w:rPr>
          <w:rFonts w:ascii="Times New Roman" w:hAnsi="Times New Roman"/>
          <w:b/>
          <w:bCs/>
          <w:sz w:val="24"/>
          <w:szCs w:val="24"/>
        </w:rPr>
      </w:pPr>
      <w:r w:rsidRPr="00D02191">
        <w:rPr>
          <w:rFonts w:ascii="Times New Roman" w:hAnsi="Times New Roman"/>
          <w:b/>
          <w:bCs/>
          <w:sz w:val="24"/>
          <w:szCs w:val="24"/>
        </w:rPr>
        <w:t xml:space="preserve">Table </w:t>
      </w:r>
      <w:r w:rsidR="00D73C3B" w:rsidRPr="00D02191">
        <w:rPr>
          <w:rFonts w:ascii="Times New Roman" w:hAnsi="Times New Roman"/>
          <w:b/>
          <w:bCs/>
          <w:sz w:val="24"/>
          <w:szCs w:val="24"/>
        </w:rPr>
        <w:t>S</w:t>
      </w:r>
      <w:r w:rsidRPr="00D02191">
        <w:rPr>
          <w:rFonts w:ascii="Times New Roman" w:hAnsi="Times New Roman"/>
          <w:b/>
          <w:bCs/>
          <w:sz w:val="24"/>
          <w:szCs w:val="24"/>
        </w:rPr>
        <w:t>2: Real-time qPCR primer sets</w:t>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960"/>
        <w:gridCol w:w="4050"/>
        <w:gridCol w:w="1170"/>
      </w:tblGrid>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
                <w:bCs/>
                <w:sz w:val="24"/>
                <w:szCs w:val="24"/>
              </w:rPr>
            </w:pPr>
            <w:r w:rsidRPr="00D02191">
              <w:rPr>
                <w:rFonts w:ascii="Times New Roman" w:hAnsi="Times New Roman"/>
                <w:b/>
                <w:bCs/>
                <w:sz w:val="24"/>
                <w:szCs w:val="24"/>
              </w:rPr>
              <w:t>Gene</w:t>
            </w:r>
          </w:p>
        </w:tc>
        <w:tc>
          <w:tcPr>
            <w:tcW w:w="3960" w:type="dxa"/>
            <w:shd w:val="clear" w:color="auto" w:fill="auto"/>
          </w:tcPr>
          <w:p w:rsidR="00B36C08" w:rsidRPr="00D02191" w:rsidRDefault="00B36C08" w:rsidP="00473DE1">
            <w:pPr>
              <w:spacing w:after="120"/>
              <w:ind w:right="-331"/>
              <w:jc w:val="center"/>
              <w:rPr>
                <w:rFonts w:ascii="Times New Roman" w:hAnsi="Times New Roman"/>
                <w:b/>
                <w:bCs/>
                <w:sz w:val="24"/>
                <w:szCs w:val="24"/>
              </w:rPr>
            </w:pPr>
            <w:r w:rsidRPr="00D02191">
              <w:rPr>
                <w:rFonts w:ascii="Times New Roman" w:hAnsi="Times New Roman"/>
                <w:b/>
                <w:bCs/>
                <w:sz w:val="24"/>
                <w:szCs w:val="24"/>
              </w:rPr>
              <w:t>Forward</w:t>
            </w:r>
          </w:p>
        </w:tc>
        <w:tc>
          <w:tcPr>
            <w:tcW w:w="4050" w:type="dxa"/>
            <w:shd w:val="clear" w:color="auto" w:fill="auto"/>
          </w:tcPr>
          <w:p w:rsidR="00B36C08" w:rsidRPr="00D02191" w:rsidRDefault="00B36C08" w:rsidP="00473DE1">
            <w:pPr>
              <w:spacing w:after="120"/>
              <w:ind w:right="-331"/>
              <w:jc w:val="center"/>
              <w:rPr>
                <w:rFonts w:ascii="Times New Roman" w:hAnsi="Times New Roman"/>
                <w:b/>
                <w:bCs/>
                <w:sz w:val="24"/>
                <w:szCs w:val="24"/>
              </w:rPr>
            </w:pPr>
            <w:r w:rsidRPr="00D02191">
              <w:rPr>
                <w:rFonts w:ascii="Times New Roman" w:hAnsi="Times New Roman"/>
                <w:b/>
                <w:bCs/>
                <w:sz w:val="24"/>
                <w:szCs w:val="24"/>
              </w:rPr>
              <w:t>Reverse</w:t>
            </w:r>
          </w:p>
        </w:tc>
        <w:tc>
          <w:tcPr>
            <w:tcW w:w="1170" w:type="dxa"/>
            <w:shd w:val="clear" w:color="auto" w:fill="auto"/>
          </w:tcPr>
          <w:p w:rsidR="00B36C08" w:rsidRPr="00D02191" w:rsidRDefault="00B36C08" w:rsidP="00473DE1">
            <w:pPr>
              <w:spacing w:after="120"/>
              <w:ind w:right="-331"/>
              <w:jc w:val="left"/>
              <w:rPr>
                <w:rFonts w:ascii="Times New Roman" w:hAnsi="Times New Roman"/>
                <w:b/>
                <w:bCs/>
                <w:sz w:val="24"/>
                <w:szCs w:val="24"/>
              </w:rPr>
            </w:pPr>
            <w:r w:rsidRPr="00D02191">
              <w:rPr>
                <w:rFonts w:ascii="Times New Roman" w:hAnsi="Times New Roman"/>
                <w:b/>
                <w:bCs/>
                <w:sz w:val="24"/>
                <w:szCs w:val="24"/>
              </w:rPr>
              <w:t>species</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VEGFA</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CAAACCTCACCAAAGCCAGC</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ACGCGAGTCTGTGTTTTTGC</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Rat</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ANG1</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TGGGCAATGTGCCTACACTT</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TGTATCTGGGCCATCTCCGA</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Rat</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ANG2</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CCCCTACATGTCTAACGCCG</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CATCACAGCCGTCTGGTTCT</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Rat</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GAPDH</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GGCTCATGACCACAGTCCAT</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ACATTGGGGGTAGGAACACG</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Rat</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VEGFA</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AGGGCAGAATCATCACGAAGT</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AGGGTCTCGATTGGATGGCA</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Human</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ANG1</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GCAGCAGATAGGGTAGAGGA</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TGTTTCCTCTCTGTGTGACCG</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Human</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ANG2</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CTCGAATACGATGACTCGGTG</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TCATTAGCCACTGAGTGTTGTTT</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Human</w:t>
            </w:r>
          </w:p>
        </w:tc>
      </w:tr>
      <w:tr w:rsidR="00D02191" w:rsidRPr="00D02191" w:rsidTr="00473DE1">
        <w:tc>
          <w:tcPr>
            <w:tcW w:w="13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GAPDH</w:t>
            </w:r>
          </w:p>
        </w:tc>
        <w:tc>
          <w:tcPr>
            <w:tcW w:w="396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GGAGCGAGATCCCTCCAAAAT</w:t>
            </w:r>
          </w:p>
        </w:tc>
        <w:tc>
          <w:tcPr>
            <w:tcW w:w="4050" w:type="dxa"/>
            <w:shd w:val="clear" w:color="auto" w:fill="auto"/>
          </w:tcPr>
          <w:p w:rsidR="00B36C08" w:rsidRPr="00D02191" w:rsidRDefault="00B36C08" w:rsidP="00473DE1">
            <w:pPr>
              <w:spacing w:after="120"/>
              <w:ind w:right="-331"/>
              <w:jc w:val="center"/>
              <w:rPr>
                <w:rFonts w:ascii="Times New Roman" w:hAnsi="Times New Roman"/>
                <w:bCs/>
                <w:sz w:val="24"/>
                <w:szCs w:val="24"/>
              </w:rPr>
            </w:pPr>
            <w:r w:rsidRPr="00D02191">
              <w:rPr>
                <w:rFonts w:ascii="Times New Roman" w:hAnsi="Times New Roman"/>
                <w:bCs/>
                <w:sz w:val="24"/>
                <w:szCs w:val="24"/>
              </w:rPr>
              <w:t>GGCTGTTGTCATACTTCTCATGG</w:t>
            </w:r>
          </w:p>
        </w:tc>
        <w:tc>
          <w:tcPr>
            <w:tcW w:w="1170" w:type="dxa"/>
            <w:shd w:val="clear" w:color="auto" w:fill="auto"/>
          </w:tcPr>
          <w:p w:rsidR="00B36C08" w:rsidRPr="00D02191" w:rsidRDefault="00B36C08" w:rsidP="00473DE1">
            <w:pPr>
              <w:spacing w:after="120"/>
              <w:ind w:right="-331"/>
              <w:jc w:val="left"/>
              <w:rPr>
                <w:rFonts w:ascii="Times New Roman" w:hAnsi="Times New Roman"/>
                <w:bCs/>
                <w:sz w:val="24"/>
                <w:szCs w:val="24"/>
              </w:rPr>
            </w:pPr>
            <w:r w:rsidRPr="00D02191">
              <w:rPr>
                <w:rFonts w:ascii="Times New Roman" w:hAnsi="Times New Roman"/>
                <w:bCs/>
                <w:sz w:val="24"/>
                <w:szCs w:val="24"/>
              </w:rPr>
              <w:t>Human</w:t>
            </w:r>
          </w:p>
        </w:tc>
      </w:tr>
    </w:tbl>
    <w:p w:rsidR="00B36C08" w:rsidRPr="00D02191" w:rsidRDefault="00B36C08" w:rsidP="00E17F6C">
      <w:pPr>
        <w:spacing w:after="120"/>
        <w:ind w:left="-900" w:right="-331"/>
        <w:jc w:val="left"/>
        <w:rPr>
          <w:rFonts w:ascii="Times New Roman" w:hAnsi="Times New Roman"/>
          <w:sz w:val="24"/>
          <w:szCs w:val="24"/>
        </w:rPr>
      </w:pPr>
      <w:r w:rsidRPr="00D02191">
        <w:rPr>
          <w:rFonts w:ascii="Times New Roman" w:hAnsi="Times New Roman"/>
          <w:sz w:val="24"/>
          <w:szCs w:val="24"/>
        </w:rPr>
        <w:t>ANG1: angiopoietin 1; ANG2: angiopoietin 2; GAPDH: glyceraldehyde 3-phosphate dehydrogenase</w:t>
      </w:r>
    </w:p>
    <w:p w:rsidR="00B36C08" w:rsidRPr="00D02191" w:rsidRDefault="00B36C08" w:rsidP="00473DE1">
      <w:pPr>
        <w:spacing w:after="120"/>
        <w:ind w:right="-331"/>
        <w:jc w:val="center"/>
        <w:rPr>
          <w:rFonts w:ascii="Times New Roman" w:hAnsi="Times New Roman"/>
          <w:sz w:val="24"/>
          <w:szCs w:val="24"/>
        </w:rPr>
      </w:pPr>
    </w:p>
    <w:p w:rsidR="00B36C08" w:rsidRPr="00D02191" w:rsidRDefault="00B36C08" w:rsidP="00601510">
      <w:pPr>
        <w:ind w:right="-334"/>
        <w:jc w:val="center"/>
        <w:rPr>
          <w:rFonts w:ascii="Times New Roman" w:hAnsi="Times New Roman"/>
          <w:sz w:val="24"/>
          <w:szCs w:val="24"/>
        </w:rPr>
      </w:pPr>
    </w:p>
    <w:p w:rsidR="00B36C08" w:rsidRPr="00D02191" w:rsidRDefault="00B36C08"/>
    <w:p w:rsidR="00B36C08" w:rsidRPr="00D02191" w:rsidRDefault="00B36C08"/>
    <w:sectPr w:rsidR="00B36C08" w:rsidRPr="00D0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EC"/>
    <w:rsid w:val="00010FA2"/>
    <w:rsid w:val="000147EC"/>
    <w:rsid w:val="0001586C"/>
    <w:rsid w:val="00054792"/>
    <w:rsid w:val="000678F7"/>
    <w:rsid w:val="00143BE3"/>
    <w:rsid w:val="00163197"/>
    <w:rsid w:val="00183459"/>
    <w:rsid w:val="00271683"/>
    <w:rsid w:val="00284E0A"/>
    <w:rsid w:val="0033571C"/>
    <w:rsid w:val="00447D37"/>
    <w:rsid w:val="00473DE1"/>
    <w:rsid w:val="004C46A0"/>
    <w:rsid w:val="004D089E"/>
    <w:rsid w:val="004E21BB"/>
    <w:rsid w:val="00576475"/>
    <w:rsid w:val="005D5294"/>
    <w:rsid w:val="00601510"/>
    <w:rsid w:val="0069046B"/>
    <w:rsid w:val="008B0388"/>
    <w:rsid w:val="008C2858"/>
    <w:rsid w:val="00910609"/>
    <w:rsid w:val="009577B0"/>
    <w:rsid w:val="00986078"/>
    <w:rsid w:val="009E58E9"/>
    <w:rsid w:val="00A42266"/>
    <w:rsid w:val="00AB5054"/>
    <w:rsid w:val="00AE5B89"/>
    <w:rsid w:val="00AF0795"/>
    <w:rsid w:val="00B07497"/>
    <w:rsid w:val="00B36C08"/>
    <w:rsid w:val="00D02191"/>
    <w:rsid w:val="00D73C3B"/>
    <w:rsid w:val="00DD6977"/>
    <w:rsid w:val="00DE29EE"/>
    <w:rsid w:val="00E17F6C"/>
    <w:rsid w:val="00EE4EE8"/>
    <w:rsid w:val="00F03057"/>
    <w:rsid w:val="00F45FB7"/>
    <w:rsid w:val="00F50328"/>
    <w:rsid w:val="00F6793A"/>
    <w:rsid w:val="00FE3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EC"/>
    <w:pPr>
      <w:widowControl w:val="0"/>
      <w:spacing w:after="0" w:line="240" w:lineRule="auto"/>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36C08"/>
    <w:rPr>
      <w:sz w:val="16"/>
      <w:szCs w:val="16"/>
    </w:rPr>
  </w:style>
  <w:style w:type="paragraph" w:styleId="CommentText">
    <w:name w:val="annotation text"/>
    <w:basedOn w:val="Normal"/>
    <w:link w:val="CommentTextChar"/>
    <w:uiPriority w:val="99"/>
    <w:semiHidden/>
    <w:unhideWhenUsed/>
    <w:rsid w:val="00B36C08"/>
    <w:rPr>
      <w:sz w:val="20"/>
      <w:szCs w:val="20"/>
    </w:rPr>
  </w:style>
  <w:style w:type="character" w:customStyle="1" w:styleId="CommentTextChar">
    <w:name w:val="Comment Text Char"/>
    <w:basedOn w:val="DefaultParagraphFont"/>
    <w:link w:val="CommentText"/>
    <w:uiPriority w:val="99"/>
    <w:semiHidden/>
    <w:rsid w:val="00B36C08"/>
    <w:rPr>
      <w:rFonts w:ascii="Calibri" w:eastAsia="SimSun" w:hAnsi="Calibri" w:cs="Times New Roman"/>
      <w:kern w:val="2"/>
      <w:sz w:val="20"/>
      <w:szCs w:val="20"/>
    </w:rPr>
  </w:style>
  <w:style w:type="paragraph" w:styleId="BalloonText">
    <w:name w:val="Balloon Text"/>
    <w:basedOn w:val="Normal"/>
    <w:link w:val="BalloonTextChar"/>
    <w:uiPriority w:val="99"/>
    <w:semiHidden/>
    <w:unhideWhenUsed/>
    <w:rsid w:val="00B36C08"/>
    <w:rPr>
      <w:rFonts w:ascii="Tahoma" w:hAnsi="Tahoma" w:cs="Tahoma"/>
      <w:sz w:val="16"/>
      <w:szCs w:val="16"/>
    </w:rPr>
  </w:style>
  <w:style w:type="character" w:customStyle="1" w:styleId="BalloonTextChar">
    <w:name w:val="Balloon Text Char"/>
    <w:basedOn w:val="DefaultParagraphFont"/>
    <w:link w:val="BalloonText"/>
    <w:uiPriority w:val="99"/>
    <w:semiHidden/>
    <w:rsid w:val="00B36C08"/>
    <w:rPr>
      <w:rFonts w:ascii="Tahoma" w:eastAsia="SimSun" w:hAnsi="Tahoma" w:cs="Tahoma"/>
      <w:kern w:val="2"/>
      <w:sz w:val="16"/>
      <w:szCs w:val="16"/>
    </w:rPr>
  </w:style>
  <w:style w:type="paragraph" w:styleId="NormalWeb">
    <w:name w:val="Normal (Web)"/>
    <w:basedOn w:val="Normal"/>
    <w:uiPriority w:val="99"/>
    <w:semiHidden/>
    <w:unhideWhenUsed/>
    <w:rsid w:val="00F6793A"/>
    <w:pPr>
      <w:widowControl/>
      <w:spacing w:before="100" w:beforeAutospacing="1" w:after="100" w:afterAutospacing="1"/>
      <w:jc w:val="left"/>
    </w:pPr>
    <w:rPr>
      <w:rFonts w:ascii="Times New Roman" w:eastAsia="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EC"/>
    <w:pPr>
      <w:widowControl w:val="0"/>
      <w:spacing w:after="0" w:line="240" w:lineRule="auto"/>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36C08"/>
    <w:rPr>
      <w:sz w:val="16"/>
      <w:szCs w:val="16"/>
    </w:rPr>
  </w:style>
  <w:style w:type="paragraph" w:styleId="CommentText">
    <w:name w:val="annotation text"/>
    <w:basedOn w:val="Normal"/>
    <w:link w:val="CommentTextChar"/>
    <w:uiPriority w:val="99"/>
    <w:semiHidden/>
    <w:unhideWhenUsed/>
    <w:rsid w:val="00B36C08"/>
    <w:rPr>
      <w:sz w:val="20"/>
      <w:szCs w:val="20"/>
    </w:rPr>
  </w:style>
  <w:style w:type="character" w:customStyle="1" w:styleId="CommentTextChar">
    <w:name w:val="Comment Text Char"/>
    <w:basedOn w:val="DefaultParagraphFont"/>
    <w:link w:val="CommentText"/>
    <w:uiPriority w:val="99"/>
    <w:semiHidden/>
    <w:rsid w:val="00B36C08"/>
    <w:rPr>
      <w:rFonts w:ascii="Calibri" w:eastAsia="SimSun" w:hAnsi="Calibri" w:cs="Times New Roman"/>
      <w:kern w:val="2"/>
      <w:sz w:val="20"/>
      <w:szCs w:val="20"/>
    </w:rPr>
  </w:style>
  <w:style w:type="paragraph" w:styleId="BalloonText">
    <w:name w:val="Balloon Text"/>
    <w:basedOn w:val="Normal"/>
    <w:link w:val="BalloonTextChar"/>
    <w:uiPriority w:val="99"/>
    <w:semiHidden/>
    <w:unhideWhenUsed/>
    <w:rsid w:val="00B36C08"/>
    <w:rPr>
      <w:rFonts w:ascii="Tahoma" w:hAnsi="Tahoma" w:cs="Tahoma"/>
      <w:sz w:val="16"/>
      <w:szCs w:val="16"/>
    </w:rPr>
  </w:style>
  <w:style w:type="character" w:customStyle="1" w:styleId="BalloonTextChar">
    <w:name w:val="Balloon Text Char"/>
    <w:basedOn w:val="DefaultParagraphFont"/>
    <w:link w:val="BalloonText"/>
    <w:uiPriority w:val="99"/>
    <w:semiHidden/>
    <w:rsid w:val="00B36C08"/>
    <w:rPr>
      <w:rFonts w:ascii="Tahoma" w:eastAsia="SimSun" w:hAnsi="Tahoma" w:cs="Tahoma"/>
      <w:kern w:val="2"/>
      <w:sz w:val="16"/>
      <w:szCs w:val="16"/>
    </w:rPr>
  </w:style>
  <w:style w:type="paragraph" w:styleId="NormalWeb">
    <w:name w:val="Normal (Web)"/>
    <w:basedOn w:val="Normal"/>
    <w:uiPriority w:val="99"/>
    <w:semiHidden/>
    <w:unhideWhenUsed/>
    <w:rsid w:val="00F6793A"/>
    <w:pPr>
      <w:widowControl/>
      <w:spacing w:before="100" w:beforeAutospacing="1" w:after="100" w:afterAutospacing="1"/>
      <w:jc w:val="left"/>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dc:creator>
  <cp:lastModifiedBy>Jiansheng</cp:lastModifiedBy>
  <cp:revision>3</cp:revision>
  <cp:lastPrinted>2021-04-12T13:41:00Z</cp:lastPrinted>
  <dcterms:created xsi:type="dcterms:W3CDTF">2021-06-04T18:23:00Z</dcterms:created>
  <dcterms:modified xsi:type="dcterms:W3CDTF">2021-06-04T18:24:00Z</dcterms:modified>
</cp:coreProperties>
</file>