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AD929" w14:textId="77777777" w:rsidR="00202D04" w:rsidRPr="00FF24EA" w:rsidRDefault="00202D04">
      <w:pPr>
        <w:rPr>
          <w:rFonts w:ascii="Arial" w:hAnsi="Arial" w:cs="Arial"/>
          <w:b/>
          <w:bCs/>
          <w:sz w:val="32"/>
          <w:szCs w:val="32"/>
        </w:rPr>
      </w:pPr>
      <w:r w:rsidRPr="00FF24EA">
        <w:rPr>
          <w:rFonts w:ascii="Arial" w:hAnsi="Arial" w:cs="Arial"/>
          <w:b/>
          <w:bCs/>
          <w:sz w:val="32"/>
          <w:szCs w:val="32"/>
        </w:rPr>
        <w:t>Supplementary material for ‘Adaptive, caste-specific changes to recombination rates in a thelytokous honeybee population’</w:t>
      </w:r>
    </w:p>
    <w:p w14:paraId="47A9AA24" w14:textId="77777777" w:rsidR="00202D04" w:rsidRPr="00FF24EA" w:rsidRDefault="00202D04">
      <w:pPr>
        <w:rPr>
          <w:rFonts w:ascii="Arial" w:hAnsi="Arial" w:cs="Arial"/>
          <w:sz w:val="32"/>
          <w:szCs w:val="32"/>
        </w:rPr>
      </w:pPr>
    </w:p>
    <w:p w14:paraId="77F7D203" w14:textId="77777777" w:rsidR="00DE08B1" w:rsidRPr="00FF24EA" w:rsidRDefault="00DE08B1">
      <w:pPr>
        <w:rPr>
          <w:rFonts w:ascii="Arial" w:hAnsi="Arial" w:cs="Arial"/>
          <w:sz w:val="32"/>
          <w:szCs w:val="32"/>
        </w:rPr>
      </w:pPr>
    </w:p>
    <w:p w14:paraId="43EFB4E4" w14:textId="77777777" w:rsidR="00DE08B1" w:rsidRDefault="00DE08B1">
      <w:pPr>
        <w:rPr>
          <w:rFonts w:ascii="Arial" w:hAnsi="Arial" w:cs="Arial"/>
          <w:sz w:val="28"/>
          <w:szCs w:val="28"/>
        </w:rPr>
      </w:pPr>
    </w:p>
    <w:p w14:paraId="470AECE8" w14:textId="7940BF16" w:rsidR="00202D04" w:rsidRPr="00DE08B1" w:rsidRDefault="00DE08B1">
      <w:pPr>
        <w:rPr>
          <w:rFonts w:ascii="Arial" w:hAnsi="Arial" w:cs="Arial"/>
          <w:sz w:val="28"/>
          <w:szCs w:val="28"/>
        </w:rPr>
      </w:pPr>
      <w:r w:rsidRPr="00DE08B1">
        <w:rPr>
          <w:rFonts w:ascii="Arial" w:hAnsi="Arial" w:cs="Arial"/>
          <w:sz w:val="28"/>
          <w:szCs w:val="28"/>
        </w:rPr>
        <w:t>Table of contents</w:t>
      </w:r>
    </w:p>
    <w:p w14:paraId="7088796A" w14:textId="735EBCD5" w:rsidR="00DE08B1" w:rsidRDefault="00DE08B1">
      <w:pPr>
        <w:pStyle w:val="TOC1"/>
        <w:tabs>
          <w:tab w:val="right" w:pos="9010"/>
        </w:tabs>
        <w:rPr>
          <w:rFonts w:asciiTheme="minorHAnsi" w:eastAsiaTheme="minorEastAsia" w:hAnsiTheme="minorHAnsi" w:cstheme="minorBidi"/>
          <w:b w:val="0"/>
          <w:bCs w:val="0"/>
          <w:caps w:val="0"/>
          <w:noProof/>
          <w:szCs w:val="24"/>
          <w:lang w:eastAsia="zh-CN"/>
        </w:rPr>
      </w:pPr>
      <w:r>
        <w:rPr>
          <w:rFonts w:ascii="Arial" w:hAnsi="Arial" w:cs="Arial"/>
          <w:sz w:val="22"/>
          <w:szCs w:val="22"/>
        </w:rPr>
        <w:fldChar w:fldCharType="begin"/>
      </w:r>
      <w:r>
        <w:rPr>
          <w:rFonts w:ascii="Arial" w:hAnsi="Arial" w:cs="Arial"/>
          <w:sz w:val="22"/>
          <w:szCs w:val="22"/>
        </w:rPr>
        <w:instrText xml:space="preserve"> TOC \o "1-3" \h \z \u </w:instrText>
      </w:r>
      <w:r>
        <w:rPr>
          <w:rFonts w:ascii="Arial" w:hAnsi="Arial" w:cs="Arial"/>
          <w:sz w:val="22"/>
          <w:szCs w:val="22"/>
        </w:rPr>
        <w:fldChar w:fldCharType="separate"/>
      </w:r>
      <w:hyperlink w:anchor="_Toc66800290" w:history="1">
        <w:r w:rsidRPr="0042044D">
          <w:rPr>
            <w:rStyle w:val="Hyperlink"/>
            <w:noProof/>
            <w:lang w:val="en-GB" w:eastAsia="ko-KR"/>
          </w:rPr>
          <w:t>Supplementary methods</w:t>
        </w:r>
        <w:r>
          <w:rPr>
            <w:noProof/>
            <w:webHidden/>
          </w:rPr>
          <w:tab/>
        </w:r>
        <w:r>
          <w:rPr>
            <w:noProof/>
            <w:webHidden/>
          </w:rPr>
          <w:fldChar w:fldCharType="begin"/>
        </w:r>
        <w:r>
          <w:rPr>
            <w:noProof/>
            <w:webHidden/>
          </w:rPr>
          <w:instrText xml:space="preserve"> PAGEREF _Toc66800290 \h </w:instrText>
        </w:r>
        <w:r>
          <w:rPr>
            <w:noProof/>
            <w:webHidden/>
          </w:rPr>
        </w:r>
        <w:r>
          <w:rPr>
            <w:noProof/>
            <w:webHidden/>
          </w:rPr>
          <w:fldChar w:fldCharType="separate"/>
        </w:r>
        <w:r>
          <w:rPr>
            <w:noProof/>
            <w:webHidden/>
          </w:rPr>
          <w:t>2</w:t>
        </w:r>
        <w:r>
          <w:rPr>
            <w:noProof/>
            <w:webHidden/>
          </w:rPr>
          <w:fldChar w:fldCharType="end"/>
        </w:r>
      </w:hyperlink>
    </w:p>
    <w:p w14:paraId="3EA6D4B7" w14:textId="40AB2B1F"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1" w:history="1">
        <w:r w:rsidR="00DE08B1" w:rsidRPr="0042044D">
          <w:rPr>
            <w:rStyle w:val="Hyperlink"/>
            <w:noProof/>
          </w:rPr>
          <w:t>Figure S1. Homozygosity within 10 kb windows in 14 thelytokous daughters of one Capensis worker.</w:t>
        </w:r>
        <w:r w:rsidR="00DE08B1">
          <w:rPr>
            <w:noProof/>
            <w:webHidden/>
          </w:rPr>
          <w:tab/>
        </w:r>
        <w:r w:rsidR="00DE08B1">
          <w:rPr>
            <w:noProof/>
            <w:webHidden/>
          </w:rPr>
          <w:fldChar w:fldCharType="begin"/>
        </w:r>
        <w:r w:rsidR="00DE08B1">
          <w:rPr>
            <w:noProof/>
            <w:webHidden/>
          </w:rPr>
          <w:instrText xml:space="preserve"> PAGEREF _Toc66800291 \h </w:instrText>
        </w:r>
        <w:r w:rsidR="00DE08B1">
          <w:rPr>
            <w:noProof/>
            <w:webHidden/>
          </w:rPr>
        </w:r>
        <w:r w:rsidR="00DE08B1">
          <w:rPr>
            <w:noProof/>
            <w:webHidden/>
          </w:rPr>
          <w:fldChar w:fldCharType="separate"/>
        </w:r>
        <w:r w:rsidR="00DE08B1">
          <w:rPr>
            <w:noProof/>
            <w:webHidden/>
          </w:rPr>
          <w:t>4</w:t>
        </w:r>
        <w:r w:rsidR="00DE08B1">
          <w:rPr>
            <w:noProof/>
            <w:webHidden/>
          </w:rPr>
          <w:fldChar w:fldCharType="end"/>
        </w:r>
      </w:hyperlink>
    </w:p>
    <w:p w14:paraId="213B380A" w14:textId="7E233C12"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2" w:history="1">
        <w:r w:rsidR="00DE08B1" w:rsidRPr="0042044D">
          <w:rPr>
            <w:rStyle w:val="Hyperlink"/>
            <w:noProof/>
          </w:rPr>
          <w:t>Figure S2. Heterozygosity within 10 kb windows in 14 thelytokous daughters of one Capensis worker.</w:t>
        </w:r>
        <w:r w:rsidR="00DE08B1">
          <w:rPr>
            <w:noProof/>
            <w:webHidden/>
          </w:rPr>
          <w:tab/>
        </w:r>
        <w:r w:rsidR="00DE08B1">
          <w:rPr>
            <w:noProof/>
            <w:webHidden/>
          </w:rPr>
          <w:fldChar w:fldCharType="begin"/>
        </w:r>
        <w:r w:rsidR="00DE08B1">
          <w:rPr>
            <w:noProof/>
            <w:webHidden/>
          </w:rPr>
          <w:instrText xml:space="preserve"> PAGEREF _Toc66800292 \h </w:instrText>
        </w:r>
        <w:r w:rsidR="00DE08B1">
          <w:rPr>
            <w:noProof/>
            <w:webHidden/>
          </w:rPr>
        </w:r>
        <w:r w:rsidR="00DE08B1">
          <w:rPr>
            <w:noProof/>
            <w:webHidden/>
          </w:rPr>
          <w:fldChar w:fldCharType="separate"/>
        </w:r>
        <w:r w:rsidR="00DE08B1">
          <w:rPr>
            <w:noProof/>
            <w:webHidden/>
          </w:rPr>
          <w:t>5</w:t>
        </w:r>
        <w:r w:rsidR="00DE08B1">
          <w:rPr>
            <w:noProof/>
            <w:webHidden/>
          </w:rPr>
          <w:fldChar w:fldCharType="end"/>
        </w:r>
      </w:hyperlink>
    </w:p>
    <w:p w14:paraId="77E19D03" w14:textId="7F969101"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3" w:history="1">
        <w:r w:rsidR="00DE08B1" w:rsidRPr="0042044D">
          <w:rPr>
            <w:rStyle w:val="Hyperlink"/>
            <w:noProof/>
          </w:rPr>
          <w:t>Table S1. Microsatellite primers used in this study</w:t>
        </w:r>
        <w:r w:rsidR="00DE08B1">
          <w:rPr>
            <w:noProof/>
            <w:webHidden/>
          </w:rPr>
          <w:tab/>
        </w:r>
        <w:r w:rsidR="00DE08B1">
          <w:rPr>
            <w:noProof/>
            <w:webHidden/>
          </w:rPr>
          <w:fldChar w:fldCharType="begin"/>
        </w:r>
        <w:r w:rsidR="00DE08B1">
          <w:rPr>
            <w:noProof/>
            <w:webHidden/>
          </w:rPr>
          <w:instrText xml:space="preserve"> PAGEREF _Toc66800293 \h </w:instrText>
        </w:r>
        <w:r w:rsidR="00DE08B1">
          <w:rPr>
            <w:noProof/>
            <w:webHidden/>
          </w:rPr>
        </w:r>
        <w:r w:rsidR="00DE08B1">
          <w:rPr>
            <w:noProof/>
            <w:webHidden/>
          </w:rPr>
          <w:fldChar w:fldCharType="separate"/>
        </w:r>
        <w:r w:rsidR="00DE08B1">
          <w:rPr>
            <w:noProof/>
            <w:webHidden/>
          </w:rPr>
          <w:t>6</w:t>
        </w:r>
        <w:r w:rsidR="00DE08B1">
          <w:rPr>
            <w:noProof/>
            <w:webHidden/>
          </w:rPr>
          <w:fldChar w:fldCharType="end"/>
        </w:r>
      </w:hyperlink>
    </w:p>
    <w:p w14:paraId="255183F0" w14:textId="0CA69B96"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4" w:history="1">
        <w:r w:rsidR="00DE08B1" w:rsidRPr="0042044D">
          <w:rPr>
            <w:rStyle w:val="Hyperlink"/>
            <w:noProof/>
          </w:rPr>
          <w:t>Table S2 Microsatellite genotypes of the virgin queen and her thelytokous progeny and the four workers and their thelytokous progeny, including loss of heterozygosity calculations.</w:t>
        </w:r>
        <w:r w:rsidR="00DE08B1">
          <w:rPr>
            <w:noProof/>
            <w:webHidden/>
          </w:rPr>
          <w:tab/>
        </w:r>
        <w:r w:rsidR="00DE08B1">
          <w:rPr>
            <w:noProof/>
            <w:webHidden/>
          </w:rPr>
          <w:fldChar w:fldCharType="begin"/>
        </w:r>
        <w:r w:rsidR="00DE08B1">
          <w:rPr>
            <w:noProof/>
            <w:webHidden/>
          </w:rPr>
          <w:instrText xml:space="preserve"> PAGEREF _Toc66800294 \h </w:instrText>
        </w:r>
        <w:r w:rsidR="00DE08B1">
          <w:rPr>
            <w:noProof/>
            <w:webHidden/>
          </w:rPr>
        </w:r>
        <w:r w:rsidR="00DE08B1">
          <w:rPr>
            <w:noProof/>
            <w:webHidden/>
          </w:rPr>
          <w:fldChar w:fldCharType="separate"/>
        </w:r>
        <w:r w:rsidR="00DE08B1">
          <w:rPr>
            <w:noProof/>
            <w:webHidden/>
          </w:rPr>
          <w:t>7</w:t>
        </w:r>
        <w:r w:rsidR="00DE08B1">
          <w:rPr>
            <w:noProof/>
            <w:webHidden/>
          </w:rPr>
          <w:fldChar w:fldCharType="end"/>
        </w:r>
      </w:hyperlink>
    </w:p>
    <w:p w14:paraId="433F4DCD" w14:textId="22D4D364"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5" w:history="1">
        <w:r w:rsidR="00DE08B1" w:rsidRPr="0042044D">
          <w:rPr>
            <w:rStyle w:val="Hyperlink"/>
            <w:noProof/>
          </w:rPr>
          <w:t>Table S3. Loss of heterozygosity in a virgin queen subjected to CO2 narcosis.</w:t>
        </w:r>
        <w:r w:rsidR="00DE08B1">
          <w:rPr>
            <w:noProof/>
            <w:webHidden/>
          </w:rPr>
          <w:tab/>
        </w:r>
        <w:r w:rsidR="00DE08B1">
          <w:rPr>
            <w:noProof/>
            <w:webHidden/>
          </w:rPr>
          <w:fldChar w:fldCharType="begin"/>
        </w:r>
        <w:r w:rsidR="00DE08B1">
          <w:rPr>
            <w:noProof/>
            <w:webHidden/>
          </w:rPr>
          <w:instrText xml:space="preserve"> PAGEREF _Toc66800295 \h </w:instrText>
        </w:r>
        <w:r w:rsidR="00DE08B1">
          <w:rPr>
            <w:noProof/>
            <w:webHidden/>
          </w:rPr>
        </w:r>
        <w:r w:rsidR="00DE08B1">
          <w:rPr>
            <w:noProof/>
            <w:webHidden/>
          </w:rPr>
          <w:fldChar w:fldCharType="separate"/>
        </w:r>
        <w:r w:rsidR="00DE08B1">
          <w:rPr>
            <w:noProof/>
            <w:webHidden/>
          </w:rPr>
          <w:t>7</w:t>
        </w:r>
        <w:r w:rsidR="00DE08B1">
          <w:rPr>
            <w:noProof/>
            <w:webHidden/>
          </w:rPr>
          <w:fldChar w:fldCharType="end"/>
        </w:r>
      </w:hyperlink>
    </w:p>
    <w:p w14:paraId="6E98937A" w14:textId="1E2542E0"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6" w:history="1">
        <w:r w:rsidR="00DE08B1" w:rsidRPr="0042044D">
          <w:rPr>
            <w:rStyle w:val="Hyperlink"/>
            <w:noProof/>
          </w:rPr>
          <w:t>Table S4. Sequencing statistics.</w:t>
        </w:r>
        <w:r w:rsidR="00DE08B1">
          <w:rPr>
            <w:noProof/>
            <w:webHidden/>
          </w:rPr>
          <w:tab/>
        </w:r>
        <w:r w:rsidR="00DE08B1">
          <w:rPr>
            <w:noProof/>
            <w:webHidden/>
          </w:rPr>
          <w:fldChar w:fldCharType="begin"/>
        </w:r>
        <w:r w:rsidR="00DE08B1">
          <w:rPr>
            <w:noProof/>
            <w:webHidden/>
          </w:rPr>
          <w:instrText xml:space="preserve"> PAGEREF _Toc66800296 \h </w:instrText>
        </w:r>
        <w:r w:rsidR="00DE08B1">
          <w:rPr>
            <w:noProof/>
            <w:webHidden/>
          </w:rPr>
        </w:r>
        <w:r w:rsidR="00DE08B1">
          <w:rPr>
            <w:noProof/>
            <w:webHidden/>
          </w:rPr>
          <w:fldChar w:fldCharType="separate"/>
        </w:r>
        <w:r w:rsidR="00DE08B1">
          <w:rPr>
            <w:noProof/>
            <w:webHidden/>
          </w:rPr>
          <w:t>8</w:t>
        </w:r>
        <w:r w:rsidR="00DE08B1">
          <w:rPr>
            <w:noProof/>
            <w:webHidden/>
          </w:rPr>
          <w:fldChar w:fldCharType="end"/>
        </w:r>
      </w:hyperlink>
    </w:p>
    <w:p w14:paraId="6E5E9FA3" w14:textId="0E5855AA"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7" w:history="1">
        <w:r w:rsidR="00DE08B1" w:rsidRPr="0042044D">
          <w:rPr>
            <w:rStyle w:val="Hyperlink"/>
            <w:noProof/>
          </w:rPr>
          <w:t>Table S5. Minimal loss of heterozygosity in the offspring of Capensis workers (SNPs).</w:t>
        </w:r>
        <w:r w:rsidR="00DE08B1">
          <w:rPr>
            <w:noProof/>
            <w:webHidden/>
          </w:rPr>
          <w:tab/>
        </w:r>
        <w:r w:rsidR="00DE08B1">
          <w:rPr>
            <w:noProof/>
            <w:webHidden/>
          </w:rPr>
          <w:fldChar w:fldCharType="begin"/>
        </w:r>
        <w:r w:rsidR="00DE08B1">
          <w:rPr>
            <w:noProof/>
            <w:webHidden/>
          </w:rPr>
          <w:instrText xml:space="preserve"> PAGEREF _Toc66800297 \h </w:instrText>
        </w:r>
        <w:r w:rsidR="00DE08B1">
          <w:rPr>
            <w:noProof/>
            <w:webHidden/>
          </w:rPr>
        </w:r>
        <w:r w:rsidR="00DE08B1">
          <w:rPr>
            <w:noProof/>
            <w:webHidden/>
          </w:rPr>
          <w:fldChar w:fldCharType="separate"/>
        </w:r>
        <w:r w:rsidR="00DE08B1">
          <w:rPr>
            <w:noProof/>
            <w:webHidden/>
          </w:rPr>
          <w:t>9</w:t>
        </w:r>
        <w:r w:rsidR="00DE08B1">
          <w:rPr>
            <w:noProof/>
            <w:webHidden/>
          </w:rPr>
          <w:fldChar w:fldCharType="end"/>
        </w:r>
      </w:hyperlink>
    </w:p>
    <w:p w14:paraId="3F1F14D8" w14:textId="350726D1" w:rsidR="00DE08B1" w:rsidRDefault="00482499">
      <w:pPr>
        <w:pStyle w:val="TOC1"/>
        <w:tabs>
          <w:tab w:val="right" w:pos="9010"/>
        </w:tabs>
        <w:rPr>
          <w:rFonts w:asciiTheme="minorHAnsi" w:eastAsiaTheme="minorEastAsia" w:hAnsiTheme="minorHAnsi" w:cstheme="minorBidi"/>
          <w:b w:val="0"/>
          <w:bCs w:val="0"/>
          <w:caps w:val="0"/>
          <w:noProof/>
          <w:szCs w:val="24"/>
          <w:lang w:eastAsia="zh-CN"/>
        </w:rPr>
      </w:pPr>
      <w:hyperlink w:anchor="_Toc66800298" w:history="1">
        <w:r w:rsidR="00DE08B1" w:rsidRPr="0042044D">
          <w:rPr>
            <w:rStyle w:val="Hyperlink"/>
            <w:noProof/>
          </w:rPr>
          <w:t>Table S6. Minimal loss of heterozygosity in the offspring of Capensis workers (windows).</w:t>
        </w:r>
        <w:r w:rsidR="00DE08B1">
          <w:rPr>
            <w:noProof/>
            <w:webHidden/>
          </w:rPr>
          <w:tab/>
        </w:r>
        <w:r w:rsidR="00DE08B1">
          <w:rPr>
            <w:noProof/>
            <w:webHidden/>
          </w:rPr>
          <w:fldChar w:fldCharType="begin"/>
        </w:r>
        <w:r w:rsidR="00DE08B1">
          <w:rPr>
            <w:noProof/>
            <w:webHidden/>
          </w:rPr>
          <w:instrText xml:space="preserve"> PAGEREF _Toc66800298 \h </w:instrText>
        </w:r>
        <w:r w:rsidR="00DE08B1">
          <w:rPr>
            <w:noProof/>
            <w:webHidden/>
          </w:rPr>
        </w:r>
        <w:r w:rsidR="00DE08B1">
          <w:rPr>
            <w:noProof/>
            <w:webHidden/>
          </w:rPr>
          <w:fldChar w:fldCharType="separate"/>
        </w:r>
        <w:r w:rsidR="00DE08B1">
          <w:rPr>
            <w:noProof/>
            <w:webHidden/>
          </w:rPr>
          <w:t>10</w:t>
        </w:r>
        <w:r w:rsidR="00DE08B1">
          <w:rPr>
            <w:noProof/>
            <w:webHidden/>
          </w:rPr>
          <w:fldChar w:fldCharType="end"/>
        </w:r>
      </w:hyperlink>
    </w:p>
    <w:p w14:paraId="30A3F7E9" w14:textId="266F7A36" w:rsidR="00202D04" w:rsidRDefault="00DE08B1" w:rsidP="00DE08B1">
      <w:pPr>
        <w:pStyle w:val="Heading1"/>
        <w:rPr>
          <w:rFonts w:ascii="Arial" w:hAnsi="Arial" w:cs="Arial"/>
          <w:sz w:val="22"/>
          <w:szCs w:val="22"/>
        </w:rPr>
      </w:pPr>
      <w:r>
        <w:rPr>
          <w:rFonts w:ascii="Arial" w:hAnsi="Arial" w:cs="Arial"/>
          <w:sz w:val="22"/>
          <w:szCs w:val="22"/>
        </w:rPr>
        <w:fldChar w:fldCharType="end"/>
      </w:r>
      <w:r w:rsidR="00202D04">
        <w:rPr>
          <w:rFonts w:ascii="Arial" w:hAnsi="Arial" w:cs="Arial"/>
          <w:sz w:val="22"/>
          <w:szCs w:val="22"/>
        </w:rPr>
        <w:br w:type="page"/>
      </w:r>
      <w:bookmarkStart w:id="0" w:name="_Toc66800088"/>
      <w:bookmarkStart w:id="1" w:name="_Toc66800290"/>
      <w:r w:rsidR="00202D04">
        <w:rPr>
          <w:lang w:val="en-GB" w:eastAsia="ko-KR"/>
        </w:rPr>
        <w:lastRenderedPageBreak/>
        <w:t>Supplementary methods</w:t>
      </w:r>
      <w:bookmarkEnd w:id="0"/>
      <w:bookmarkEnd w:id="1"/>
    </w:p>
    <w:p w14:paraId="6D272997" w14:textId="77777777" w:rsidR="00DE08B1" w:rsidRPr="00DE08B1" w:rsidRDefault="00DE08B1" w:rsidP="00DE08B1"/>
    <w:p w14:paraId="3FD5B0D8" w14:textId="7B9F7DA4" w:rsidR="00202D04" w:rsidRDefault="00202D04" w:rsidP="00202D04">
      <w:pPr>
        <w:rPr>
          <w:lang w:val="en-GB"/>
        </w:rPr>
      </w:pPr>
      <w:r>
        <w:rPr>
          <w:lang w:val="en-GB" w:eastAsia="ko-KR"/>
        </w:rPr>
        <w:t>The</w:t>
      </w:r>
      <w:r w:rsidRPr="00C370A1">
        <w:rPr>
          <w:lang w:val="en-GB" w:eastAsia="ko-KR"/>
        </w:rPr>
        <w:t xml:space="preserve"> quality of the raw data with </w:t>
      </w:r>
      <w:r>
        <w:rPr>
          <w:lang w:val="en-GB" w:eastAsia="ko-KR"/>
        </w:rPr>
        <w:t xml:space="preserve">was checked with </w:t>
      </w:r>
      <w:proofErr w:type="spellStart"/>
      <w:r w:rsidRPr="00C370A1">
        <w:rPr>
          <w:lang w:val="en-GB" w:eastAsia="ko-KR"/>
        </w:rPr>
        <w:t>FastQC</w:t>
      </w:r>
      <w:proofErr w:type="spellEnd"/>
      <w:r w:rsidRPr="00C370A1">
        <w:rPr>
          <w:lang w:val="en-GB" w:eastAsia="ko-KR"/>
        </w:rPr>
        <w:t xml:space="preserve"> 0.11.7 (http://www.bioinformatics.babraham.ac.uk/projects/fastqc).</w:t>
      </w:r>
      <w:r>
        <w:rPr>
          <w:lang w:val="en-GB" w:eastAsia="ko-KR"/>
        </w:rPr>
        <w:t xml:space="preserve"> We used </w:t>
      </w:r>
      <w:proofErr w:type="spellStart"/>
      <w:r w:rsidRPr="00C370A1">
        <w:rPr>
          <w:lang w:val="en-GB" w:eastAsia="ko-KR"/>
        </w:rPr>
        <w:t>Trimmomatic</w:t>
      </w:r>
      <w:proofErr w:type="spellEnd"/>
      <w:r w:rsidRPr="00C370A1">
        <w:rPr>
          <w:lang w:val="en-GB" w:eastAsia="ko-KR"/>
        </w:rPr>
        <w:t xml:space="preserve"> 0.38 </w:t>
      </w:r>
      <w:r>
        <w:rPr>
          <w:lang w:val="en-GB"/>
        </w:rPr>
        <w:fldChar w:fldCharType="begin">
          <w:fldData xml:space="preserve">PEVuZE5vdGU+PENpdGU+PEF1dGhvcj5Cb2xnZXI8L0F1dGhvcj48WWVhcj4yMDE0PC9ZZWFyPjxS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==
</w:fldData>
        </w:fldChar>
      </w:r>
      <w:r>
        <w:rPr>
          <w:lang w:val="en-GB"/>
        </w:rPr>
        <w:instrText xml:space="preserve"> ADDIN EN.CITE </w:instrText>
      </w:r>
      <w:r>
        <w:rPr>
          <w:lang w:val="en-GB"/>
        </w:rPr>
        <w:fldChar w:fldCharType="begin">
          <w:fldData xml:space="preserve">PEVuZE5vdGU+PENpdGU+PEF1dGhvcj5Cb2xnZXI8L0F1dGhvcj48WWVhcj4yMDE0PC9ZZWFyPjxS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==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[1]</w:t>
      </w:r>
      <w:r>
        <w:rPr>
          <w:lang w:val="en-GB"/>
        </w:rPr>
        <w:fldChar w:fldCharType="end"/>
      </w:r>
      <w:r>
        <w:rPr>
          <w:lang w:val="en-GB" w:eastAsia="ko-KR"/>
        </w:rPr>
        <w:t xml:space="preserve"> </w:t>
      </w:r>
      <w:r w:rsidRPr="00C370A1">
        <w:rPr>
          <w:lang w:val="en-GB" w:eastAsia="ko-KR"/>
        </w:rPr>
        <w:t xml:space="preserve">to trim low quality reads and adapter sequences </w:t>
      </w:r>
      <w:r>
        <w:rPr>
          <w:lang w:val="en-GB" w:eastAsia="ko-KR"/>
        </w:rPr>
        <w:t>using</w:t>
      </w:r>
      <w:r w:rsidRPr="00C370A1">
        <w:rPr>
          <w:lang w:val="en-GB" w:eastAsia="ko-KR"/>
        </w:rPr>
        <w:t xml:space="preserve"> the following parameters: ILLUMINACLIP:/path/to/NexteraPE-PE.fa:2:30:10:8:TRUE HEADCROP:1</w:t>
      </w:r>
      <w:r>
        <w:rPr>
          <w:lang w:val="en-GB" w:eastAsia="ko-KR"/>
        </w:rPr>
        <w:t>6</w:t>
      </w:r>
      <w:r w:rsidRPr="00C370A1">
        <w:rPr>
          <w:lang w:val="en-GB" w:eastAsia="ko-KR"/>
        </w:rPr>
        <w:t xml:space="preserve"> LEADING:</w:t>
      </w:r>
      <w:r>
        <w:rPr>
          <w:lang w:val="en-GB" w:eastAsia="ko-KR"/>
        </w:rPr>
        <w:t>30</w:t>
      </w:r>
      <w:r w:rsidRPr="00C370A1">
        <w:rPr>
          <w:lang w:val="en-GB" w:eastAsia="ko-KR"/>
        </w:rPr>
        <w:t xml:space="preserve"> TRAILING:</w:t>
      </w:r>
      <w:r>
        <w:rPr>
          <w:lang w:val="en-GB" w:eastAsia="ko-KR"/>
        </w:rPr>
        <w:t>30</w:t>
      </w:r>
      <w:r w:rsidRPr="00C370A1">
        <w:rPr>
          <w:lang w:val="en-GB" w:eastAsia="ko-KR"/>
        </w:rPr>
        <w:t xml:space="preserve"> SLIDINGWINDOW:4:</w:t>
      </w:r>
      <w:r>
        <w:rPr>
          <w:lang w:val="en-GB" w:eastAsia="ko-KR"/>
        </w:rPr>
        <w:t>30</w:t>
      </w:r>
      <w:r w:rsidRPr="00C370A1">
        <w:rPr>
          <w:lang w:val="en-GB" w:eastAsia="ko-KR"/>
        </w:rPr>
        <w:t xml:space="preserve"> MINLEN:36.</w:t>
      </w:r>
      <w:r>
        <w:rPr>
          <w:lang w:val="en-GB" w:eastAsia="ko-KR"/>
        </w:rPr>
        <w:t xml:space="preserve"> T</w:t>
      </w:r>
      <w:r w:rsidRPr="00C370A1">
        <w:rPr>
          <w:lang w:val="en-GB" w:eastAsia="ko-KR"/>
        </w:rPr>
        <w:t>rimmed reads</w:t>
      </w:r>
      <w:r>
        <w:rPr>
          <w:lang w:val="en-GB" w:eastAsia="ko-KR"/>
        </w:rPr>
        <w:t xml:space="preserve"> were mapped</w:t>
      </w:r>
      <w:r w:rsidRPr="00C370A1">
        <w:rPr>
          <w:lang w:val="en-GB" w:eastAsia="ko-KR"/>
        </w:rPr>
        <w:t xml:space="preserve"> to the honey bee genome assembly Amel_HAv3.1 </w:t>
      </w:r>
      <w:r>
        <w:rPr>
          <w:lang w:val="en-GB" w:eastAsia="ko-KR"/>
        </w:rPr>
        <w:fldChar w:fldCharType="begin"/>
      </w:r>
      <w:r>
        <w:rPr>
          <w:lang w:val="en-GB" w:eastAsia="ko-KR"/>
        </w:rPr>
        <w:instrText xml:space="preserve"> ADDIN EN.CITE &lt;EndNote&gt;&lt;Cite&gt;&lt;Author&gt;Wallberg&lt;/Author&gt;&lt;Year&gt;2019&lt;/Year&gt;&lt;RecNum&gt;8757&lt;/RecNum&gt;&lt;DisplayText&gt;[2]&lt;/DisplayText&gt;&lt;record&gt;&lt;rec-number&gt;8757&lt;/rec-number&gt;&lt;foreign-keys&gt;&lt;key app="EN" db-id="rxxsvddr12e5seezwd8xza24tead9zxwwrf5" timestamp="1567487466"&gt;8757&lt;/key&gt;&lt;/foreign-keys&gt;&lt;ref-type name="Journal Article"&gt;17&lt;/ref-type&gt;&lt;contributors&gt;&lt;authors&gt;&lt;author&gt;Wallberg, Andreas&lt;/author&gt;&lt;author&gt;Bunikis, Ignas&lt;/author&gt;&lt;author&gt;Pettersson, Olga Vinnere&lt;/author&gt;&lt;author&gt;Mosbech, Mai-Britt&lt;/author&gt;&lt;author&gt;Childers, Anna K.&lt;/author&gt;&lt;author&gt;Evans, Jay D.&lt;/author&gt;&lt;author&gt;Mikheyev, Alexander S.&lt;/author&gt;&lt;author&gt;Robertson, Hugh M.&lt;/author&gt;&lt;author&gt;Robinson, Gene E.&lt;/author&gt;&lt;author&gt;Webster, Matthew T.&lt;/author&gt;&lt;/authors&gt;&lt;/contributors&gt;&lt;titles&gt;&lt;title&gt;&lt;style face="normal" font="default" size="100%"&gt;A hybrid de novo genome assembly of the honeybee, &lt;/style&gt;&lt;style face="italic" font="default" size="100%"&gt;Apis mellifera&lt;/style&gt;&lt;style face="normal" font="default" size="100%"&gt;, with chromosome-length scaffolds&lt;/style&gt;&lt;/title&gt;&lt;secondary-title&gt;BMC Genomics&lt;/secondary-title&gt;&lt;/titles&gt;&lt;periodical&gt;&lt;full-title&gt;BMC Genomics&lt;/full-title&gt;&lt;/periodical&gt;&lt;pages&gt;275&lt;/pages&gt;&lt;volume&gt;20&lt;/volume&gt;&lt;number&gt;1&lt;/number&gt;&lt;dates&gt;&lt;year&gt;2019&lt;/year&gt;&lt;pub-dates&gt;&lt;date&gt;2019/04/08&lt;/date&gt;&lt;/pub-dates&gt;&lt;/dates&gt;&lt;isbn&gt;1471-2164&lt;/isbn&gt;&lt;urls&gt;&lt;related-urls&gt;&lt;url&gt;https://doi.org/10.1186/s12864-019-5642-0&lt;/url&gt;&lt;/related-urls&gt;&lt;/urls&gt;&lt;electronic-resource-num&gt;10.1186/s12864-019-5642-0&lt;/electronic-resource-num&gt;&lt;/record&gt;&lt;/Cite&gt;&lt;/EndNote&gt;</w:instrText>
      </w:r>
      <w:r>
        <w:rPr>
          <w:lang w:val="en-GB" w:eastAsia="ko-KR"/>
        </w:rPr>
        <w:fldChar w:fldCharType="separate"/>
      </w:r>
      <w:r>
        <w:rPr>
          <w:noProof/>
          <w:lang w:val="en-GB" w:eastAsia="ko-KR"/>
        </w:rPr>
        <w:t>[2]</w:t>
      </w:r>
      <w:r>
        <w:rPr>
          <w:lang w:val="en-GB" w:eastAsia="ko-KR"/>
        </w:rPr>
        <w:fldChar w:fldCharType="end"/>
      </w:r>
      <w:r>
        <w:rPr>
          <w:lang w:val="en-GB"/>
        </w:rPr>
        <w:t xml:space="preserve"> </w:t>
      </w:r>
      <w:r w:rsidRPr="00C370A1">
        <w:rPr>
          <w:lang w:val="en-GB"/>
        </w:rPr>
        <w:t xml:space="preserve">using BWA 0.7.12 </w:t>
      </w:r>
      <w:r>
        <w:rPr>
          <w:lang w:val="en-GB"/>
        </w:rPr>
        <w:fldChar w:fldCharType="begin"/>
      </w:r>
      <w:r>
        <w:rPr>
          <w:lang w:val="en-GB"/>
        </w:rPr>
        <w:instrText xml:space="preserve"> ADDIN EN.CITE &lt;EndNote&gt;&lt;Cite&gt;&lt;Author&gt;Li&lt;/Author&gt;&lt;Year&gt;2009&lt;/Year&gt;&lt;RecNum&gt;9254&lt;/RecNum&gt;&lt;DisplayText&gt;[3]&lt;/DisplayText&gt;&lt;record&gt;&lt;rec-number&gt;9254&lt;/rec-number&gt;&lt;foreign-keys&gt;&lt;key app="EN" db-id="rxxsvddr12e5seezwd8xza24tead9zxwwrf5" timestamp="1615884487"&gt;9254&lt;/key&gt;&lt;/foreign-keys&gt;&lt;ref-type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related-urls&gt;&lt;url&gt;https://doi.org/10.1093/bioinformatics/btp324&lt;/url&gt;&lt;/related-urls&gt;&lt;/urls&gt;&lt;electronic-resource-num&gt;10.1093/bioinformatics/btp324&lt;/electronic-resource-num&gt;&lt;access-date&gt;3/16/2021&lt;/access-date&gt;&lt;/record&gt;&lt;/Cite&gt;&lt;/EndNote&gt;</w:instrText>
      </w:r>
      <w:r>
        <w:rPr>
          <w:lang w:val="en-GB"/>
        </w:rPr>
        <w:fldChar w:fldCharType="separate"/>
      </w:r>
      <w:r>
        <w:rPr>
          <w:noProof/>
          <w:lang w:val="en-GB"/>
        </w:rPr>
        <w:t>[3]</w:t>
      </w:r>
      <w:r>
        <w:rPr>
          <w:lang w:val="en-GB"/>
        </w:rPr>
        <w:fldChar w:fldCharType="end"/>
      </w:r>
      <w:r w:rsidRPr="00C370A1">
        <w:rPr>
          <w:lang w:val="en-GB"/>
        </w:rPr>
        <w:t xml:space="preserve"> with default parameters.</w:t>
      </w:r>
      <w:r>
        <w:rPr>
          <w:lang w:val="en-GB"/>
        </w:rPr>
        <w:t xml:space="preserve"> </w:t>
      </w:r>
      <w:r w:rsidRPr="00C370A1">
        <w:rPr>
          <w:lang w:val="en-GB"/>
        </w:rPr>
        <w:t xml:space="preserve">We </w:t>
      </w:r>
      <w:r>
        <w:rPr>
          <w:lang w:val="en-GB"/>
        </w:rPr>
        <w:t>excluded reads that did not map uniquely, and then sorted and indexed a</w:t>
      </w:r>
      <w:r w:rsidRPr="00C370A1">
        <w:rPr>
          <w:lang w:val="en-GB"/>
        </w:rPr>
        <w:t xml:space="preserve">lignments with </w:t>
      </w:r>
      <w:proofErr w:type="spellStart"/>
      <w:r w:rsidRPr="00C370A1">
        <w:rPr>
          <w:lang w:val="en-GB"/>
        </w:rPr>
        <w:t>SAMtools</w:t>
      </w:r>
      <w:proofErr w:type="spellEnd"/>
      <w:r w:rsidRPr="00C370A1">
        <w:rPr>
          <w:lang w:val="en-GB"/>
        </w:rPr>
        <w:t xml:space="preserve"> 1.9</w:t>
      </w:r>
      <w:r>
        <w:rPr>
          <w:lang w:val="en-GB"/>
        </w:rPr>
        <w:t xml:space="preserve"> </w:t>
      </w:r>
      <w:r>
        <w:rPr>
          <w:lang w:val="en-GB"/>
        </w:rPr>
        <w:fldChar w:fldCharType="begin"/>
      </w:r>
      <w:r>
        <w:rPr>
          <w:lang w:val="en-GB"/>
        </w:rPr>
        <w:instrText xml:space="preserve"> ADDIN EN.CITE &lt;EndNote&gt;&lt;Cite&gt;&lt;Author&gt;Li&lt;/Author&gt;&lt;Year&gt;2009&lt;/Year&gt;&lt;RecNum&gt;9255&lt;/RecNum&gt;&lt;DisplayText&gt;[4]&lt;/DisplayText&gt;&lt;record&gt;&lt;rec-number&gt;9255&lt;/rec-number&gt;&lt;foreign-keys&gt;&lt;key app="EN" db-id="rxxsvddr12e5seezwd8xza24tead9zxwwrf5" timestamp="1615884642"&gt;9255&lt;/key&gt;&lt;/foreign-keys&gt;&lt;ref-type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Richard&lt;/author&gt;&lt;author&gt;Genome Project Data Processing Subgroup&lt;/author&gt;&lt;/authors&gt;&lt;/contributors&gt;&lt;titles&gt;&lt;title&gt;The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-4803&lt;/isbn&gt;&lt;urls&gt;&lt;related-urls&gt;&lt;url&gt;https://doi.org/10.1093/bioinformatics/btp352&lt;/url&gt;&lt;/related-urls&gt;&lt;/urls&gt;&lt;electronic-resource-num&gt;10.1093/bioinformatics/btp352&lt;/electronic-resource-num&gt;&lt;access-date&gt;3/16/2021&lt;/access-date&gt;&lt;/record&gt;&lt;/Cite&gt;&lt;/EndNote&gt;</w:instrText>
      </w:r>
      <w:r>
        <w:rPr>
          <w:lang w:val="en-GB"/>
        </w:rPr>
        <w:fldChar w:fldCharType="separate"/>
      </w:r>
      <w:r>
        <w:rPr>
          <w:noProof/>
          <w:lang w:val="en-GB"/>
        </w:rPr>
        <w:t>[4]</w:t>
      </w:r>
      <w:r>
        <w:rPr>
          <w:lang w:val="en-GB"/>
        </w:rPr>
        <w:fldChar w:fldCharType="end"/>
      </w:r>
      <w:r w:rsidRPr="00C370A1">
        <w:rPr>
          <w:lang w:val="en-GB"/>
        </w:rPr>
        <w:t>.</w:t>
      </w:r>
      <w:r>
        <w:rPr>
          <w:lang w:val="en-GB"/>
        </w:rPr>
        <w:t xml:space="preserve"> We </w:t>
      </w:r>
      <w:r w:rsidRPr="00C370A1">
        <w:rPr>
          <w:lang w:val="en-GB"/>
        </w:rPr>
        <w:t>marked PCR duplicates with Picard 1.119 (http://broadinstitute.github.io/picard).</w:t>
      </w:r>
      <w:r>
        <w:rPr>
          <w:lang w:val="en-GB"/>
        </w:rPr>
        <w:t xml:space="preserve"> We realigned sequences around insertions and deletions with GATK </w:t>
      </w:r>
      <w:r w:rsidRPr="0039524C">
        <w:rPr>
          <w:lang w:val="en-GB"/>
        </w:rPr>
        <w:t>3.8-1-0</w:t>
      </w:r>
      <w:r>
        <w:rPr>
          <w:lang w:val="en-GB"/>
        </w:rPr>
        <w:t xml:space="preserve"> </w:t>
      </w:r>
      <w:r>
        <w:rPr>
          <w:lang w:val="en-GB"/>
        </w:rPr>
        <w:fldChar w:fldCharType="begin"/>
      </w:r>
      <w:r>
        <w:rPr>
          <w:lang w:val="en-GB"/>
        </w:rPr>
        <w:instrText xml:space="preserve"> ADDIN EN.CITE &lt;EndNote&gt;&lt;Cite&gt;&lt;Author&gt;McKenna&lt;/Author&gt;&lt;Year&gt;2010&lt;/Year&gt;&lt;RecNum&gt;9256&lt;/RecNum&gt;&lt;DisplayText&gt;[5]&lt;/DisplayText&gt;&lt;record&gt;&lt;rec-number&gt;9256&lt;/rec-number&gt;&lt;foreign-keys&gt;&lt;key app="EN" db-id="rxxsvddr12e5seezwd8xza24tead9zxwwrf5" timestamp="1615884843"&gt;9256&lt;/key&gt;&lt;/foreign-keys&gt;&lt;ref-type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Research&lt;/secondary-title&gt;&lt;/titles&gt;&lt;periodical&gt;&lt;full-title&gt;Genome Research&lt;/full-title&gt;&lt;abbr-1&gt;Gen. Res.&lt;/abbr-1&gt;&lt;/periodical&gt;&lt;pages&gt;1297-303&lt;/pages&gt;&lt;volume&gt;20&lt;/volume&gt;&lt;number&gt;9&lt;/number&gt;&lt;edition&gt;2010/07/21&lt;/edition&gt;&lt;keywords&gt;&lt;keyword&gt;Base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DNA/*methods&lt;/keyword&gt;&lt;keyword&gt;*Software&lt;/keyword&gt;&lt;/keywords&gt;&lt;dates&gt;&lt;year&gt;2010&lt;/year&gt;&lt;pub-dates&gt;&lt;date&gt;Sep&lt;/date&gt;&lt;/pub-dates&gt;&lt;/dates&gt;&lt;isbn&gt;1088-9051 (Print)&amp;#xD;1088-9051&lt;/isbn&gt;&lt;accession-num&gt;20644199&lt;/accession-num&gt;&lt;urls&gt;&lt;/urls&gt;&lt;custom2&gt;PMC2928508&lt;/custom2&gt;&lt;electronic-resource-num&gt;10.1101/gr.107524.110&lt;/electronic-resource-num&gt;&lt;remote-database-provider&gt;NLM&lt;/remote-database-provider&gt;&lt;language&gt;eng&lt;/language&gt;&lt;/record&gt;&lt;/Cite&gt;&lt;/EndNote&gt;</w:instrText>
      </w:r>
      <w:r>
        <w:rPr>
          <w:lang w:val="en-GB"/>
        </w:rPr>
        <w:fldChar w:fldCharType="separate"/>
      </w:r>
      <w:r>
        <w:rPr>
          <w:noProof/>
          <w:lang w:val="en-GB"/>
        </w:rPr>
        <w:t>[5]</w:t>
      </w:r>
      <w:r>
        <w:rPr>
          <w:lang w:val="en-GB"/>
        </w:rPr>
        <w:fldChar w:fldCharType="end"/>
      </w:r>
      <w:r>
        <w:rPr>
          <w:lang w:val="en-GB"/>
        </w:rPr>
        <w:t xml:space="preserve"> and called s</w:t>
      </w:r>
      <w:r w:rsidRPr="00C370A1">
        <w:rPr>
          <w:lang w:val="en-GB"/>
        </w:rPr>
        <w:t xml:space="preserve">ingle nucleotide polymorphisms (SNPs) using </w:t>
      </w:r>
      <w:r>
        <w:rPr>
          <w:lang w:val="en-GB"/>
        </w:rPr>
        <w:t>GATK</w:t>
      </w:r>
      <w:r w:rsidRPr="00C370A1">
        <w:rPr>
          <w:lang w:val="en-GB"/>
        </w:rPr>
        <w:t>.</w:t>
      </w:r>
      <w:r>
        <w:rPr>
          <w:lang w:val="en-GB"/>
        </w:rPr>
        <w:t xml:space="preserve"> </w:t>
      </w:r>
    </w:p>
    <w:p w14:paraId="03EE3713" w14:textId="77777777" w:rsidR="00202D04" w:rsidRDefault="00202D04" w:rsidP="00202D04">
      <w:pPr>
        <w:rPr>
          <w:lang w:val="en-GB"/>
        </w:rPr>
      </w:pPr>
    </w:p>
    <w:p w14:paraId="64C376E4" w14:textId="09C58914" w:rsidR="00202D04" w:rsidRDefault="00202D04" w:rsidP="00202D04">
      <w:pPr>
        <w:rPr>
          <w:lang w:val="en-GB"/>
        </w:rPr>
      </w:pPr>
      <w:r w:rsidRPr="00C370A1">
        <w:rPr>
          <w:lang w:val="en-GB"/>
        </w:rPr>
        <w:t xml:space="preserve">We excluded </w:t>
      </w:r>
      <w:r>
        <w:rPr>
          <w:lang w:val="en-GB"/>
        </w:rPr>
        <w:t>low quality (QUAL &lt; 30) SNPs, as well as those</w:t>
      </w:r>
      <w:r w:rsidRPr="00C370A1">
        <w:rPr>
          <w:lang w:val="en-GB"/>
        </w:rPr>
        <w:t xml:space="preserve"> found within unplaced and non-nuclear region</w:t>
      </w:r>
      <w:r>
        <w:rPr>
          <w:lang w:val="en-GB"/>
        </w:rPr>
        <w:t xml:space="preserve">s as follows: those with a Fisher strand bias (FS) &gt; </w:t>
      </w:r>
      <w:r w:rsidRPr="00602991">
        <w:rPr>
          <w:lang w:val="en-GB"/>
        </w:rPr>
        <w:t>20</w:t>
      </w:r>
      <w:r>
        <w:rPr>
          <w:lang w:val="en-GB"/>
        </w:rPr>
        <w:t xml:space="preserve">, a mapping quality (MQ) &lt; 40, a quality by depth (QD) &lt; 2, those that fell within 10 </w:t>
      </w:r>
      <w:r w:rsidR="00767254">
        <w:rPr>
          <w:lang w:val="en-GB"/>
        </w:rPr>
        <w:t>k</w:t>
      </w:r>
      <w:r>
        <w:rPr>
          <w:lang w:val="en-GB"/>
        </w:rPr>
        <w:t xml:space="preserve">b of insertions or deletions, and those that </w:t>
      </w:r>
      <w:r w:rsidRPr="00C370A1">
        <w:rPr>
          <w:lang w:val="en-GB"/>
        </w:rPr>
        <w:t>f</w:t>
      </w:r>
      <w:r>
        <w:rPr>
          <w:lang w:val="en-GB"/>
        </w:rPr>
        <w:t>ell</w:t>
      </w:r>
      <w:r w:rsidRPr="00C370A1">
        <w:rPr>
          <w:lang w:val="en-GB"/>
        </w:rPr>
        <w:t xml:space="preserve"> within </w:t>
      </w:r>
      <w:r w:rsidRPr="00602991">
        <w:rPr>
          <w:lang w:val="en-GB"/>
        </w:rPr>
        <w:t xml:space="preserve">1 kb </w:t>
      </w:r>
      <w:r w:rsidRPr="00C370A1">
        <w:rPr>
          <w:lang w:val="en-GB"/>
        </w:rPr>
        <w:t xml:space="preserve">of SNPs called heterozygous in </w:t>
      </w:r>
      <w:r>
        <w:rPr>
          <w:lang w:val="en-GB"/>
        </w:rPr>
        <w:t xml:space="preserve">the </w:t>
      </w:r>
      <w:r w:rsidR="00767254">
        <w:rPr>
          <w:lang w:val="en-GB"/>
        </w:rPr>
        <w:t xml:space="preserve">father’s </w:t>
      </w:r>
      <w:r>
        <w:rPr>
          <w:lang w:val="en-GB"/>
        </w:rPr>
        <w:t>sample</w:t>
      </w:r>
      <w:r w:rsidRPr="00C370A1">
        <w:rPr>
          <w:lang w:val="en-GB"/>
        </w:rPr>
        <w:t xml:space="preserve"> when set as diploid</w:t>
      </w:r>
      <w:r>
        <w:rPr>
          <w:lang w:val="en-GB"/>
        </w:rPr>
        <w:t xml:space="preserve"> </w:t>
      </w:r>
      <w:r>
        <w:rPr>
          <w:lang w:val="en-GB"/>
        </w:rPr>
        <w:fldChar w:fldCharType="begin"/>
      </w:r>
      <w:r>
        <w:rPr>
          <w:lang w:val="en-GB"/>
        </w:rPr>
        <w:instrText xml:space="preserve"> ADDIN EN.CITE &lt;EndNote&gt;&lt;Cite&gt;&lt;Author&gt;Wallberg&lt;/Author&gt;&lt;Year&gt;2014&lt;/Year&gt;&lt;RecNum&gt;6977&lt;/RecNum&gt;&lt;DisplayText&gt;[6]&lt;/DisplayText&gt;&lt;record&gt;&lt;rec-number&gt;6977&lt;/rec-number&gt;&lt;foreign-keys&gt;&lt;key app="EN" db-id="rxxsvddr12e5seezwd8xza24tead9zxwwrf5" timestamp="1409006928"&gt;6977&lt;/key&gt;&lt;/foreign-keys&gt;&lt;ref-type name="Journal Article"&gt;17&lt;/ref-type&gt;&lt;contributors&gt;&lt;authors&gt;&lt;author&gt;Wallberg, Andreas&lt;/author&gt;&lt;author&gt;Han, Fan&lt;/author&gt;&lt;author&gt;Wellhagen, Gustaf&lt;/author&gt;&lt;author&gt;Dahle, Bjorn&lt;/author&gt;&lt;author&gt;Kawata, Masakado&lt;/author&gt;&lt;author&gt;Haddad, Nizar&lt;/author&gt;&lt;author&gt;Simoes, Zila Luz Paulino&lt;/author&gt;&lt;author&gt;Allsopp, Mike H.&lt;/author&gt;&lt;author&gt;Kandemir, Irfan&lt;/author&gt;&lt;author&gt;De la Rua, Pilar&lt;/author&gt;&lt;author&gt;Pirk, Christian W.&lt;/author&gt;&lt;author&gt;Webster, Matthew T.&lt;/author&gt;&lt;/authors&gt;&lt;/contributors&gt;&lt;titles&gt;&lt;title&gt;&lt;style face="normal" font="default" size="100%"&gt;A worldwide survey of genome sequence variation provides insight into the evolutionary history of the honeybee &lt;/style&gt;&lt;style face="italic" font="default" size="100%"&gt;Apis mellifera&lt;/style&gt;&lt;/title&gt;&lt;secondary-title&gt;Nature Genetics&lt;/secondary-title&gt;&lt;/titles&gt;&lt;periodical&gt;&lt;full-title&gt;Nature Genetics&lt;/full-title&gt;&lt;/periodical&gt;&lt;pages&gt;1081-1088&lt;/pages&gt;&lt;volume&gt;46&lt;/volume&gt;&lt;dates&gt;&lt;year&gt;2014&lt;/year&gt;&lt;/dates&gt;&lt;publisher&gt;Nature Publishing Group, a division of Macmillan Publishers Limited. All Rights Reserved.&lt;/publisher&gt;&lt;isbn&gt;1546-1718&lt;/isbn&gt;&lt;work-type&gt;Article&lt;/work-type&gt;&lt;urls&gt;&lt;related-urls&gt;&lt;url&gt;http://dx.doi.org/10.1038/ng.3077&lt;/url&gt;&lt;/related-urls&gt;&lt;/urls&gt;&lt;electronic-resource-num&gt;10.1038/ng.3077&lt;/electronic-resource-num&gt;&lt;/record&gt;&lt;/Cite&gt;&lt;/EndNote&gt;</w:instrText>
      </w:r>
      <w:r>
        <w:rPr>
          <w:lang w:val="en-GB"/>
        </w:rPr>
        <w:fldChar w:fldCharType="separate"/>
      </w:r>
      <w:r>
        <w:rPr>
          <w:noProof/>
          <w:lang w:val="en-GB"/>
        </w:rPr>
        <w:t>[6]</w:t>
      </w:r>
      <w:r>
        <w:rPr>
          <w:lang w:val="en-GB"/>
        </w:rPr>
        <w:fldChar w:fldCharType="end"/>
      </w:r>
      <w:r>
        <w:rPr>
          <w:lang w:val="en-GB"/>
        </w:rPr>
        <w:t xml:space="preserve"> using GATK. We excluded SNPs with a genotype quality (GQ) &lt; 20, a read depth (DP) &lt; </w:t>
      </w:r>
      <w:r w:rsidRPr="00602991">
        <w:rPr>
          <w:lang w:val="en-GB"/>
        </w:rPr>
        <w:t>20</w:t>
      </w:r>
      <w:r>
        <w:rPr>
          <w:lang w:val="en-GB"/>
        </w:rPr>
        <w:t xml:space="preserve">, those with more than two alleles, those </w:t>
      </w:r>
      <w:r w:rsidRPr="00C370A1">
        <w:rPr>
          <w:lang w:val="en-GB"/>
        </w:rPr>
        <w:t>with a read depth falling outside 1.5 times the inter-quartile range</w:t>
      </w:r>
      <w:r>
        <w:rPr>
          <w:lang w:val="en-GB"/>
        </w:rPr>
        <w:t xml:space="preserve"> </w:t>
      </w:r>
      <w:r>
        <w:rPr>
          <w:lang w:val="en-GB"/>
        </w:rPr>
        <w:fldChar w:fldCharType="begin"/>
      </w:r>
      <w:r>
        <w:rPr>
          <w:lang w:val="en-GB"/>
        </w:rPr>
        <w:instrText xml:space="preserve"> ADDIN EN.CITE &lt;EndNote&gt;&lt;Cite&gt;&lt;Author&gt;Harpur&lt;/Author&gt;&lt;Year&gt;2017&lt;/Year&gt;&lt;RecNum&gt;8465&lt;/RecNum&gt;&lt;DisplayText&gt;[7]&lt;/DisplayText&gt;&lt;record&gt;&lt;rec-number&gt;8465&lt;/rec-number&gt;&lt;foreign-keys&gt;&lt;key app="EN" db-id="rxxsvddr12e5seezwd8xza24tead9zxwwrf5" timestamp="1510643120"&gt;8465&lt;/key&gt;&lt;/foreign-keys&gt;&lt;ref-type name="Journal Article"&gt;17&lt;/ref-type&gt;&lt;contributors&gt;&lt;authors&gt;&lt;author&gt;Harpur, B.A.&lt;/author&gt;&lt;author&gt;Dey, A.&lt;/author&gt;&lt;author&gt;Albert, J.R.&lt;/author&gt;&lt;author&gt;Patel, S.&lt;/author&gt;&lt;author&gt;Hines, H.M.&lt;/author&gt;&lt;author&gt;Hasselmann, M.&lt;/author&gt;&lt;author&gt;Packer, L.&lt;/author&gt;&lt;author&gt;Zayed, A.&lt;/author&gt;&lt;/authors&gt;&lt;/contributors&gt;&lt;titles&gt;&lt;title&gt;Queens and workers contribute differently to adaptive evolution in bumble bees and honey bees&lt;/title&gt;&lt;secondary-title&gt;Genome Biology and Evolution&lt;/secondary-title&gt;&lt;/titles&gt;&lt;periodical&gt;&lt;full-title&gt;Genome Biology and Evolution&lt;/full-title&gt;&lt;abbr-1&gt;Genome Biol. Evol.&lt;/abbr-1&gt;&lt;/periodical&gt;&lt;pages&gt;2395-2402&lt;/pages&gt;&lt;volume&gt;9&lt;/volume&gt;&lt;number&gt;9&lt;/number&gt;&lt;dates&gt;&lt;year&gt;2017&lt;/year&gt;&lt;/dates&gt;&lt;urls&gt;&lt;/urls&gt;&lt;electronic-resource-num&gt;10.1093/gbe/evx182&lt;/electronic-resource-num&gt;&lt;/record&gt;&lt;/Cite&gt;&lt;/EndNote&gt;</w:instrText>
      </w:r>
      <w:r>
        <w:rPr>
          <w:lang w:val="en-GB"/>
        </w:rPr>
        <w:fldChar w:fldCharType="separate"/>
      </w:r>
      <w:r>
        <w:rPr>
          <w:noProof/>
          <w:lang w:val="en-GB"/>
        </w:rPr>
        <w:t>[7]</w:t>
      </w:r>
      <w:r>
        <w:rPr>
          <w:lang w:val="en-GB"/>
        </w:rPr>
        <w:fldChar w:fldCharType="end"/>
      </w:r>
      <w:r>
        <w:rPr>
          <w:lang w:val="en-GB"/>
        </w:rPr>
        <w:t xml:space="preserve">, and those found within centromeres using </w:t>
      </w:r>
      <w:proofErr w:type="spellStart"/>
      <w:r w:rsidRPr="00C370A1">
        <w:rPr>
          <w:lang w:val="en-GB"/>
        </w:rPr>
        <w:t>VCFtools</w:t>
      </w:r>
      <w:proofErr w:type="spellEnd"/>
      <w:r w:rsidRPr="00C370A1">
        <w:rPr>
          <w:lang w:val="en-GB"/>
        </w:rPr>
        <w:t xml:space="preserve"> 0.1.14</w:t>
      </w:r>
      <w:r>
        <w:rPr>
          <w:lang w:val="en-GB"/>
        </w:rPr>
        <w:t xml:space="preserve"> </w:t>
      </w:r>
      <w:r>
        <w:rPr>
          <w:lang w:val="en-GB"/>
        </w:rPr>
        <w:fldChar w:fldCharType="begin"/>
      </w:r>
      <w:r>
        <w:rPr>
          <w:lang w:val="en-GB"/>
        </w:rPr>
        <w:instrText xml:space="preserve"> ADDIN EN.CITE &lt;EndNote&gt;&lt;Cite&gt;&lt;Author&gt;Danecek&lt;/Author&gt;&lt;Year&gt;2011&lt;/Year&gt;&lt;RecNum&gt;9257&lt;/RecNum&gt;&lt;DisplayText&gt;[8]&lt;/DisplayText&gt;&lt;record&gt;&lt;rec-number&gt;9257&lt;/rec-number&gt;&lt;foreign-keys&gt;&lt;key app="EN" db-id="rxxsvddr12e5seezwd8xza24tead9zxwwrf5" timestamp="1615885119"&gt;9257&lt;/key&gt;&lt;/foreign-keys&gt;&lt;ref-type name="Journal Article"&gt;17&lt;/ref-type&gt;&lt;contributors&gt;&lt;authors&gt;&lt;author&gt;Danecek, Petr&lt;/author&gt;&lt;author&gt;Auton, Adam&lt;/author&gt;&lt;author&gt;Abecasis, Goncalo&lt;/author&gt;&lt;author&gt;Albers, Cornelis A.&lt;/author&gt;&lt;author&gt;Banks, Eric&lt;/author&gt;&lt;author&gt;DePristo, Mark A.&lt;/author&gt;&lt;author&gt;Handsaker, Robert E.&lt;/author&gt;&lt;author&gt;Lunter, Gerton&lt;/author&gt;&lt;author&gt;Marth, Gabor T.&lt;/author&gt;&lt;author&gt;Sherry, Stephen T.&lt;/author&gt;&lt;author&gt;McVean, Gilean&lt;/author&gt;&lt;author&gt;Durbin, Richard&lt;/author&gt;&lt;author&gt;Genomes Project Analysis, Group&lt;/author&gt;&lt;/authors&gt;&lt;/contributors&gt;&lt;titles&gt;&lt;title&gt;The variant call format and VCFtools&lt;/title&gt;&lt;secondary-title&gt;Bioinformatics (Oxford, England)&lt;/secondary-title&gt;&lt;alt-title&gt;Bioinformatics&lt;/alt-title&gt;&lt;/titles&gt;&lt;periodical&gt;&lt;full-title&gt;Bioinformatics (Oxford, England)&lt;/full-title&gt;&lt;/periodical&gt;&lt;alt-periodical&gt;&lt;full-title&gt;Bioinformatics&lt;/full-title&gt;&lt;/alt-periodical&gt;&lt;pages&gt;2156-2158&lt;/pages&gt;&lt;volume&gt;27&lt;/volume&gt;&lt;number&gt;15&lt;/number&gt;&lt;edition&gt;2011/06/07&lt;/edition&gt;&lt;keywords&gt;&lt;keyword&gt;Alleles&lt;/keyword&gt;&lt;keyword&gt;*Genetic Variation&lt;/keyword&gt;&lt;keyword&gt;Genome, Human&lt;/keyword&gt;&lt;keyword&gt;Genomics/*methods&lt;/keyword&gt;&lt;keyword&gt;Genotype&lt;/keyword&gt;&lt;keyword&gt;Humans&lt;/keyword&gt;&lt;keyword&gt;Information Storage and Retrieval/*methods&lt;/keyword&gt;&lt;keyword&gt;*Software&lt;/keyword&gt;&lt;/keywords&gt;&lt;dates&gt;&lt;year&gt;2011&lt;/year&gt;&lt;/dates&gt;&lt;publisher&gt;Oxford University Press&lt;/publisher&gt;&lt;isbn&gt;1367-4811&amp;#xD;1367-4803&lt;/isbn&gt;&lt;accession-num&gt;21653522&lt;/accession-num&gt;&lt;urls&gt;&lt;related-urls&gt;&lt;url&gt;https://pubmed.ncbi.nlm.nih.gov/21653522&lt;/url&gt;&lt;url&gt;https://www.ncbi.nlm.nih.gov/pmc/articles/PMC3137218/&lt;/url&gt;&lt;/related-urls&gt;&lt;/urls&gt;&lt;electronic-resource-num&gt;10.1093/bioinformatics/btr330&lt;/electronic-resource-num&gt;&lt;remote-database-name&gt;PubMed&lt;/remote-database-name&gt;&lt;language&gt;eng&lt;/language&gt;&lt;/record&gt;&lt;/Cite&gt;&lt;/EndNote&gt;</w:instrText>
      </w:r>
      <w:r>
        <w:rPr>
          <w:lang w:val="en-GB"/>
        </w:rPr>
        <w:fldChar w:fldCharType="separate"/>
      </w:r>
      <w:r>
        <w:rPr>
          <w:noProof/>
          <w:lang w:val="en-GB"/>
        </w:rPr>
        <w:t>[8]</w:t>
      </w:r>
      <w:r>
        <w:rPr>
          <w:lang w:val="en-GB"/>
        </w:rPr>
        <w:fldChar w:fldCharType="end"/>
      </w:r>
      <w:r>
        <w:rPr>
          <w:lang w:val="en-GB"/>
        </w:rPr>
        <w:t xml:space="preserve">. </w:t>
      </w:r>
    </w:p>
    <w:p w14:paraId="39B5025D" w14:textId="77777777" w:rsidR="00202D04" w:rsidRDefault="00202D04" w:rsidP="00202D04">
      <w:pPr>
        <w:rPr>
          <w:lang w:val="en-GB"/>
        </w:rPr>
      </w:pPr>
    </w:p>
    <w:p w14:paraId="70287516" w14:textId="77777777" w:rsidR="00202D04" w:rsidRDefault="00202D04" w:rsidP="00202D04">
      <w:pPr>
        <w:rPr>
          <w:lang w:val="en-GB"/>
        </w:rPr>
      </w:pPr>
      <w:r>
        <w:rPr>
          <w:lang w:val="en-GB"/>
        </w:rPr>
        <w:t xml:space="preserve">We then determined the positions of centromeres as in </w:t>
      </w:r>
      <w:r>
        <w:rPr>
          <w:lang w:val="en-GB"/>
        </w:rPr>
        <w:fldChar w:fldCharType="begin"/>
      </w:r>
      <w:r>
        <w:rPr>
          <w:lang w:val="en-GB"/>
        </w:rPr>
        <w:instrText xml:space="preserve"> ADDIN EN.CITE &lt;EndNote&gt;&lt;Cite&gt;&lt;Author&gt;Smith&lt;/Author&gt;&lt;Year&gt;2019&lt;/Year&gt;&lt;RecNum&gt;8546&lt;/RecNum&gt;&lt;DisplayText&gt;[9]&lt;/DisplayText&gt;&lt;record&gt;&lt;rec-number&gt;8546&lt;/rec-number&gt;&lt;foreign-keys&gt;&lt;key app="EN" db-id="rxxsvddr12e5seezwd8xza24tead9zxwwrf5" timestamp="1539758719"&gt;8546&lt;/key&gt;&lt;/foreign-keys&gt;&lt;ref-type name="Journal Article"&gt;17&lt;/ref-type&gt;&lt;contributors&gt;&lt;authors&gt;&lt;author&gt;Smith, N.M.A.&lt;/author&gt;&lt;author&gt;Wade, C.&lt;/author&gt;&lt;author&gt;Allsopp, M. H.&lt;/author&gt;&lt;author&gt;Harpur, B.A.&lt;/author&gt;&lt;author&gt;Zayed, A.&lt;/author&gt;&lt;author&gt;Rose, S.A.&lt;/author&gt;&lt;author&gt;Engelstadter, J.&lt;/author&gt;&lt;author&gt;Chapman, N.C.&lt;/author&gt;&lt;author&gt;Yagound, B.&lt;/author&gt;&lt;author&gt;Oldroyd, B.P.&lt;/author&gt;&lt;/authors&gt;&lt;/contributors&gt;&lt;titles&gt;&lt;title&gt;Strikingly high levels of heterozygosity despite 20 years of inbreeding in a clonal honey bee &lt;/title&gt;&lt;secondary-title&gt;Journal of Evolutionary Biology&lt;/secondary-title&gt;&lt;/titles&gt;&lt;periodical&gt;&lt;full-title&gt;Journal of Evolutionary Biology&lt;/full-title&gt;&lt;abbr-1&gt;J. Evol. Biol.&lt;/abbr-1&gt;&lt;/periodical&gt;&lt;pages&gt;144-152&lt;/pages&gt;&lt;volume&gt;33&lt;/volume&gt;&lt;number&gt;2&lt;/number&gt;&lt;dates&gt;&lt;year&gt;2019&lt;/year&gt;&lt;/dates&gt;&lt;urls&gt;&lt;related-urls&gt;&lt;url&gt;https://onlinelibrary.wiley.com/doi/abs/10.1111/jeb.13397&lt;/url&gt;&lt;/related-urls&gt;&lt;/urls&gt;&lt;electronic-resource-num&gt;10.1111/jeb.13397&lt;/electronic-resource-num&gt;&lt;/record&gt;&lt;/Cite&gt;&lt;/EndNote&gt;</w:instrText>
      </w:r>
      <w:r>
        <w:rPr>
          <w:lang w:val="en-GB"/>
        </w:rPr>
        <w:fldChar w:fldCharType="separate"/>
      </w:r>
      <w:r>
        <w:rPr>
          <w:noProof/>
          <w:lang w:val="en-GB"/>
        </w:rPr>
        <w:t>[9]</w:t>
      </w:r>
      <w:r>
        <w:rPr>
          <w:lang w:val="en-GB"/>
        </w:rPr>
        <w:fldChar w:fldCharType="end"/>
      </w:r>
      <w:r>
        <w:rPr>
          <w:lang w:val="en-GB"/>
        </w:rPr>
        <w:t>. We excluded h</w:t>
      </w:r>
      <w:r w:rsidRPr="007550EC">
        <w:rPr>
          <w:lang w:val="en-GB"/>
        </w:rPr>
        <w:t>et</w:t>
      </w:r>
      <w:r>
        <w:rPr>
          <w:lang w:val="en-GB"/>
        </w:rPr>
        <w:t xml:space="preserve">erozygous SNPs with an allele ratio &lt; </w:t>
      </w:r>
      <w:r w:rsidRPr="007550EC">
        <w:rPr>
          <w:lang w:val="en-GB"/>
        </w:rPr>
        <w:t>0.15</w:t>
      </w:r>
      <w:r>
        <w:rPr>
          <w:lang w:val="en-GB"/>
        </w:rPr>
        <w:t xml:space="preserve"> using </w:t>
      </w:r>
      <w:proofErr w:type="spellStart"/>
      <w:r>
        <w:rPr>
          <w:lang w:val="en-GB"/>
        </w:rPr>
        <w:t>BCFtools</w:t>
      </w:r>
      <w:proofErr w:type="spellEnd"/>
      <w:r>
        <w:rPr>
          <w:lang w:val="en-GB"/>
        </w:rPr>
        <w:t xml:space="preserve"> 1.9 </w:t>
      </w:r>
      <w:r>
        <w:rPr>
          <w:lang w:val="en-GB"/>
        </w:rPr>
        <w:fldChar w:fldCharType="begin"/>
      </w:r>
      <w:r>
        <w:rPr>
          <w:lang w:val="en-GB"/>
        </w:rPr>
        <w:instrText xml:space="preserve"> ADDIN EN.CITE &lt;EndNote&gt;&lt;Cite&gt;&lt;Author&gt;Li&lt;/Author&gt;&lt;Year&gt;2011&lt;/Year&gt;&lt;RecNum&gt;9259&lt;/RecNum&gt;&lt;DisplayText&gt;[10]&lt;/DisplayText&gt;&lt;record&gt;&lt;rec-number&gt;9259&lt;/rec-number&gt;&lt;foreign-keys&gt;&lt;key app="EN" db-id="rxxsvddr12e5seezwd8xza24tead9zxwwrf5" timestamp="1615885469"&gt;9259&lt;/key&gt;&lt;/foreign-keys&gt;&lt;ref-type name="Journal Article"&gt;17&lt;/ref-type&gt;&lt;contributors&gt;&lt;authors&gt;&lt;author&gt;Li, Heng&lt;/author&gt;&lt;/authors&gt;&lt;/contributors&gt;&lt;titles&gt;&lt;title&gt;A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-2993&lt;/pages&gt;&lt;volume&gt;27&lt;/volume&gt;&lt;number&gt;21&lt;/number&gt;&lt;dates&gt;&lt;year&gt;2011&lt;/year&gt;&lt;/dates&gt;&lt;isbn&gt;1367-4803&lt;/isbn&gt;&lt;urls&gt;&lt;related-urls&gt;&lt;url&gt;https://doi.org/10.1093/bioinformatics/btr509&lt;/url&gt;&lt;/related-urls&gt;&lt;/urls&gt;&lt;electronic-resource-num&gt;10.1093/bioinformatics/btr509&lt;/electronic-resource-num&gt;&lt;access-date&gt;3/16/2021&lt;/access-date&gt;&lt;/record&gt;&lt;/Cite&gt;&lt;/EndNote&gt;</w:instrText>
      </w:r>
      <w:r>
        <w:rPr>
          <w:lang w:val="en-GB"/>
        </w:rPr>
        <w:fldChar w:fldCharType="separate"/>
      </w:r>
      <w:r>
        <w:rPr>
          <w:noProof/>
          <w:lang w:val="en-GB"/>
        </w:rPr>
        <w:t>[10]</w:t>
      </w:r>
      <w:r>
        <w:rPr>
          <w:lang w:val="en-GB"/>
        </w:rPr>
        <w:fldChar w:fldCharType="end"/>
      </w:r>
      <w:r>
        <w:rPr>
          <w:lang w:val="en-GB"/>
        </w:rPr>
        <w:t xml:space="preserve"> and </w:t>
      </w:r>
      <w:proofErr w:type="spellStart"/>
      <w:r>
        <w:rPr>
          <w:lang w:val="en-GB"/>
        </w:rPr>
        <w:t>BEDtools</w:t>
      </w:r>
      <w:proofErr w:type="spellEnd"/>
      <w:r>
        <w:rPr>
          <w:lang w:val="en-GB"/>
        </w:rPr>
        <w:t xml:space="preserve"> 2.26.0 </w:t>
      </w:r>
      <w:r>
        <w:rPr>
          <w:lang w:val="en-GB"/>
        </w:rPr>
        <w:fldChar w:fldCharType="begin"/>
      </w:r>
      <w:r>
        <w:rPr>
          <w:lang w:val="en-GB"/>
        </w:rPr>
        <w:instrText xml:space="preserve"> ADDIN EN.CITE &lt;EndNote&gt;&lt;Cite&gt;&lt;Author&gt;Quinlan&lt;/Author&gt;&lt;Year&gt;2010&lt;/Year&gt;&lt;RecNum&gt;9258&lt;/RecNum&gt;&lt;DisplayText&gt;[11]&lt;/DisplayText&gt;&lt;record&gt;&lt;rec-number&gt;9258&lt;/rec-number&gt;&lt;foreign-keys&gt;&lt;key app="EN" db-id="rxxsvddr12e5seezwd8xza24tead9zxwwrf5" timestamp="1615885328"&gt;9258&lt;/key&gt;&lt;/foreign-keys&gt;&lt;ref-type name="Journal Article"&gt;17&lt;/ref-type&gt;&lt;contributors&gt;&lt;authors&gt;&lt;author&gt;Quinlan, Aaron R.&lt;/author&gt;&lt;author&gt;Hall, Ira M.&lt;/author&gt;&lt;/authors&gt;&lt;/contributors&gt;&lt;titles&gt;&lt;title&gt;BEDTools: a flexible suite of utilities for comparing genomic features&lt;/title&gt;&lt;secondary-title&gt;Bioinformatics&lt;/secondary-title&gt;&lt;/titles&gt;&lt;periodical&gt;&lt;full-title&gt;Bioinformatics&lt;/full-title&gt;&lt;/periodical&gt;&lt;pages&gt;841-842&lt;/pages&gt;&lt;volume&gt;26&lt;/volume&gt;&lt;number&gt;6&lt;/number&gt;&lt;dates&gt;&lt;year&gt;2010&lt;/year&gt;&lt;/dates&gt;&lt;isbn&gt;1367-4803&lt;/isbn&gt;&lt;urls&gt;&lt;related-urls&gt;&lt;url&gt;https://doi.org/10.1093/bioinformatics/btq033&lt;/url&gt;&lt;/related-urls&gt;&lt;/urls&gt;&lt;electronic-resource-num&gt;10.1093/bioinformatics/btq033&lt;/electronic-resource-num&gt;&lt;access-date&gt;3/16/2021&lt;/access-date&gt;&lt;/record&gt;&lt;/Cite&gt;&lt;/EndNote&gt;</w:instrText>
      </w:r>
      <w:r>
        <w:rPr>
          <w:lang w:val="en-GB"/>
        </w:rPr>
        <w:fldChar w:fldCharType="separate"/>
      </w:r>
      <w:r>
        <w:rPr>
          <w:noProof/>
          <w:lang w:val="en-GB"/>
        </w:rPr>
        <w:t>[11]</w:t>
      </w:r>
      <w:r>
        <w:rPr>
          <w:lang w:val="en-GB"/>
        </w:rPr>
        <w:fldChar w:fldCharType="end"/>
      </w:r>
      <w:r>
        <w:rPr>
          <w:lang w:val="en-GB"/>
        </w:rPr>
        <w:t>.</w:t>
      </w:r>
    </w:p>
    <w:p w14:paraId="5B20BBE2" w14:textId="77777777" w:rsidR="00202D04" w:rsidRDefault="00202D04" w:rsidP="00202D04">
      <w:pPr>
        <w:rPr>
          <w:lang w:val="en-GB"/>
        </w:rPr>
      </w:pPr>
    </w:p>
    <w:p w14:paraId="11D4C6B7" w14:textId="797679CC" w:rsidR="00202D04" w:rsidRDefault="00202D04" w:rsidP="00202D04">
      <w:pPr>
        <w:rPr>
          <w:lang w:val="en-GB"/>
        </w:rPr>
      </w:pPr>
      <w:r>
        <w:rPr>
          <w:lang w:val="en-GB"/>
        </w:rPr>
        <w:t xml:space="preserve">We used </w:t>
      </w:r>
      <w:proofErr w:type="spellStart"/>
      <w:r w:rsidRPr="0037516E">
        <w:rPr>
          <w:lang w:val="en-GB"/>
        </w:rPr>
        <w:t>SnpEff</w:t>
      </w:r>
      <w:proofErr w:type="spellEnd"/>
      <w:r w:rsidRPr="0037516E">
        <w:rPr>
          <w:lang w:val="en-GB"/>
        </w:rPr>
        <w:t xml:space="preserve"> 4.3</w:t>
      </w:r>
      <w:r>
        <w:rPr>
          <w:lang w:val="en-GB"/>
        </w:rPr>
        <w:t xml:space="preserve"> </w:t>
      </w:r>
      <w:r>
        <w:rPr>
          <w:lang w:val="en-GB"/>
        </w:rPr>
        <w:fldChar w:fldCharType="begin">
          <w:fldData xml:space="preserve">PEVuZE5vdGU+PENpdGU+PEF1dGhvcj5DaW5nb2xhbmk8L0F1dGhvcj48WWVhcj4yMDEyPC9ZZWFy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==
</w:fldData>
        </w:fldChar>
      </w:r>
      <w:r>
        <w:rPr>
          <w:lang w:val="en-GB"/>
        </w:rPr>
        <w:instrText xml:space="preserve"> ADDIN EN.CITE </w:instrText>
      </w:r>
      <w:r>
        <w:rPr>
          <w:lang w:val="en-GB"/>
        </w:rPr>
        <w:fldChar w:fldCharType="begin">
          <w:fldData xml:space="preserve">PEVuZE5vdGU+PENpdGU+PEF1dGhvcj5DaW5nb2xhbmk8L0F1dGhvcj48WWVhcj4yMDEyPC9ZZWFy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==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[12]</w:t>
      </w:r>
      <w:r>
        <w:rPr>
          <w:lang w:val="en-GB"/>
        </w:rPr>
        <w:fldChar w:fldCharType="end"/>
      </w:r>
      <w:r>
        <w:rPr>
          <w:lang w:val="en-GB"/>
        </w:rPr>
        <w:t xml:space="preserve"> to extract all heterozygous SNPs and all homozygous SNPs found in the mother worker and the 14 offspring larvae.</w:t>
      </w:r>
      <w:r w:rsidRPr="00261F87">
        <w:rPr>
          <w:lang w:val="en-GB"/>
        </w:rPr>
        <w:t xml:space="preserve"> </w:t>
      </w:r>
      <w:r>
        <w:rPr>
          <w:lang w:val="en-GB"/>
        </w:rPr>
        <w:t xml:space="preserve">We used </w:t>
      </w:r>
      <w:r w:rsidRPr="00C56D4F">
        <w:rPr>
          <w:lang w:val="en-GB"/>
        </w:rPr>
        <w:t>R 3.3.3</w:t>
      </w:r>
      <w:r>
        <w:rPr>
          <w:lang w:val="en-GB"/>
        </w:rPr>
        <w:t xml:space="preserve"> </w:t>
      </w:r>
      <w:r>
        <w:rPr>
          <w:lang w:val="en-GB"/>
        </w:rPr>
        <w:fldChar w:fldCharType="begin"/>
      </w:r>
      <w:r>
        <w:rPr>
          <w:lang w:val="en-GB"/>
        </w:rPr>
        <w:instrText xml:space="preserve"> ADDIN EN.CITE &lt;EndNote&gt;&lt;Cite&gt;&lt;Author&gt;RCoreTeam&lt;/Author&gt;&lt;Year&gt;2000&lt;/Year&gt;&lt;RecNum&gt;9261&lt;/RecNum&gt;&lt;DisplayText&gt;[13]&lt;/DisplayText&gt;&lt;record&gt;&lt;rec-number&gt;9261&lt;/rec-number&gt;&lt;foreign-keys&gt;&lt;key app="EN" db-id="rxxsvddr12e5seezwd8xza24tead9zxwwrf5" timestamp="1615886139"&gt;9261&lt;/key&gt;&lt;/foreign-keys&gt;&lt;ref-type name="Computer Program"&gt;9&lt;/ref-type&gt;&lt;contributors&gt;&lt;authors&gt;&lt;author&gt;RCoreTeam&lt;/author&gt;&lt;/authors&gt;&lt;/contributors&gt;&lt;titles&gt;&lt;title&gt;R language definition&lt;/title&gt;&lt;/titles&gt;&lt;dates&gt;&lt;year&gt;2000&lt;/year&gt;&lt;/dates&gt;&lt;pub-location&gt;Viena, Austria&lt;/pub-location&gt;&lt;publisher&gt;R  Foundation for Statistical Computing&lt;/publisher&gt;&lt;urls&gt;&lt;/urls&gt;&lt;/record&gt;&lt;/Cite&gt;&lt;/EndNote&gt;</w:instrText>
      </w:r>
      <w:r>
        <w:rPr>
          <w:lang w:val="en-GB"/>
        </w:rPr>
        <w:fldChar w:fldCharType="separate"/>
      </w:r>
      <w:r>
        <w:rPr>
          <w:noProof/>
          <w:lang w:val="en-GB"/>
        </w:rPr>
        <w:t>[13]</w:t>
      </w:r>
      <w:r>
        <w:rPr>
          <w:lang w:val="en-GB"/>
        </w:rPr>
        <w:fldChar w:fldCharType="end"/>
      </w:r>
      <w:r>
        <w:rPr>
          <w:lang w:val="en-GB"/>
        </w:rPr>
        <w:t xml:space="preserve"> to determine the number of heterozygous and homozygous SNPs overlapping between the mother worker and each offspring larvae. We estimated the loss of heterozygosity in each offspring larvae as the number of homozygous SNPs being heterozygous in the mother worker, divided by the total number of SNPs being heterozygous in the mother and overlapping with that particular offspring. We </w:t>
      </w:r>
      <w:r w:rsidR="001202E7">
        <w:rPr>
          <w:lang w:val="en-GB"/>
        </w:rPr>
        <w:t xml:space="preserve">then </w:t>
      </w:r>
      <w:r>
        <w:rPr>
          <w:lang w:val="en-GB"/>
        </w:rPr>
        <w:t xml:space="preserve">used </w:t>
      </w:r>
      <w:proofErr w:type="spellStart"/>
      <w:r>
        <w:rPr>
          <w:lang w:val="en-GB"/>
        </w:rPr>
        <w:t>BEDtools</w:t>
      </w:r>
      <w:proofErr w:type="spellEnd"/>
      <w:r>
        <w:rPr>
          <w:lang w:val="en-GB"/>
        </w:rPr>
        <w:t xml:space="preserve"> to create 10 kb windows along the entire genome </w:t>
      </w:r>
      <w:r>
        <w:rPr>
          <w:lang w:val="en-GB"/>
        </w:rPr>
        <w:fldChar w:fldCharType="begin"/>
      </w:r>
      <w:r>
        <w:rPr>
          <w:lang w:val="en-GB"/>
        </w:rPr>
        <w:instrText xml:space="preserve"> ADDIN EN.CITE &lt;EndNote&gt;&lt;Cite&gt;&lt;Author&gt;Smith&lt;/Author&gt;&lt;Year&gt;2019&lt;/Year&gt;&lt;RecNum&gt;8546&lt;/RecNum&gt;&lt;DisplayText&gt;[9]&lt;/DisplayText&gt;&lt;record&gt;&lt;rec-number&gt;8546&lt;/rec-number&gt;&lt;foreign-keys&gt;&lt;key app="EN" db-id="rxxsvddr12e5seezwd8xza24tead9zxwwrf5" timestamp="1539758719"&gt;8546&lt;/key&gt;&lt;/foreign-keys&gt;&lt;ref-type name="Journal Article"&gt;17&lt;/ref-type&gt;&lt;contributors&gt;&lt;authors&gt;&lt;author&gt;Smith, N.M.A.&lt;/author&gt;&lt;author&gt;Wade, C.&lt;/author&gt;&lt;author&gt;Allsopp, M. H.&lt;/author&gt;&lt;author&gt;Harpur, B.A.&lt;/author&gt;&lt;author&gt;Zayed, A.&lt;/author&gt;&lt;author&gt;Rose, S.A.&lt;/author&gt;&lt;author&gt;Engelstadter, J.&lt;/author&gt;&lt;author&gt;Chapman, N.C.&lt;/author&gt;&lt;author&gt;Yagound, B.&lt;/author&gt;&lt;author&gt;Oldroyd, B.P.&lt;/author&gt;&lt;/authors&gt;&lt;/contributors&gt;&lt;titles&gt;&lt;title&gt;Strikingly high levels of heterozygosity despite 20 years of inbreeding in a clonal honey bee &lt;/title&gt;&lt;secondary-title&gt;Journal of Evolutionary Biology&lt;/secondary-title&gt;&lt;/titles&gt;&lt;periodical&gt;&lt;full-title&gt;Journal of Evolutionary Biology&lt;/full-title&gt;&lt;abbr-1&gt;J. Evol. Biol.&lt;/abbr-1&gt;&lt;/periodical&gt;&lt;pages&gt;144-152&lt;/pages&gt;&lt;volume&gt;33&lt;/volume&gt;&lt;number&gt;2&lt;/number&gt;&lt;dates&gt;&lt;year&gt;2019&lt;/year&gt;&lt;/dates&gt;&lt;urls&gt;&lt;related-urls&gt;&lt;url&gt;https://onlinelibrary.wiley.com/doi/abs/10.1111/jeb.13397&lt;/url&gt;&lt;/related-urls&gt;&lt;/urls&gt;&lt;electronic-resource-num&gt;10.1111/jeb.13397&lt;/electronic-resource-num&gt;&lt;/record&gt;&lt;/Cite&gt;&lt;/EndNote&gt;</w:instrText>
      </w:r>
      <w:r>
        <w:rPr>
          <w:lang w:val="en-GB"/>
        </w:rPr>
        <w:fldChar w:fldCharType="separate"/>
      </w:r>
      <w:r>
        <w:rPr>
          <w:noProof/>
          <w:lang w:val="en-GB"/>
        </w:rPr>
        <w:t>[9]</w:t>
      </w:r>
      <w:r>
        <w:rPr>
          <w:lang w:val="en-GB"/>
        </w:rPr>
        <w:fldChar w:fldCharType="end"/>
      </w:r>
      <w:r>
        <w:rPr>
          <w:lang w:val="en-GB"/>
        </w:rPr>
        <w:t xml:space="preserve">. We then retrieved, for each individual, the number of heterozygous and homozygous SNPs in each window with </w:t>
      </w:r>
      <w:proofErr w:type="spellStart"/>
      <w:r>
        <w:rPr>
          <w:lang w:val="en-GB"/>
        </w:rPr>
        <w:t>BEDtools</w:t>
      </w:r>
      <w:proofErr w:type="spellEnd"/>
      <w:r w:rsidR="001202E7">
        <w:rPr>
          <w:lang w:val="en-GB"/>
        </w:rPr>
        <w:t xml:space="preserve">, only considering </w:t>
      </w:r>
      <w:r>
        <w:rPr>
          <w:lang w:val="en-GB"/>
        </w:rPr>
        <w:t xml:space="preserve"> windows </w:t>
      </w:r>
      <w:r w:rsidR="001202E7">
        <w:rPr>
          <w:lang w:val="en-GB"/>
        </w:rPr>
        <w:t>that</w:t>
      </w:r>
      <w:r>
        <w:rPr>
          <w:lang w:val="en-GB"/>
        </w:rPr>
        <w:t xml:space="preserve"> had at least 10 SNPs. We calculated the level of heterozygosity per window as the number of heterozygous SNPs divided by the total number of SNPs in each window. Windows with a heterozygosity level of zero were deemed homozygous. All other windows were deemed heterozygous. We used R to determine the number of heterozygous windows overlapping between the mother worker and the 14 offspring larvae. We calculated the proportion of the genome always found to be heterozygous as the number of overlapping heterozygous windows divided by the total number of overlapping windows. We used </w:t>
      </w:r>
      <w:proofErr w:type="spellStart"/>
      <w:r>
        <w:rPr>
          <w:lang w:val="en-GB"/>
        </w:rPr>
        <w:t>BEDtools</w:t>
      </w:r>
      <w:proofErr w:type="spellEnd"/>
      <w:r>
        <w:rPr>
          <w:lang w:val="en-GB"/>
        </w:rPr>
        <w:t xml:space="preserve"> to retrieve the number of genes intersecting with all overlapping heterozygous windows.</w:t>
      </w:r>
    </w:p>
    <w:p w14:paraId="2AD80664" w14:textId="77777777" w:rsidR="00202D04" w:rsidRDefault="00202D04" w:rsidP="00202D04">
      <w:pPr>
        <w:rPr>
          <w:lang w:val="en-GB"/>
        </w:rPr>
      </w:pPr>
    </w:p>
    <w:p w14:paraId="3C79EEBD" w14:textId="77777777" w:rsidR="00202D04" w:rsidRPr="00602991" w:rsidRDefault="00202D04" w:rsidP="00202D04">
      <w:pPr>
        <w:rPr>
          <w:lang w:val="en-GB"/>
        </w:rPr>
      </w:pPr>
      <w:r w:rsidRPr="00602991">
        <w:rPr>
          <w:lang w:val="en-GB"/>
        </w:rPr>
        <w:t xml:space="preserve">We tested the effect of distance from the centromere on the probability that windows would lose heterozygosity using a generalised linear mixed-effect model (GLMM) with a binomial distribution and a logic link function using the R package lme4 </w:t>
      </w:r>
      <w:r>
        <w:rPr>
          <w:lang w:val="en-GB"/>
        </w:rPr>
        <w:fldChar w:fldCharType="begin"/>
      </w:r>
      <w:r>
        <w:rPr>
          <w:lang w:val="en-GB"/>
        </w:rPr>
        <w:instrText xml:space="preserve"> ADDIN EN.CITE &lt;EndNote&gt;&lt;Cite&gt;&lt;Author&gt;Bates&lt;/Author&gt;&lt;Year&gt;2015&lt;/Year&gt;&lt;RecNum&gt;9253&lt;/RecNum&gt;&lt;DisplayText&gt;[14]&lt;/DisplayText&gt;&lt;record&gt;&lt;rec-number&gt;9253&lt;/rec-number&gt;&lt;foreign-keys&gt;&lt;key app="EN" db-id="rxxsvddr12e5seezwd8xza24tead9zxwwrf5" timestamp="1615883986"&gt;9253&lt;/key&gt;&lt;/foreign-keys&gt;&lt;ref-type name="Journal Article"&gt;17&lt;/ref-type&gt;&lt;contributors&gt;&lt;authors&gt;&lt;author&gt;Bates, D.&lt;/author&gt;&lt;author&gt;Machler, M.&lt;/author&gt;&lt;author&gt;Bolker, B.M.&lt;/author&gt;&lt;author&gt;Walker, S.C.&lt;/author&gt;&lt;/authors&gt;&lt;/contributors&gt;&lt;titles&gt;&lt;title&gt;Fitting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dates&gt;&lt;year&gt;2015&lt;/year&gt;&lt;/dates&gt;&lt;urls&gt;&lt;/urls&gt;&lt;electronic-resource-num&gt;10.18637/JSS.V067.I01&lt;/electronic-resource-num&gt;&lt;/record&gt;&lt;/Cite&gt;&lt;/EndNote&gt;</w:instrText>
      </w:r>
      <w:r>
        <w:rPr>
          <w:lang w:val="en-GB"/>
        </w:rPr>
        <w:fldChar w:fldCharType="separate"/>
      </w:r>
      <w:r>
        <w:rPr>
          <w:noProof/>
          <w:lang w:val="en-GB"/>
        </w:rPr>
        <w:t>[14]</w:t>
      </w:r>
      <w:r>
        <w:rPr>
          <w:lang w:val="en-GB"/>
        </w:rPr>
        <w:fldChar w:fldCharType="end"/>
      </w:r>
      <w:r w:rsidRPr="00602991">
        <w:rPr>
          <w:lang w:val="en-GB"/>
        </w:rPr>
        <w:t xml:space="preserve">. Log(distance of </w:t>
      </w:r>
      <w:r w:rsidRPr="00602991">
        <w:rPr>
          <w:lang w:val="en-GB"/>
        </w:rPr>
        <w:lastRenderedPageBreak/>
        <w:t>the centre of a window from the centromere) was modelled as a fixed effect and offspring larva was modelled as a random effect.</w:t>
      </w:r>
    </w:p>
    <w:p w14:paraId="2CC89C48" w14:textId="77777777" w:rsidR="00202D04" w:rsidRDefault="00202D04" w:rsidP="00202D04">
      <w:pPr>
        <w:rPr>
          <w:highlight w:val="green"/>
          <w:lang w:val="en-GB"/>
        </w:rPr>
      </w:pPr>
    </w:p>
    <w:p w14:paraId="272044E8" w14:textId="77777777" w:rsidR="00202D04" w:rsidRPr="003C292E" w:rsidRDefault="00202D04" w:rsidP="00202D04">
      <w:pPr>
        <w:pStyle w:val="EndNoteBibliography"/>
        <w:rPr>
          <w:noProof/>
        </w:rPr>
      </w:pPr>
      <w:r>
        <w:rPr>
          <w:lang w:val="en-GB"/>
        </w:rPr>
        <w:fldChar w:fldCharType="begin"/>
      </w:r>
      <w:r>
        <w:rPr>
          <w:lang w:val="en-GB"/>
        </w:rPr>
        <w:instrText xml:space="preserve"> ADDIN EN.REFLIST </w:instrText>
      </w:r>
      <w:r>
        <w:rPr>
          <w:lang w:val="en-GB"/>
        </w:rPr>
        <w:fldChar w:fldCharType="separate"/>
      </w:r>
      <w:r w:rsidRPr="003C292E">
        <w:rPr>
          <w:noProof/>
        </w:rPr>
        <w:t>1.</w:t>
      </w:r>
      <w:r w:rsidRPr="003C292E">
        <w:rPr>
          <w:noProof/>
        </w:rPr>
        <w:tab/>
        <w:t xml:space="preserve">Bolger A.M., Lohse M., Usadel B. 2014 Trimmomatic: a flexible trimmer for Illumina sequence data. </w:t>
      </w:r>
      <w:r w:rsidRPr="003C292E">
        <w:rPr>
          <w:i/>
          <w:noProof/>
        </w:rPr>
        <w:t>Bioinformatics</w:t>
      </w:r>
      <w:r w:rsidRPr="003C292E">
        <w:rPr>
          <w:noProof/>
        </w:rPr>
        <w:t xml:space="preserve"> </w:t>
      </w:r>
      <w:r w:rsidRPr="003C292E">
        <w:rPr>
          <w:b/>
          <w:noProof/>
        </w:rPr>
        <w:t>30</w:t>
      </w:r>
      <w:r w:rsidRPr="003C292E">
        <w:rPr>
          <w:noProof/>
        </w:rPr>
        <w:t>(15), 2114-2120. (doi:10.1093/bioinformatics/btu170).</w:t>
      </w:r>
    </w:p>
    <w:p w14:paraId="1C004E74" w14:textId="77777777" w:rsidR="00202D04" w:rsidRPr="003C292E" w:rsidRDefault="00202D04" w:rsidP="00202D04">
      <w:pPr>
        <w:pStyle w:val="EndNoteBibliography"/>
        <w:rPr>
          <w:noProof/>
        </w:rPr>
      </w:pPr>
      <w:r w:rsidRPr="003C292E">
        <w:rPr>
          <w:noProof/>
        </w:rPr>
        <w:t>2.</w:t>
      </w:r>
      <w:r w:rsidRPr="003C292E">
        <w:rPr>
          <w:noProof/>
        </w:rPr>
        <w:tab/>
        <w:t xml:space="preserve">Wallberg A., Bunikis I., Pettersson O.V., Mosbech M.-B., Childers A.K., Evans J.D., Mikheyev A.S., Robertson H.M., Robinson G.E., Webster M.T. 2019 A hybrid de novo genome assembly of the honeybee, </w:t>
      </w:r>
      <w:r w:rsidRPr="003C292E">
        <w:rPr>
          <w:i/>
          <w:noProof/>
        </w:rPr>
        <w:t>Apis mellifera</w:t>
      </w:r>
      <w:r w:rsidRPr="003C292E">
        <w:rPr>
          <w:noProof/>
        </w:rPr>
        <w:t xml:space="preserve">, with chromosome-length scaffolds. </w:t>
      </w:r>
      <w:r w:rsidRPr="003C292E">
        <w:rPr>
          <w:i/>
          <w:noProof/>
        </w:rPr>
        <w:t>BMC Genomics</w:t>
      </w:r>
      <w:r w:rsidRPr="003C292E">
        <w:rPr>
          <w:noProof/>
        </w:rPr>
        <w:t xml:space="preserve"> </w:t>
      </w:r>
      <w:r w:rsidRPr="003C292E">
        <w:rPr>
          <w:b/>
          <w:noProof/>
        </w:rPr>
        <w:t>20</w:t>
      </w:r>
      <w:r w:rsidRPr="003C292E">
        <w:rPr>
          <w:noProof/>
        </w:rPr>
        <w:t>(1), 275. (doi:10.1186/s12864-019-5642-0).</w:t>
      </w:r>
    </w:p>
    <w:p w14:paraId="52CE6745" w14:textId="77777777" w:rsidR="00202D04" w:rsidRPr="003C292E" w:rsidRDefault="00202D04" w:rsidP="00202D04">
      <w:pPr>
        <w:pStyle w:val="EndNoteBibliography"/>
        <w:rPr>
          <w:noProof/>
        </w:rPr>
      </w:pPr>
      <w:r w:rsidRPr="003C292E">
        <w:rPr>
          <w:noProof/>
        </w:rPr>
        <w:t>3.</w:t>
      </w:r>
      <w:r w:rsidRPr="003C292E">
        <w:rPr>
          <w:noProof/>
        </w:rPr>
        <w:tab/>
        <w:t xml:space="preserve">Li H., Durbin R. 2009 Fast and accurate short read alignment with Burrows–Wheeler transform. </w:t>
      </w:r>
      <w:r w:rsidRPr="003C292E">
        <w:rPr>
          <w:i/>
          <w:noProof/>
        </w:rPr>
        <w:t>Bioinformatics</w:t>
      </w:r>
      <w:r w:rsidRPr="003C292E">
        <w:rPr>
          <w:noProof/>
        </w:rPr>
        <w:t xml:space="preserve"> </w:t>
      </w:r>
      <w:r w:rsidRPr="003C292E">
        <w:rPr>
          <w:b/>
          <w:noProof/>
        </w:rPr>
        <w:t>25</w:t>
      </w:r>
      <w:r w:rsidRPr="003C292E">
        <w:rPr>
          <w:noProof/>
        </w:rPr>
        <w:t>(14), 1754-1760. (doi:10.1093/bioinformatics/btp324).</w:t>
      </w:r>
    </w:p>
    <w:p w14:paraId="535CA592" w14:textId="77777777" w:rsidR="00202D04" w:rsidRPr="003C292E" w:rsidRDefault="00202D04" w:rsidP="00202D04">
      <w:pPr>
        <w:pStyle w:val="EndNoteBibliography"/>
        <w:rPr>
          <w:noProof/>
        </w:rPr>
      </w:pPr>
      <w:r w:rsidRPr="003C292E">
        <w:rPr>
          <w:noProof/>
        </w:rPr>
        <w:t>4.</w:t>
      </w:r>
      <w:r w:rsidRPr="003C292E">
        <w:rPr>
          <w:noProof/>
        </w:rPr>
        <w:tab/>
        <w:t xml:space="preserve">Li H., Handsaker B., Wysoker A., Fennell T., Ruan J., Homer N., Marth G., Abecasis G., Durbin R., Subgroup G.P.D.P. 2009 The Sequence Alignment/Map format and SAMtools. </w:t>
      </w:r>
      <w:r w:rsidRPr="003C292E">
        <w:rPr>
          <w:i/>
          <w:noProof/>
        </w:rPr>
        <w:t>Bioinformatics</w:t>
      </w:r>
      <w:r w:rsidRPr="003C292E">
        <w:rPr>
          <w:noProof/>
        </w:rPr>
        <w:t xml:space="preserve"> </w:t>
      </w:r>
      <w:r w:rsidRPr="003C292E">
        <w:rPr>
          <w:b/>
          <w:noProof/>
        </w:rPr>
        <w:t>25</w:t>
      </w:r>
      <w:r w:rsidRPr="003C292E">
        <w:rPr>
          <w:noProof/>
        </w:rPr>
        <w:t>(16), 2078-2079. (doi:10.1093/bioinformatics/btp352).</w:t>
      </w:r>
    </w:p>
    <w:p w14:paraId="2448B446" w14:textId="77777777" w:rsidR="00202D04" w:rsidRPr="003C292E" w:rsidRDefault="00202D04" w:rsidP="00202D04">
      <w:pPr>
        <w:pStyle w:val="EndNoteBibliography"/>
        <w:rPr>
          <w:noProof/>
        </w:rPr>
      </w:pPr>
      <w:r w:rsidRPr="003C292E">
        <w:rPr>
          <w:noProof/>
        </w:rPr>
        <w:t>5.</w:t>
      </w:r>
      <w:r w:rsidRPr="003C292E">
        <w:rPr>
          <w:noProof/>
        </w:rPr>
        <w:tab/>
        <w:t xml:space="preserve">McKenna A., Hanna M., Banks E., Sivachenko A., Cibulskis K., Kernytsky A., Garimella K., Altshuler D., Gabriel S., Daly M., et al. 2010 The Genome Analysis Toolkit: a MapReduce framework for analyzing next-generation DNA sequencing data. </w:t>
      </w:r>
      <w:r w:rsidRPr="003C292E">
        <w:rPr>
          <w:i/>
          <w:noProof/>
        </w:rPr>
        <w:t>Gen Res</w:t>
      </w:r>
      <w:r w:rsidRPr="003C292E">
        <w:rPr>
          <w:noProof/>
        </w:rPr>
        <w:t xml:space="preserve"> </w:t>
      </w:r>
      <w:r w:rsidRPr="003C292E">
        <w:rPr>
          <w:b/>
          <w:noProof/>
        </w:rPr>
        <w:t>20</w:t>
      </w:r>
      <w:r w:rsidRPr="003C292E">
        <w:rPr>
          <w:noProof/>
        </w:rPr>
        <w:t>(9), 1297-1303. (doi:10.1101/gr.107524.110).</w:t>
      </w:r>
    </w:p>
    <w:p w14:paraId="143899EE" w14:textId="77777777" w:rsidR="00202D04" w:rsidRPr="003C292E" w:rsidRDefault="00202D04" w:rsidP="00202D04">
      <w:pPr>
        <w:pStyle w:val="EndNoteBibliography"/>
        <w:rPr>
          <w:noProof/>
        </w:rPr>
      </w:pPr>
      <w:r w:rsidRPr="003C292E">
        <w:rPr>
          <w:noProof/>
        </w:rPr>
        <w:t>6.</w:t>
      </w:r>
      <w:r w:rsidRPr="003C292E">
        <w:rPr>
          <w:noProof/>
        </w:rPr>
        <w:tab/>
        <w:t xml:space="preserve">Wallberg A., Han F., Wellhagen G., Dahle B., Kawata M., Haddad N., Simoes Z.L.P., Allsopp M.H., Kandemir I., De la Rua P., et al. 2014 A worldwide survey of genome sequence variation provides insight into the evolutionary history of the honeybee </w:t>
      </w:r>
      <w:r w:rsidRPr="003C292E">
        <w:rPr>
          <w:i/>
          <w:noProof/>
        </w:rPr>
        <w:t>Apis mellifera</w:t>
      </w:r>
      <w:r w:rsidRPr="003C292E">
        <w:rPr>
          <w:noProof/>
        </w:rPr>
        <w:t xml:space="preserve">. </w:t>
      </w:r>
      <w:r w:rsidRPr="003C292E">
        <w:rPr>
          <w:i/>
          <w:noProof/>
        </w:rPr>
        <w:t>Nature Genetics</w:t>
      </w:r>
      <w:r w:rsidRPr="003C292E">
        <w:rPr>
          <w:noProof/>
        </w:rPr>
        <w:t xml:space="preserve"> </w:t>
      </w:r>
      <w:r w:rsidRPr="003C292E">
        <w:rPr>
          <w:b/>
          <w:noProof/>
        </w:rPr>
        <w:t>46</w:t>
      </w:r>
      <w:r w:rsidRPr="003C292E">
        <w:rPr>
          <w:noProof/>
        </w:rPr>
        <w:t>, 1081-1088. (doi:10.1038/ng.3077).</w:t>
      </w:r>
    </w:p>
    <w:p w14:paraId="5A75F149" w14:textId="77777777" w:rsidR="00202D04" w:rsidRPr="003C292E" w:rsidRDefault="00202D04" w:rsidP="00202D04">
      <w:pPr>
        <w:pStyle w:val="EndNoteBibliography"/>
        <w:rPr>
          <w:noProof/>
        </w:rPr>
      </w:pPr>
      <w:r w:rsidRPr="003C292E">
        <w:rPr>
          <w:noProof/>
        </w:rPr>
        <w:t>7.</w:t>
      </w:r>
      <w:r w:rsidRPr="003C292E">
        <w:rPr>
          <w:noProof/>
        </w:rPr>
        <w:tab/>
        <w:t xml:space="preserve">Harpur B.A., Dey A., Albert J.R., Patel S., Hines H.M., Hasselmann M., Packer L., Zayed A. 2017 Queens and workers contribute differently to adaptive evolution in bumble bees and honey bees. </w:t>
      </w:r>
      <w:r w:rsidRPr="003C292E">
        <w:rPr>
          <w:i/>
          <w:noProof/>
        </w:rPr>
        <w:t>Genome Biol Evol</w:t>
      </w:r>
      <w:r w:rsidRPr="003C292E">
        <w:rPr>
          <w:noProof/>
        </w:rPr>
        <w:t xml:space="preserve"> </w:t>
      </w:r>
      <w:r w:rsidRPr="003C292E">
        <w:rPr>
          <w:b/>
          <w:noProof/>
        </w:rPr>
        <w:t>9</w:t>
      </w:r>
      <w:r w:rsidRPr="003C292E">
        <w:rPr>
          <w:noProof/>
        </w:rPr>
        <w:t>(9), 2395-2402. (doi:10.1093/gbe/evx182).</w:t>
      </w:r>
    </w:p>
    <w:p w14:paraId="79B675B4" w14:textId="77777777" w:rsidR="00202D04" w:rsidRPr="003C292E" w:rsidRDefault="00202D04" w:rsidP="00202D04">
      <w:pPr>
        <w:pStyle w:val="EndNoteBibliography"/>
        <w:rPr>
          <w:noProof/>
        </w:rPr>
      </w:pPr>
      <w:r w:rsidRPr="003C292E">
        <w:rPr>
          <w:noProof/>
        </w:rPr>
        <w:t>8.</w:t>
      </w:r>
      <w:r w:rsidRPr="003C292E">
        <w:rPr>
          <w:noProof/>
        </w:rPr>
        <w:tab/>
        <w:t xml:space="preserve">Danecek P., Auton A., Abecasis G., Albers C.A., Banks E., DePristo M.A., Handsaker R.E., Lunter G., Marth G.T., Sherry S.T., et al. 2011 The variant call format and VCFtools. </w:t>
      </w:r>
      <w:r w:rsidRPr="003C292E">
        <w:rPr>
          <w:i/>
          <w:noProof/>
        </w:rPr>
        <w:t>Bioinformatics (Oxford, England)</w:t>
      </w:r>
      <w:r w:rsidRPr="003C292E">
        <w:rPr>
          <w:noProof/>
        </w:rPr>
        <w:t xml:space="preserve"> </w:t>
      </w:r>
      <w:r w:rsidRPr="003C292E">
        <w:rPr>
          <w:b/>
          <w:noProof/>
        </w:rPr>
        <w:t>27</w:t>
      </w:r>
      <w:r w:rsidRPr="003C292E">
        <w:rPr>
          <w:noProof/>
        </w:rPr>
        <w:t>(15), 2156-2158. (doi:10.1093/bioinformatics/btr330).</w:t>
      </w:r>
    </w:p>
    <w:p w14:paraId="67CE61B7" w14:textId="77777777" w:rsidR="00202D04" w:rsidRPr="003C292E" w:rsidRDefault="00202D04" w:rsidP="00202D04">
      <w:pPr>
        <w:pStyle w:val="EndNoteBibliography"/>
        <w:rPr>
          <w:noProof/>
        </w:rPr>
      </w:pPr>
      <w:r w:rsidRPr="003C292E">
        <w:rPr>
          <w:noProof/>
        </w:rPr>
        <w:t>9.</w:t>
      </w:r>
      <w:r w:rsidRPr="003C292E">
        <w:rPr>
          <w:noProof/>
        </w:rPr>
        <w:tab/>
        <w:t xml:space="preserve">Smith N.M.A., Wade C., Allsopp M.H., Harpur B.A., Zayed A., Rose S.A., Engelstadter J., Chapman N.C., Yagound B., Oldroyd B.P. 2019 Strikingly high levels of heterozygosity despite 20 years of inbreeding in a clonal honey bee </w:t>
      </w:r>
      <w:r w:rsidRPr="003C292E">
        <w:rPr>
          <w:i/>
          <w:noProof/>
        </w:rPr>
        <w:t>J Evol Biol</w:t>
      </w:r>
      <w:r w:rsidRPr="003C292E">
        <w:rPr>
          <w:noProof/>
        </w:rPr>
        <w:t xml:space="preserve"> </w:t>
      </w:r>
      <w:r w:rsidRPr="003C292E">
        <w:rPr>
          <w:b/>
          <w:noProof/>
        </w:rPr>
        <w:t>33</w:t>
      </w:r>
      <w:r w:rsidRPr="003C292E">
        <w:rPr>
          <w:noProof/>
        </w:rPr>
        <w:t>(2), 144-152. (doi:10.1111/jeb.13397).</w:t>
      </w:r>
    </w:p>
    <w:p w14:paraId="738795E6" w14:textId="77777777" w:rsidR="00202D04" w:rsidRPr="003C292E" w:rsidRDefault="00202D04" w:rsidP="00202D04">
      <w:pPr>
        <w:pStyle w:val="EndNoteBibliography"/>
        <w:rPr>
          <w:noProof/>
        </w:rPr>
      </w:pPr>
      <w:r w:rsidRPr="003C292E">
        <w:rPr>
          <w:noProof/>
        </w:rPr>
        <w:t>10.</w:t>
      </w:r>
      <w:r w:rsidRPr="003C292E">
        <w:rPr>
          <w:noProof/>
        </w:rPr>
        <w:tab/>
        <w:t xml:space="preserve">Li H. 2011 A statistical framework for SNP calling, mutation discovery, association mapping and population genetical parameter estimation from sequencing data. </w:t>
      </w:r>
      <w:r w:rsidRPr="003C292E">
        <w:rPr>
          <w:i/>
          <w:noProof/>
        </w:rPr>
        <w:t>Bioinformatics</w:t>
      </w:r>
      <w:r w:rsidRPr="003C292E">
        <w:rPr>
          <w:noProof/>
        </w:rPr>
        <w:t xml:space="preserve"> </w:t>
      </w:r>
      <w:r w:rsidRPr="003C292E">
        <w:rPr>
          <w:b/>
          <w:noProof/>
        </w:rPr>
        <w:t>27</w:t>
      </w:r>
      <w:r w:rsidRPr="003C292E">
        <w:rPr>
          <w:noProof/>
        </w:rPr>
        <w:t>(21), 2987-2993. (doi:10.1093/bioinformatics/btr509).</w:t>
      </w:r>
    </w:p>
    <w:p w14:paraId="338E9264" w14:textId="77777777" w:rsidR="00202D04" w:rsidRPr="003C292E" w:rsidRDefault="00202D04" w:rsidP="00202D04">
      <w:pPr>
        <w:pStyle w:val="EndNoteBibliography"/>
        <w:rPr>
          <w:noProof/>
        </w:rPr>
      </w:pPr>
      <w:r w:rsidRPr="003C292E">
        <w:rPr>
          <w:noProof/>
        </w:rPr>
        <w:t>11.</w:t>
      </w:r>
      <w:r w:rsidRPr="003C292E">
        <w:rPr>
          <w:noProof/>
        </w:rPr>
        <w:tab/>
        <w:t xml:space="preserve">Quinlan A.R., Hall I.M. 2010 BEDTools: a flexible suite of utilities for comparing genomic features. </w:t>
      </w:r>
      <w:r w:rsidRPr="003C292E">
        <w:rPr>
          <w:i/>
          <w:noProof/>
        </w:rPr>
        <w:t>Bioinformatics</w:t>
      </w:r>
      <w:r w:rsidRPr="003C292E">
        <w:rPr>
          <w:noProof/>
        </w:rPr>
        <w:t xml:space="preserve"> </w:t>
      </w:r>
      <w:r w:rsidRPr="003C292E">
        <w:rPr>
          <w:b/>
          <w:noProof/>
        </w:rPr>
        <w:t>26</w:t>
      </w:r>
      <w:r w:rsidRPr="003C292E">
        <w:rPr>
          <w:noProof/>
        </w:rPr>
        <w:t>(6), 841-842. (doi:10.1093/bioinformatics/btq033).</w:t>
      </w:r>
    </w:p>
    <w:p w14:paraId="7F92C74A" w14:textId="77777777" w:rsidR="00202D04" w:rsidRPr="003C292E" w:rsidRDefault="00202D04" w:rsidP="00202D04">
      <w:pPr>
        <w:pStyle w:val="EndNoteBibliography"/>
        <w:rPr>
          <w:noProof/>
        </w:rPr>
      </w:pPr>
      <w:r w:rsidRPr="003C292E">
        <w:rPr>
          <w:noProof/>
        </w:rPr>
        <w:t>12.</w:t>
      </w:r>
      <w:r w:rsidRPr="003C292E">
        <w:rPr>
          <w:noProof/>
        </w:rPr>
        <w:tab/>
        <w:t xml:space="preserve">Cingolani P., Platts A., Wang L.L., Coon M., Nguyen T., Wang L., Land S.J., Lu X., Ruden D.M. 2012 A program for annotating and predicting the effects of single nucleotide polymorphisms, SnpEff: SNPs in the genome of </w:t>
      </w:r>
      <w:r w:rsidRPr="003C292E">
        <w:rPr>
          <w:i/>
          <w:noProof/>
        </w:rPr>
        <w:t>Drosophila melanogaster</w:t>
      </w:r>
      <w:r w:rsidRPr="003C292E">
        <w:rPr>
          <w:noProof/>
        </w:rPr>
        <w:t xml:space="preserve"> strain w1118; iso-2; iso-3. </w:t>
      </w:r>
      <w:r w:rsidRPr="003C292E">
        <w:rPr>
          <w:i/>
          <w:noProof/>
        </w:rPr>
        <w:t>Fly (Austin)</w:t>
      </w:r>
      <w:r w:rsidRPr="003C292E">
        <w:rPr>
          <w:noProof/>
        </w:rPr>
        <w:t xml:space="preserve"> </w:t>
      </w:r>
      <w:r w:rsidRPr="003C292E">
        <w:rPr>
          <w:b/>
          <w:noProof/>
        </w:rPr>
        <w:t>6</w:t>
      </w:r>
      <w:r w:rsidRPr="003C292E">
        <w:rPr>
          <w:noProof/>
        </w:rPr>
        <w:t>(2), 80-92. (doi:10.4161/fly.19695).</w:t>
      </w:r>
    </w:p>
    <w:p w14:paraId="3CF44E3B" w14:textId="77777777" w:rsidR="00202D04" w:rsidRPr="003C292E" w:rsidRDefault="00202D04" w:rsidP="00202D04">
      <w:pPr>
        <w:pStyle w:val="EndNoteBibliography"/>
        <w:rPr>
          <w:noProof/>
        </w:rPr>
      </w:pPr>
      <w:r w:rsidRPr="003C292E">
        <w:rPr>
          <w:noProof/>
        </w:rPr>
        <w:t>13.</w:t>
      </w:r>
      <w:r w:rsidRPr="003C292E">
        <w:rPr>
          <w:noProof/>
        </w:rPr>
        <w:tab/>
        <w:t>R</w:t>
      </w:r>
      <w:r>
        <w:rPr>
          <w:noProof/>
        </w:rPr>
        <w:t xml:space="preserve"> </w:t>
      </w:r>
      <w:r w:rsidRPr="003C292E">
        <w:rPr>
          <w:noProof/>
        </w:rPr>
        <w:t>Core</w:t>
      </w:r>
      <w:r>
        <w:rPr>
          <w:noProof/>
        </w:rPr>
        <w:t xml:space="preserve"> </w:t>
      </w:r>
      <w:r w:rsidRPr="003C292E">
        <w:rPr>
          <w:noProof/>
        </w:rPr>
        <w:t>Team. 2000 R language definition.  (Viena, Austria, R  Foundation for Statistical Computing</w:t>
      </w:r>
      <w:r>
        <w:rPr>
          <w:noProof/>
        </w:rPr>
        <w:t>)</w:t>
      </w:r>
      <w:r w:rsidRPr="003C292E">
        <w:rPr>
          <w:noProof/>
        </w:rPr>
        <w:t>.</w:t>
      </w:r>
    </w:p>
    <w:p w14:paraId="0369FA17" w14:textId="77777777" w:rsidR="00202D04" w:rsidRPr="003C292E" w:rsidRDefault="00202D04" w:rsidP="00202D04">
      <w:pPr>
        <w:pStyle w:val="EndNoteBibliography"/>
        <w:rPr>
          <w:noProof/>
        </w:rPr>
      </w:pPr>
      <w:r w:rsidRPr="003C292E">
        <w:rPr>
          <w:noProof/>
        </w:rPr>
        <w:t>14.</w:t>
      </w:r>
      <w:r w:rsidRPr="003C292E">
        <w:rPr>
          <w:noProof/>
        </w:rPr>
        <w:tab/>
        <w:t xml:space="preserve">Bates D., Machler M., Bolker B.M., Walker S.C. 2015 Fitting linear mixed-effects models using lme4. </w:t>
      </w:r>
      <w:r w:rsidRPr="003C292E">
        <w:rPr>
          <w:i/>
          <w:noProof/>
        </w:rPr>
        <w:t>Journal of Statistical Software</w:t>
      </w:r>
      <w:r w:rsidRPr="003C292E">
        <w:rPr>
          <w:noProof/>
        </w:rPr>
        <w:t xml:space="preserve"> </w:t>
      </w:r>
      <w:r w:rsidRPr="003C292E">
        <w:rPr>
          <w:b/>
          <w:noProof/>
        </w:rPr>
        <w:t>67</w:t>
      </w:r>
      <w:r w:rsidRPr="003C292E">
        <w:rPr>
          <w:noProof/>
        </w:rPr>
        <w:t>, 1-48. (doi:10.18637/JSS.V067.I01).</w:t>
      </w:r>
    </w:p>
    <w:p w14:paraId="13ABF0DE" w14:textId="77777777" w:rsidR="00202D04" w:rsidRPr="006373E5" w:rsidRDefault="00202D04" w:rsidP="00202D04">
      <w:pPr>
        <w:rPr>
          <w:lang w:val="en-GB"/>
        </w:rPr>
      </w:pPr>
      <w:r>
        <w:rPr>
          <w:lang w:val="en-GB"/>
        </w:rPr>
        <w:fldChar w:fldCharType="end"/>
      </w:r>
    </w:p>
    <w:p w14:paraId="68D49E9C" w14:textId="46442414" w:rsidR="00202D04" w:rsidRDefault="00202D04">
      <w:pPr>
        <w:rPr>
          <w:rFonts w:ascii="Arial" w:hAnsi="Arial" w:cs="Arial"/>
          <w:sz w:val="22"/>
          <w:szCs w:val="22"/>
        </w:rPr>
      </w:pPr>
      <w:r>
        <w:rPr>
          <w:rFonts w:ascii="Arial" w:hAnsi="Arial" w:cs="Arial"/>
          <w:sz w:val="22"/>
          <w:szCs w:val="22"/>
        </w:rPr>
        <w:br w:type="page"/>
      </w:r>
    </w:p>
    <w:p w14:paraId="447BD6D7" w14:textId="77777777" w:rsidR="008A1D6B" w:rsidRDefault="00202D04" w:rsidP="00202D04">
      <w:bookmarkStart w:id="2" w:name="_Toc66800089"/>
      <w:bookmarkStart w:id="3" w:name="_Toc66800291"/>
      <w:r w:rsidRPr="008A1D6B">
        <w:rPr>
          <w:rStyle w:val="Heading1Char"/>
        </w:rPr>
        <w:lastRenderedPageBreak/>
        <w:t>Figure S1. Homozygosity within 10 kb windows in 14 thelytokous daughters of one Capensis worker.</w:t>
      </w:r>
      <w:bookmarkEnd w:id="2"/>
      <w:bookmarkEnd w:id="3"/>
      <w:r>
        <w:t xml:space="preserve"> </w:t>
      </w:r>
    </w:p>
    <w:p w14:paraId="0965F089" w14:textId="77777777" w:rsidR="008A1D6B" w:rsidRDefault="008A1D6B" w:rsidP="00202D04"/>
    <w:p w14:paraId="358E5F44" w14:textId="5DEDDDE1" w:rsidR="00202D04" w:rsidRDefault="00202D04" w:rsidP="00202D04">
      <w:r>
        <w:t>Blue lines represent homozygous windows. Orange lines represent homozygous windows that are heterozygous in the mother worker (i.e., regions of loss of heterozygosity). Each chromosome in the outer circle is represented with a different colour. Scale represents chromosome size (Mb). The first concentric circle is the mother worker. Each of the 14 inner concentric circles (below the dashed line) is a different progeny of the mother.</w:t>
      </w:r>
      <w:r w:rsidRPr="00F81EEC">
        <w:t xml:space="preserve"> </w:t>
      </w:r>
      <w:r>
        <w:t>Grey areas correspond to centromeric regions.</w:t>
      </w:r>
    </w:p>
    <w:p w14:paraId="4411C717" w14:textId="77777777" w:rsidR="00202D04" w:rsidRDefault="00202D04" w:rsidP="00202D04"/>
    <w:p w14:paraId="684A5243" w14:textId="77777777" w:rsidR="00202D04" w:rsidRDefault="00202D04">
      <w:pPr>
        <w:rPr>
          <w:rFonts w:ascii="Arial" w:hAnsi="Arial" w:cs="Arial"/>
          <w:sz w:val="22"/>
          <w:szCs w:val="22"/>
        </w:rPr>
      </w:pPr>
      <w:r>
        <w:rPr>
          <w:rFonts w:ascii="Arial" w:hAnsi="Arial" w:cs="Arial"/>
          <w:noProof/>
          <w:sz w:val="22"/>
          <w:szCs w:val="22"/>
        </w:rPr>
        <w:drawing>
          <wp:inline distT="0" distB="0" distL="0" distR="0" wp14:anchorId="0EF13928" wp14:editId="155ADC57">
            <wp:extent cx="5727700" cy="5200015"/>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5200015"/>
                    </a:xfrm>
                    <a:prstGeom prst="rect">
                      <a:avLst/>
                    </a:prstGeom>
                  </pic:spPr>
                </pic:pic>
              </a:graphicData>
            </a:graphic>
          </wp:inline>
        </w:drawing>
      </w:r>
    </w:p>
    <w:p w14:paraId="4A73C61A" w14:textId="77777777" w:rsidR="00202D04" w:rsidRDefault="00202D04">
      <w:pPr>
        <w:rPr>
          <w:rFonts w:ascii="Arial" w:hAnsi="Arial" w:cs="Arial"/>
          <w:sz w:val="22"/>
          <w:szCs w:val="22"/>
        </w:rPr>
      </w:pPr>
      <w:r>
        <w:rPr>
          <w:rFonts w:ascii="Arial" w:hAnsi="Arial" w:cs="Arial"/>
          <w:sz w:val="22"/>
          <w:szCs w:val="22"/>
        </w:rPr>
        <w:br w:type="page"/>
      </w:r>
    </w:p>
    <w:p w14:paraId="2B757D30" w14:textId="77777777" w:rsidR="00DE08B1" w:rsidRDefault="00202D04">
      <w:bookmarkStart w:id="4" w:name="_Toc66800090"/>
      <w:bookmarkStart w:id="5" w:name="_Toc66800292"/>
      <w:r w:rsidRPr="008A1D6B">
        <w:rPr>
          <w:rStyle w:val="Heading1Char"/>
        </w:rPr>
        <w:lastRenderedPageBreak/>
        <w:t>Figure S2. Heterozygosity within 10 kb windows in 14 thelytokous daughters of one Capensis worker.</w:t>
      </w:r>
      <w:bookmarkEnd w:id="4"/>
      <w:bookmarkEnd w:id="5"/>
      <w:r>
        <w:t xml:space="preserve"> </w:t>
      </w:r>
    </w:p>
    <w:p w14:paraId="094A87D3" w14:textId="77777777" w:rsidR="00DE08B1" w:rsidRDefault="00DE08B1"/>
    <w:p w14:paraId="0F1C33D1" w14:textId="0B4959C3" w:rsidR="00202D04" w:rsidRDefault="00202D04">
      <w:r>
        <w:t>Blue lines represent heterozygous windows. Orange lines represent heterozygous windows that are present in all individuals. Each chromosome in the outer circle is represented with a different colour. Scale represents chromosome size (Mb). The first concentric circle is the mother worker. Each of the 14 inner concentric circles (below the dashed line) is a different progeny of the mother.</w:t>
      </w:r>
      <w:r w:rsidRPr="00F81EEC">
        <w:t xml:space="preserve"> </w:t>
      </w:r>
      <w:r>
        <w:t>Grey areas correspond to centromeric regions.</w:t>
      </w:r>
    </w:p>
    <w:p w14:paraId="1805327C" w14:textId="77777777" w:rsidR="00DE08B1" w:rsidRDefault="00DE08B1"/>
    <w:p w14:paraId="37F9E507" w14:textId="08D41882" w:rsidR="00202D04" w:rsidRDefault="00202D04"/>
    <w:p w14:paraId="4BBCFA55" w14:textId="43D4F38E" w:rsidR="00202D04" w:rsidRDefault="00202D04">
      <w:r>
        <w:rPr>
          <w:noProof/>
        </w:rPr>
        <w:drawing>
          <wp:inline distT="0" distB="0" distL="0" distR="0" wp14:anchorId="5B90723D" wp14:editId="0A051F21">
            <wp:extent cx="5727700" cy="5189855"/>
            <wp:effectExtent l="0" t="0" r="0" b="4445"/>
            <wp:docPr id="2" name="Picture 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189855"/>
                    </a:xfrm>
                    <a:prstGeom prst="rect">
                      <a:avLst/>
                    </a:prstGeom>
                  </pic:spPr>
                </pic:pic>
              </a:graphicData>
            </a:graphic>
          </wp:inline>
        </w:drawing>
      </w:r>
    </w:p>
    <w:p w14:paraId="60D43A14" w14:textId="77777777" w:rsidR="008A1D6B" w:rsidRDefault="008A1D6B">
      <w:pPr>
        <w:rPr>
          <w:rFonts w:ascii="Arial" w:hAnsi="Arial" w:cs="Arial"/>
          <w:sz w:val="22"/>
          <w:szCs w:val="22"/>
        </w:rPr>
      </w:pPr>
      <w:r>
        <w:rPr>
          <w:rFonts w:ascii="Arial" w:hAnsi="Arial" w:cs="Arial"/>
          <w:sz w:val="22"/>
          <w:szCs w:val="22"/>
        </w:rPr>
        <w:br w:type="page"/>
      </w:r>
    </w:p>
    <w:tbl>
      <w:tblPr>
        <w:tblStyle w:val="TableGrid"/>
        <w:tblpPr w:leftFromText="180" w:rightFromText="180" w:horzAnchor="margin" w:tblpY="1193"/>
        <w:tblW w:w="0" w:type="auto"/>
        <w:tblLook w:val="04A0" w:firstRow="1" w:lastRow="0" w:firstColumn="1" w:lastColumn="0" w:noHBand="0" w:noVBand="1"/>
      </w:tblPr>
      <w:tblGrid>
        <w:gridCol w:w="1696"/>
        <w:gridCol w:w="3828"/>
        <w:gridCol w:w="3402"/>
      </w:tblGrid>
      <w:tr w:rsidR="00F54011" w14:paraId="04D1A204" w14:textId="77777777" w:rsidTr="00F54011">
        <w:tc>
          <w:tcPr>
            <w:tcW w:w="1696" w:type="dxa"/>
          </w:tcPr>
          <w:p w14:paraId="35F72E47" w14:textId="77777777" w:rsidR="00F54011" w:rsidRPr="00B01757" w:rsidRDefault="00F54011" w:rsidP="00FF24EA">
            <w:pPr>
              <w:rPr>
                <w:rFonts w:cstheme="minorHAnsi"/>
              </w:rPr>
            </w:pPr>
            <w:r w:rsidRPr="00B01757">
              <w:rPr>
                <w:rFonts w:cstheme="minorHAnsi"/>
              </w:rPr>
              <w:lastRenderedPageBreak/>
              <w:t>Locus</w:t>
            </w:r>
          </w:p>
        </w:tc>
        <w:tc>
          <w:tcPr>
            <w:tcW w:w="3828" w:type="dxa"/>
          </w:tcPr>
          <w:p w14:paraId="66B71E6D" w14:textId="77777777" w:rsidR="00F54011" w:rsidRPr="00B01757" w:rsidRDefault="00F54011" w:rsidP="00FF24EA">
            <w:pPr>
              <w:rPr>
                <w:rFonts w:cstheme="minorHAnsi"/>
              </w:rPr>
            </w:pPr>
            <w:r w:rsidRPr="00B01757">
              <w:rPr>
                <w:rFonts w:cstheme="minorHAnsi"/>
              </w:rPr>
              <w:t>Forward</w:t>
            </w:r>
          </w:p>
        </w:tc>
        <w:tc>
          <w:tcPr>
            <w:tcW w:w="3402" w:type="dxa"/>
          </w:tcPr>
          <w:p w14:paraId="1A172420" w14:textId="77777777" w:rsidR="00F54011" w:rsidRPr="00B01757" w:rsidRDefault="00F54011" w:rsidP="00FF24EA">
            <w:pPr>
              <w:rPr>
                <w:rFonts w:cstheme="minorHAnsi"/>
              </w:rPr>
            </w:pPr>
            <w:r w:rsidRPr="00B01757">
              <w:rPr>
                <w:rFonts w:cstheme="minorHAnsi"/>
              </w:rPr>
              <w:t>Reverse</w:t>
            </w:r>
          </w:p>
        </w:tc>
      </w:tr>
      <w:tr w:rsidR="00F54011" w14:paraId="18923E76" w14:textId="77777777" w:rsidTr="00F54011">
        <w:tc>
          <w:tcPr>
            <w:tcW w:w="1696" w:type="dxa"/>
          </w:tcPr>
          <w:p w14:paraId="531D8E87" w14:textId="77777777" w:rsidR="00F54011" w:rsidRPr="00B01757" w:rsidRDefault="00F54011" w:rsidP="00FF24EA">
            <w:pPr>
              <w:rPr>
                <w:rFonts w:cstheme="minorHAnsi"/>
              </w:rPr>
            </w:pPr>
            <w:r w:rsidRPr="00B01757">
              <w:rPr>
                <w:rFonts w:cstheme="minorHAnsi"/>
              </w:rPr>
              <w:t>A8</w:t>
            </w:r>
          </w:p>
        </w:tc>
        <w:tc>
          <w:tcPr>
            <w:tcW w:w="3828" w:type="dxa"/>
          </w:tcPr>
          <w:p w14:paraId="2FF1C376" w14:textId="77777777" w:rsidR="00F54011" w:rsidRPr="00B01757" w:rsidRDefault="00F54011" w:rsidP="00FF24EA">
            <w:pPr>
              <w:rPr>
                <w:rFonts w:cstheme="minorHAnsi"/>
              </w:rPr>
            </w:pPr>
            <w:r w:rsidRPr="00B01757">
              <w:rPr>
                <w:rFonts w:cstheme="minorHAnsi"/>
              </w:rPr>
              <w:t>CGAAGGTAAGGTAAATGGAAC</w:t>
            </w:r>
          </w:p>
        </w:tc>
        <w:tc>
          <w:tcPr>
            <w:tcW w:w="3402" w:type="dxa"/>
          </w:tcPr>
          <w:p w14:paraId="68E4475A" w14:textId="77777777" w:rsidR="00F54011" w:rsidRPr="00B01757" w:rsidRDefault="00F54011" w:rsidP="00FF24EA">
            <w:pPr>
              <w:rPr>
                <w:rFonts w:cstheme="minorHAnsi"/>
              </w:rPr>
            </w:pPr>
            <w:r w:rsidRPr="00B01757">
              <w:rPr>
                <w:rFonts w:cstheme="minorHAnsi"/>
              </w:rPr>
              <w:t>GGCGGTTAAAGTTCTGG</w:t>
            </w:r>
          </w:p>
        </w:tc>
      </w:tr>
      <w:tr w:rsidR="00F54011" w14:paraId="2B9A3E77" w14:textId="77777777" w:rsidTr="00F54011">
        <w:tc>
          <w:tcPr>
            <w:tcW w:w="1696" w:type="dxa"/>
          </w:tcPr>
          <w:p w14:paraId="7BB5B03C" w14:textId="77777777" w:rsidR="00F54011" w:rsidRPr="00B01757" w:rsidRDefault="00F54011" w:rsidP="00FF24EA">
            <w:pPr>
              <w:rPr>
                <w:rFonts w:cstheme="minorHAnsi"/>
              </w:rPr>
            </w:pPr>
            <w:r w:rsidRPr="00B01757">
              <w:rPr>
                <w:rFonts w:cstheme="minorHAnsi"/>
              </w:rPr>
              <w:t>A24</w:t>
            </w:r>
          </w:p>
        </w:tc>
        <w:tc>
          <w:tcPr>
            <w:tcW w:w="3828" w:type="dxa"/>
          </w:tcPr>
          <w:p w14:paraId="0436D98C" w14:textId="77777777" w:rsidR="00F54011" w:rsidRPr="00B01757" w:rsidRDefault="00F54011" w:rsidP="00FF24EA">
            <w:pPr>
              <w:rPr>
                <w:rFonts w:cstheme="minorHAnsi"/>
              </w:rPr>
            </w:pPr>
            <w:r w:rsidRPr="00B01757">
              <w:rPr>
                <w:rFonts w:cstheme="minorHAnsi"/>
              </w:rPr>
              <w:t>CACAAGTTCCAACAATGC</w:t>
            </w:r>
          </w:p>
        </w:tc>
        <w:tc>
          <w:tcPr>
            <w:tcW w:w="3402" w:type="dxa"/>
          </w:tcPr>
          <w:p w14:paraId="47448B21" w14:textId="77777777" w:rsidR="00F54011" w:rsidRPr="00B01757" w:rsidRDefault="00F54011" w:rsidP="00FF24EA">
            <w:pPr>
              <w:rPr>
                <w:rFonts w:cstheme="minorHAnsi"/>
              </w:rPr>
            </w:pPr>
            <w:r w:rsidRPr="00B01757">
              <w:rPr>
                <w:rFonts w:cstheme="minorHAnsi"/>
              </w:rPr>
              <w:t>CACATTGAGGATGAGCG</w:t>
            </w:r>
          </w:p>
        </w:tc>
      </w:tr>
      <w:tr w:rsidR="00F54011" w14:paraId="1055CBB6" w14:textId="77777777" w:rsidTr="00F54011">
        <w:tc>
          <w:tcPr>
            <w:tcW w:w="1696" w:type="dxa"/>
          </w:tcPr>
          <w:p w14:paraId="6001915E" w14:textId="77777777" w:rsidR="00F54011" w:rsidRPr="00B01757" w:rsidRDefault="00F54011" w:rsidP="00FF24EA">
            <w:pPr>
              <w:rPr>
                <w:rFonts w:cstheme="minorHAnsi"/>
              </w:rPr>
            </w:pPr>
            <w:r w:rsidRPr="00B01757">
              <w:rPr>
                <w:rFonts w:cstheme="minorHAnsi"/>
              </w:rPr>
              <w:t>A79</w:t>
            </w:r>
          </w:p>
        </w:tc>
        <w:tc>
          <w:tcPr>
            <w:tcW w:w="3828" w:type="dxa"/>
          </w:tcPr>
          <w:p w14:paraId="3732A049" w14:textId="77777777" w:rsidR="00F54011" w:rsidRPr="00B01757" w:rsidRDefault="00F54011" w:rsidP="00FF24EA">
            <w:pPr>
              <w:rPr>
                <w:rFonts w:cstheme="minorHAnsi"/>
              </w:rPr>
            </w:pPr>
            <w:r w:rsidRPr="00B01757">
              <w:rPr>
                <w:rFonts w:cstheme="minorHAnsi"/>
              </w:rPr>
              <w:t>CGAAGGTTGCGGAGTCCTC</w:t>
            </w:r>
          </w:p>
        </w:tc>
        <w:tc>
          <w:tcPr>
            <w:tcW w:w="3402" w:type="dxa"/>
          </w:tcPr>
          <w:p w14:paraId="2C3BE1E5" w14:textId="77777777" w:rsidR="00F54011" w:rsidRPr="00B01757" w:rsidRDefault="00F54011" w:rsidP="00FF24EA">
            <w:pPr>
              <w:rPr>
                <w:rFonts w:cstheme="minorHAnsi"/>
              </w:rPr>
            </w:pPr>
            <w:r w:rsidRPr="00B01757">
              <w:rPr>
                <w:rFonts w:cstheme="minorHAnsi"/>
              </w:rPr>
              <w:t>GTCGTCGGACCGATGCG</w:t>
            </w:r>
          </w:p>
        </w:tc>
      </w:tr>
      <w:tr w:rsidR="00F54011" w14:paraId="69BAD9C6" w14:textId="77777777" w:rsidTr="00F54011">
        <w:tc>
          <w:tcPr>
            <w:tcW w:w="1696" w:type="dxa"/>
          </w:tcPr>
          <w:p w14:paraId="0795487D" w14:textId="77777777" w:rsidR="00F54011" w:rsidRPr="00B01757" w:rsidRDefault="00F54011" w:rsidP="00FF24EA">
            <w:pPr>
              <w:rPr>
                <w:rFonts w:cstheme="minorHAnsi"/>
              </w:rPr>
            </w:pPr>
            <w:r w:rsidRPr="00B01757">
              <w:rPr>
                <w:rFonts w:cstheme="minorHAnsi"/>
              </w:rPr>
              <w:t>B124</w:t>
            </w:r>
          </w:p>
        </w:tc>
        <w:tc>
          <w:tcPr>
            <w:tcW w:w="3828" w:type="dxa"/>
          </w:tcPr>
          <w:p w14:paraId="050A971D" w14:textId="77777777" w:rsidR="00F54011" w:rsidRPr="00B01757" w:rsidRDefault="00F54011" w:rsidP="00FF24EA">
            <w:pPr>
              <w:rPr>
                <w:rFonts w:cstheme="minorHAnsi"/>
              </w:rPr>
            </w:pPr>
            <w:r w:rsidRPr="00B01757">
              <w:rPr>
                <w:rFonts w:cstheme="minorHAnsi"/>
              </w:rPr>
              <w:t>GCAACAGGTCGGGTTAGAG</w:t>
            </w:r>
          </w:p>
        </w:tc>
        <w:tc>
          <w:tcPr>
            <w:tcW w:w="3402" w:type="dxa"/>
          </w:tcPr>
          <w:p w14:paraId="0253F3C1" w14:textId="77777777" w:rsidR="00F54011" w:rsidRPr="00B01757" w:rsidRDefault="00F54011" w:rsidP="00FF24EA">
            <w:pPr>
              <w:rPr>
                <w:rFonts w:cstheme="minorHAnsi"/>
              </w:rPr>
            </w:pPr>
            <w:r w:rsidRPr="00B01757">
              <w:rPr>
                <w:rFonts w:cstheme="minorHAnsi"/>
              </w:rPr>
              <w:t>CAGGATAGGGTAGGTAAGCAG</w:t>
            </w:r>
          </w:p>
        </w:tc>
      </w:tr>
      <w:tr w:rsidR="00F54011" w14:paraId="2A91D00C" w14:textId="77777777" w:rsidTr="00F54011">
        <w:tc>
          <w:tcPr>
            <w:tcW w:w="1696" w:type="dxa"/>
          </w:tcPr>
          <w:p w14:paraId="2A717022" w14:textId="77777777" w:rsidR="00F54011" w:rsidRPr="00B01757" w:rsidRDefault="00F54011" w:rsidP="00FF24EA">
            <w:pPr>
              <w:rPr>
                <w:rFonts w:cstheme="minorHAnsi"/>
              </w:rPr>
            </w:pPr>
            <w:r w:rsidRPr="00B01757">
              <w:rPr>
                <w:rFonts w:cstheme="minorHAnsi"/>
              </w:rPr>
              <w:t>A113</w:t>
            </w:r>
          </w:p>
        </w:tc>
        <w:tc>
          <w:tcPr>
            <w:tcW w:w="3828" w:type="dxa"/>
          </w:tcPr>
          <w:p w14:paraId="5CE79A2C" w14:textId="77777777" w:rsidR="00F54011" w:rsidRPr="00B01757" w:rsidRDefault="00F54011" w:rsidP="00FF24EA">
            <w:pPr>
              <w:rPr>
                <w:rFonts w:cstheme="minorHAnsi"/>
              </w:rPr>
            </w:pPr>
            <w:r w:rsidRPr="00B01757">
              <w:rPr>
                <w:rFonts w:cstheme="minorHAnsi"/>
              </w:rPr>
              <w:t>CTCGAATCGTGGCGTCC</w:t>
            </w:r>
          </w:p>
        </w:tc>
        <w:tc>
          <w:tcPr>
            <w:tcW w:w="3402" w:type="dxa"/>
          </w:tcPr>
          <w:p w14:paraId="3C127150" w14:textId="77777777" w:rsidR="00F54011" w:rsidRPr="00B01757" w:rsidRDefault="00F54011" w:rsidP="00FF24EA">
            <w:pPr>
              <w:rPr>
                <w:rFonts w:cstheme="minorHAnsi"/>
              </w:rPr>
            </w:pPr>
            <w:r w:rsidRPr="00B01757">
              <w:rPr>
                <w:rFonts w:cstheme="minorHAnsi"/>
              </w:rPr>
              <w:t>CCTGTATTTTGCAACCTCGC</w:t>
            </w:r>
          </w:p>
        </w:tc>
      </w:tr>
      <w:tr w:rsidR="00F54011" w14:paraId="05F053A8" w14:textId="77777777" w:rsidTr="00F54011">
        <w:tc>
          <w:tcPr>
            <w:tcW w:w="1696" w:type="dxa"/>
          </w:tcPr>
          <w:p w14:paraId="5D176B38" w14:textId="77777777" w:rsidR="00F54011" w:rsidRPr="00B01757" w:rsidRDefault="00F54011" w:rsidP="00FF24EA">
            <w:pPr>
              <w:rPr>
                <w:rFonts w:cstheme="minorHAnsi"/>
              </w:rPr>
            </w:pPr>
            <w:r w:rsidRPr="00B01757">
              <w:rPr>
                <w:rFonts w:cstheme="minorHAnsi"/>
              </w:rPr>
              <w:t>A88</w:t>
            </w:r>
          </w:p>
        </w:tc>
        <w:tc>
          <w:tcPr>
            <w:tcW w:w="3828" w:type="dxa"/>
          </w:tcPr>
          <w:p w14:paraId="66792160" w14:textId="77777777" w:rsidR="00F54011" w:rsidRPr="00B01757" w:rsidRDefault="00F54011" w:rsidP="00FF24EA">
            <w:pPr>
              <w:rPr>
                <w:rFonts w:cstheme="minorHAnsi"/>
              </w:rPr>
            </w:pPr>
            <w:r w:rsidRPr="00B01757">
              <w:rPr>
                <w:rFonts w:cstheme="minorHAnsi"/>
              </w:rPr>
              <w:t>CGAATTAACCGATTTGTCG</w:t>
            </w:r>
          </w:p>
        </w:tc>
        <w:tc>
          <w:tcPr>
            <w:tcW w:w="3402" w:type="dxa"/>
          </w:tcPr>
          <w:p w14:paraId="50025E81" w14:textId="77777777" w:rsidR="00F54011" w:rsidRPr="00B01757" w:rsidRDefault="00F54011" w:rsidP="00FF24EA">
            <w:pPr>
              <w:rPr>
                <w:rFonts w:cstheme="minorHAnsi"/>
              </w:rPr>
            </w:pPr>
            <w:r w:rsidRPr="00B01757">
              <w:rPr>
                <w:rFonts w:cstheme="minorHAnsi"/>
              </w:rPr>
              <w:t>GATCGCAATTATTGAAGGAG</w:t>
            </w:r>
          </w:p>
        </w:tc>
      </w:tr>
      <w:tr w:rsidR="00F54011" w14:paraId="1A1550D9" w14:textId="77777777" w:rsidTr="00F54011">
        <w:tc>
          <w:tcPr>
            <w:tcW w:w="1696" w:type="dxa"/>
          </w:tcPr>
          <w:p w14:paraId="1C8227BC" w14:textId="77777777" w:rsidR="00F54011" w:rsidRPr="00B01757" w:rsidRDefault="00F54011" w:rsidP="00FF24EA">
            <w:pPr>
              <w:rPr>
                <w:rFonts w:cstheme="minorHAnsi"/>
              </w:rPr>
            </w:pPr>
            <w:r w:rsidRPr="00B01757">
              <w:rPr>
                <w:rFonts w:cstheme="minorHAnsi"/>
              </w:rPr>
              <w:t>HB-The-03</w:t>
            </w:r>
          </w:p>
        </w:tc>
        <w:tc>
          <w:tcPr>
            <w:tcW w:w="3828" w:type="dxa"/>
          </w:tcPr>
          <w:p w14:paraId="483B205A" w14:textId="77777777" w:rsidR="00F54011" w:rsidRPr="00B01757" w:rsidRDefault="00F54011" w:rsidP="00FF24EA">
            <w:pPr>
              <w:rPr>
                <w:rFonts w:cstheme="minorHAnsi"/>
              </w:rPr>
            </w:pPr>
            <w:r w:rsidRPr="00B01757">
              <w:rPr>
                <w:rFonts w:cstheme="minorHAnsi"/>
              </w:rPr>
              <w:t>TAACTGGTCGTCGGTGTT</w:t>
            </w:r>
          </w:p>
        </w:tc>
        <w:tc>
          <w:tcPr>
            <w:tcW w:w="3402" w:type="dxa"/>
          </w:tcPr>
          <w:p w14:paraId="1F54FA5C" w14:textId="77777777" w:rsidR="00F54011" w:rsidRPr="00B01757" w:rsidRDefault="00F54011" w:rsidP="00FF24EA">
            <w:pPr>
              <w:rPr>
                <w:rFonts w:cstheme="minorHAnsi"/>
              </w:rPr>
            </w:pPr>
            <w:r w:rsidRPr="00B01757">
              <w:rPr>
                <w:rFonts w:cstheme="minorHAnsi"/>
              </w:rPr>
              <w:t>ACGTAGAGAATCCCATTGT</w:t>
            </w:r>
          </w:p>
        </w:tc>
      </w:tr>
      <w:tr w:rsidR="00F54011" w14:paraId="09BDB381" w14:textId="77777777" w:rsidTr="00F54011">
        <w:tc>
          <w:tcPr>
            <w:tcW w:w="1696" w:type="dxa"/>
          </w:tcPr>
          <w:p w14:paraId="1A900E9F" w14:textId="77777777" w:rsidR="00F54011" w:rsidRPr="00B01757" w:rsidRDefault="00F54011" w:rsidP="00FF24EA">
            <w:pPr>
              <w:rPr>
                <w:rFonts w:cstheme="minorHAnsi"/>
              </w:rPr>
            </w:pPr>
            <w:r w:rsidRPr="00B01757">
              <w:rPr>
                <w:rFonts w:cstheme="minorHAnsi"/>
              </w:rPr>
              <w:t>A28</w:t>
            </w:r>
          </w:p>
        </w:tc>
        <w:tc>
          <w:tcPr>
            <w:tcW w:w="3828" w:type="dxa"/>
          </w:tcPr>
          <w:p w14:paraId="238D9B5E" w14:textId="77777777" w:rsidR="00F54011" w:rsidRPr="00B01757" w:rsidRDefault="00F54011" w:rsidP="00FF24EA">
            <w:pPr>
              <w:rPr>
                <w:rFonts w:cstheme="minorHAnsi"/>
              </w:rPr>
            </w:pPr>
            <w:r w:rsidRPr="00B01757">
              <w:rPr>
                <w:rFonts w:cstheme="minorHAnsi"/>
              </w:rPr>
              <w:t>GAAGAGCGTTGGTTGCAGG</w:t>
            </w:r>
          </w:p>
        </w:tc>
        <w:tc>
          <w:tcPr>
            <w:tcW w:w="3402" w:type="dxa"/>
          </w:tcPr>
          <w:p w14:paraId="0A8E2212" w14:textId="77777777" w:rsidR="00F54011" w:rsidRPr="00B01757" w:rsidRDefault="00F54011" w:rsidP="00FF24EA">
            <w:pPr>
              <w:rPr>
                <w:rFonts w:cstheme="minorHAnsi"/>
              </w:rPr>
            </w:pPr>
            <w:r w:rsidRPr="00B01757">
              <w:rPr>
                <w:rFonts w:cstheme="minorHAnsi"/>
              </w:rPr>
              <w:t>GCCGTTCATGGTTACCACG</w:t>
            </w:r>
          </w:p>
        </w:tc>
      </w:tr>
      <w:tr w:rsidR="00F54011" w14:paraId="070EE335" w14:textId="77777777" w:rsidTr="00F54011">
        <w:tc>
          <w:tcPr>
            <w:tcW w:w="1696" w:type="dxa"/>
          </w:tcPr>
          <w:p w14:paraId="79A03045" w14:textId="77777777" w:rsidR="00F54011" w:rsidRPr="00B01757" w:rsidRDefault="00F54011" w:rsidP="00FF24EA">
            <w:pPr>
              <w:rPr>
                <w:rFonts w:cstheme="minorHAnsi"/>
              </w:rPr>
            </w:pPr>
            <w:r w:rsidRPr="00B01757">
              <w:rPr>
                <w:rFonts w:cstheme="minorHAnsi"/>
              </w:rPr>
              <w:t>Ap43</w:t>
            </w:r>
          </w:p>
        </w:tc>
        <w:tc>
          <w:tcPr>
            <w:tcW w:w="3828" w:type="dxa"/>
          </w:tcPr>
          <w:p w14:paraId="1168C9D2" w14:textId="77777777" w:rsidR="00F54011" w:rsidRPr="00B01757" w:rsidRDefault="00F54011" w:rsidP="00FF24EA">
            <w:pPr>
              <w:rPr>
                <w:rFonts w:cstheme="minorHAnsi"/>
              </w:rPr>
            </w:pPr>
            <w:r w:rsidRPr="00B01757">
              <w:rPr>
                <w:rFonts w:cstheme="minorHAnsi"/>
              </w:rPr>
              <w:t>GGCGTGCACAGCTTATTCC</w:t>
            </w:r>
          </w:p>
        </w:tc>
        <w:tc>
          <w:tcPr>
            <w:tcW w:w="3402" w:type="dxa"/>
          </w:tcPr>
          <w:p w14:paraId="7C132F6A" w14:textId="77777777" w:rsidR="00F54011" w:rsidRPr="00B01757" w:rsidRDefault="00F54011" w:rsidP="00FF24EA">
            <w:pPr>
              <w:rPr>
                <w:rFonts w:cstheme="minorHAnsi"/>
              </w:rPr>
            </w:pPr>
            <w:r w:rsidRPr="00B01757">
              <w:rPr>
                <w:rFonts w:cstheme="minorHAnsi"/>
              </w:rPr>
              <w:t>CGAAGGTGGTTTCAGGCC</w:t>
            </w:r>
          </w:p>
        </w:tc>
      </w:tr>
    </w:tbl>
    <w:p w14:paraId="684C5A38" w14:textId="02739C3D" w:rsidR="008A1D6B" w:rsidRDefault="008A1D6B" w:rsidP="008A1D6B">
      <w:pPr>
        <w:pStyle w:val="Heading1"/>
      </w:pPr>
      <w:bookmarkStart w:id="6" w:name="_Toc66800091"/>
      <w:bookmarkStart w:id="7" w:name="_Toc66800293"/>
      <w:r>
        <w:t>Table S1. Microsatellite primers used in this study</w:t>
      </w:r>
      <w:bookmarkEnd w:id="6"/>
      <w:bookmarkEnd w:id="7"/>
    </w:p>
    <w:p w14:paraId="24E4452E" w14:textId="5E117880" w:rsidR="00DE08B1" w:rsidRPr="00DE08B1" w:rsidRDefault="00202D04" w:rsidP="00DE08B1">
      <w:pPr>
        <w:pStyle w:val="Heading1"/>
      </w:pPr>
      <w:r>
        <w:rPr>
          <w:rFonts w:ascii="Arial" w:hAnsi="Arial" w:cs="Arial"/>
          <w:sz w:val="22"/>
          <w:szCs w:val="22"/>
        </w:rPr>
        <w:br w:type="page"/>
      </w:r>
      <w:bookmarkStart w:id="8" w:name="_Toc66800092"/>
      <w:bookmarkStart w:id="9" w:name="_Toc66800294"/>
      <w:r w:rsidR="00DE08B1" w:rsidRPr="00DE08B1">
        <w:lastRenderedPageBreak/>
        <w:t>Table S2 Microsatellite genotypes of the virgin queen and her thelytokous progeny and the four workers and their thelytokous progeny, including loss of heterozygosity calculations.</w:t>
      </w:r>
      <w:bookmarkEnd w:id="8"/>
      <w:bookmarkEnd w:id="9"/>
      <w:r w:rsidR="00DE08B1" w:rsidRPr="00DE08B1">
        <w:t xml:space="preserve"> </w:t>
      </w:r>
    </w:p>
    <w:p w14:paraId="643EC129" w14:textId="5F53225A" w:rsidR="00DE08B1" w:rsidRPr="00DE08B1" w:rsidRDefault="00DE08B1" w:rsidP="00DE08B1">
      <w:pPr>
        <w:pStyle w:val="Heading2"/>
      </w:pPr>
    </w:p>
    <w:p w14:paraId="47DEA183" w14:textId="039500FD" w:rsidR="00DE08B1" w:rsidRPr="00DE08B1" w:rsidRDefault="00DE08B1" w:rsidP="00DE08B1">
      <w:pPr>
        <w:rPr>
          <w:lang w:val="en-GB"/>
        </w:rPr>
      </w:pPr>
      <w:r>
        <w:rPr>
          <w:lang w:val="en-GB"/>
        </w:rPr>
        <w:t>This excel file is provided as a separate supplementary data file</w:t>
      </w:r>
    </w:p>
    <w:p w14:paraId="56853EB9" w14:textId="1FD7A623" w:rsidR="00DE08B1" w:rsidRPr="00DE08B1" w:rsidRDefault="00DE08B1" w:rsidP="00DE08B1">
      <w:pPr>
        <w:pStyle w:val="Heading1"/>
      </w:pPr>
      <w:bookmarkStart w:id="10" w:name="_Toc66800093"/>
      <w:bookmarkStart w:id="11" w:name="_Toc66800295"/>
      <w:r w:rsidRPr="00DE08B1">
        <w:t>Table S3. Loss of heterozygosity in a virgin queen subjected to CO2 narcosis.</w:t>
      </w:r>
      <w:bookmarkEnd w:id="10"/>
      <w:bookmarkEnd w:id="11"/>
      <w:r w:rsidRPr="00DE08B1">
        <w:t xml:space="preserve"> </w:t>
      </w:r>
    </w:p>
    <w:p w14:paraId="50C43093" w14:textId="42E704B8" w:rsidR="00DE08B1" w:rsidRDefault="00DE08B1" w:rsidP="00DE08B1">
      <w:pPr>
        <w:pStyle w:val="Heading2"/>
        <w:rPr>
          <w:lang w:val="en-GB"/>
        </w:rPr>
      </w:pPr>
    </w:p>
    <w:p w14:paraId="33ACD06D" w14:textId="56800727" w:rsidR="00DE08B1" w:rsidRPr="00DE08B1" w:rsidRDefault="00DE08B1" w:rsidP="00DE08B1">
      <w:pPr>
        <w:rPr>
          <w:lang w:val="en-GB"/>
        </w:rPr>
      </w:pPr>
      <w:r>
        <w:rPr>
          <w:lang w:val="en-GB"/>
        </w:rPr>
        <w:t>This excel file is provided as a separate supplementary data file</w:t>
      </w:r>
    </w:p>
    <w:p w14:paraId="5882F1D2" w14:textId="0C9FF249" w:rsidR="008A1D6B" w:rsidRPr="00DE08B1" w:rsidRDefault="008A1D6B">
      <w:pPr>
        <w:rPr>
          <w:rStyle w:val="Strong"/>
          <w:lang w:val="en-GB"/>
        </w:rPr>
      </w:pPr>
    </w:p>
    <w:p w14:paraId="0CC94138" w14:textId="77777777" w:rsidR="00DE08B1" w:rsidRDefault="00DE08B1" w:rsidP="00FF24EA">
      <w:pPr>
        <w:pStyle w:val="Heading1"/>
      </w:pPr>
      <w:r>
        <w:br w:type="page"/>
      </w:r>
    </w:p>
    <w:p w14:paraId="6802FCAF" w14:textId="06ABEDAA" w:rsidR="00F553C7" w:rsidRPr="00DE08B1" w:rsidRDefault="00312D1F" w:rsidP="00DE08B1">
      <w:pPr>
        <w:pStyle w:val="Heading1"/>
      </w:pPr>
      <w:bookmarkStart w:id="12" w:name="_Toc66800094"/>
      <w:bookmarkStart w:id="13" w:name="_Toc66800296"/>
      <w:r w:rsidRPr="00DE08B1">
        <w:lastRenderedPageBreak/>
        <w:t>Table S</w:t>
      </w:r>
      <w:r w:rsidR="00202D04" w:rsidRPr="00DE08B1">
        <w:t>4</w:t>
      </w:r>
      <w:r w:rsidRPr="00DE08B1">
        <w:t>. Sequencing statistics</w:t>
      </w:r>
      <w:r w:rsidR="002974C2" w:rsidRPr="00DE08B1">
        <w:t>.</w:t>
      </w:r>
      <w:bookmarkEnd w:id="12"/>
      <w:bookmarkEnd w:id="13"/>
    </w:p>
    <w:p w14:paraId="45BFF074" w14:textId="6F78703F" w:rsidR="00312D1F" w:rsidRPr="00884299" w:rsidRDefault="00312D1F">
      <w:pPr>
        <w:rPr>
          <w:rFonts w:ascii="Arial" w:hAnsi="Arial" w:cs="Arial"/>
          <w:sz w:val="22"/>
          <w:szCs w:val="22"/>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1547"/>
        <w:gridCol w:w="1547"/>
        <w:gridCol w:w="1547"/>
        <w:gridCol w:w="1547"/>
        <w:gridCol w:w="1587"/>
        <w:gridCol w:w="1547"/>
      </w:tblGrid>
      <w:tr w:rsidR="003E5D1B" w:rsidRPr="00BE3992" w14:paraId="259F30ED" w14:textId="77777777" w:rsidTr="0086624F">
        <w:trPr>
          <w:trHeight w:val="454"/>
        </w:trPr>
        <w:tc>
          <w:tcPr>
            <w:tcW w:w="1547" w:type="dxa"/>
            <w:tcBorders>
              <w:top w:val="single" w:sz="4" w:space="0" w:color="auto"/>
              <w:bottom w:val="single" w:sz="4" w:space="0" w:color="auto"/>
            </w:tcBorders>
            <w:vAlign w:val="center"/>
          </w:tcPr>
          <w:p w14:paraId="33DAD162" w14:textId="77777777" w:rsidR="003E5D1B" w:rsidRPr="00BE3992" w:rsidRDefault="003E5D1B" w:rsidP="00D0517C">
            <w:pPr>
              <w:rPr>
                <w:rFonts w:ascii="Arial" w:hAnsi="Arial" w:cs="Arial"/>
                <w:sz w:val="22"/>
                <w:szCs w:val="22"/>
                <w:lang w:val="en-US"/>
              </w:rPr>
            </w:pPr>
            <w:r w:rsidRPr="00BE3992">
              <w:rPr>
                <w:rFonts w:ascii="Arial" w:hAnsi="Arial" w:cs="Arial"/>
                <w:sz w:val="22"/>
                <w:szCs w:val="22"/>
                <w:lang w:val="en-US"/>
              </w:rPr>
              <w:t xml:space="preserve">Sample </w:t>
            </w:r>
          </w:p>
        </w:tc>
        <w:tc>
          <w:tcPr>
            <w:tcW w:w="1547" w:type="dxa"/>
            <w:tcBorders>
              <w:top w:val="single" w:sz="4" w:space="0" w:color="auto"/>
              <w:bottom w:val="single" w:sz="4" w:space="0" w:color="auto"/>
            </w:tcBorders>
            <w:vAlign w:val="center"/>
          </w:tcPr>
          <w:p w14:paraId="6C9F6488" w14:textId="77777777" w:rsidR="003E5D1B" w:rsidRPr="00BE3992" w:rsidRDefault="003E5D1B" w:rsidP="00D0517C">
            <w:pPr>
              <w:jc w:val="right"/>
              <w:rPr>
                <w:rFonts w:ascii="Arial" w:hAnsi="Arial" w:cs="Arial"/>
                <w:sz w:val="22"/>
                <w:szCs w:val="22"/>
                <w:lang w:val="en-US"/>
              </w:rPr>
            </w:pPr>
            <w:r w:rsidRPr="00BE3992">
              <w:rPr>
                <w:rFonts w:ascii="Arial" w:hAnsi="Arial" w:cs="Arial"/>
                <w:sz w:val="22"/>
                <w:szCs w:val="22"/>
                <w:lang w:val="en-US"/>
              </w:rPr>
              <w:t xml:space="preserve">Raw reads </w:t>
            </w:r>
          </w:p>
        </w:tc>
        <w:tc>
          <w:tcPr>
            <w:tcW w:w="1547" w:type="dxa"/>
            <w:tcBorders>
              <w:top w:val="single" w:sz="4" w:space="0" w:color="auto"/>
              <w:bottom w:val="single" w:sz="4" w:space="0" w:color="auto"/>
            </w:tcBorders>
            <w:vAlign w:val="center"/>
          </w:tcPr>
          <w:p w14:paraId="39E09DA2" w14:textId="77777777" w:rsidR="003E5D1B" w:rsidRPr="00BE3992" w:rsidRDefault="003E5D1B" w:rsidP="00D0517C">
            <w:pPr>
              <w:jc w:val="right"/>
              <w:rPr>
                <w:rFonts w:ascii="Arial" w:hAnsi="Arial" w:cs="Arial"/>
                <w:sz w:val="22"/>
                <w:szCs w:val="22"/>
                <w:lang w:val="en-US"/>
              </w:rPr>
            </w:pPr>
            <w:r w:rsidRPr="00BE3992">
              <w:rPr>
                <w:rFonts w:ascii="Arial" w:hAnsi="Arial" w:cs="Arial"/>
                <w:sz w:val="22"/>
                <w:szCs w:val="22"/>
                <w:lang w:val="en-US"/>
              </w:rPr>
              <w:t xml:space="preserve">Data yield (Gb) </w:t>
            </w:r>
          </w:p>
        </w:tc>
        <w:tc>
          <w:tcPr>
            <w:tcW w:w="1547" w:type="dxa"/>
            <w:tcBorders>
              <w:top w:val="single" w:sz="4" w:space="0" w:color="auto"/>
              <w:bottom w:val="single" w:sz="4" w:space="0" w:color="auto"/>
            </w:tcBorders>
            <w:vAlign w:val="center"/>
          </w:tcPr>
          <w:p w14:paraId="790C1CCD" w14:textId="59DD3847" w:rsidR="003E5D1B" w:rsidRPr="00BE3992" w:rsidRDefault="003E5D1B" w:rsidP="00D0517C">
            <w:pPr>
              <w:jc w:val="right"/>
              <w:rPr>
                <w:rFonts w:ascii="Arial" w:hAnsi="Arial" w:cs="Arial"/>
                <w:sz w:val="22"/>
                <w:szCs w:val="22"/>
                <w:lang w:val="en-US"/>
              </w:rPr>
            </w:pPr>
            <w:r w:rsidRPr="00BE3992">
              <w:rPr>
                <w:rFonts w:ascii="Arial" w:hAnsi="Arial" w:cs="Arial"/>
                <w:sz w:val="22"/>
                <w:szCs w:val="22"/>
                <w:lang w:val="en-US"/>
              </w:rPr>
              <w:t>Depth of coverage</w:t>
            </w:r>
            <w:r w:rsidR="00502A7E">
              <w:rPr>
                <w:rFonts w:ascii="Arial" w:hAnsi="Arial" w:cs="Arial"/>
                <w:sz w:val="22"/>
                <w:szCs w:val="22"/>
                <w:lang w:val="en-US"/>
              </w:rPr>
              <w:t xml:space="preserve"> (X)</w:t>
            </w:r>
            <w:r w:rsidRPr="00BE3992">
              <w:rPr>
                <w:rFonts w:ascii="Arial" w:hAnsi="Arial" w:cs="Arial"/>
                <w:sz w:val="22"/>
                <w:szCs w:val="22"/>
                <w:lang w:val="en-US"/>
              </w:rPr>
              <w:t xml:space="preserve"> </w:t>
            </w:r>
          </w:p>
        </w:tc>
        <w:tc>
          <w:tcPr>
            <w:tcW w:w="1587" w:type="dxa"/>
            <w:tcBorders>
              <w:top w:val="single" w:sz="4" w:space="0" w:color="auto"/>
              <w:bottom w:val="single" w:sz="4" w:space="0" w:color="auto"/>
            </w:tcBorders>
            <w:vAlign w:val="center"/>
          </w:tcPr>
          <w:p w14:paraId="60B9D337" w14:textId="384933FC" w:rsidR="003E5D1B" w:rsidRPr="00BE3992" w:rsidRDefault="00C478DE" w:rsidP="00D0517C">
            <w:pPr>
              <w:jc w:val="right"/>
              <w:rPr>
                <w:rFonts w:ascii="Arial" w:hAnsi="Arial" w:cs="Arial"/>
                <w:sz w:val="22"/>
                <w:szCs w:val="22"/>
                <w:lang w:val="en-US"/>
              </w:rPr>
            </w:pPr>
            <w:r w:rsidRPr="00BE3992">
              <w:rPr>
                <w:rFonts w:ascii="Arial" w:hAnsi="Arial" w:cs="Arial"/>
                <w:sz w:val="22"/>
                <w:szCs w:val="22"/>
                <w:lang w:val="en-US"/>
              </w:rPr>
              <w:t>Heterozygous</w:t>
            </w:r>
            <w:r w:rsidR="003E5D1B" w:rsidRPr="00BE3992">
              <w:rPr>
                <w:rFonts w:ascii="Arial" w:hAnsi="Arial" w:cs="Arial"/>
                <w:sz w:val="22"/>
                <w:szCs w:val="22"/>
                <w:lang w:val="en-US"/>
              </w:rPr>
              <w:t xml:space="preserve"> SNPs </w:t>
            </w:r>
          </w:p>
        </w:tc>
        <w:tc>
          <w:tcPr>
            <w:tcW w:w="1547" w:type="dxa"/>
            <w:tcBorders>
              <w:top w:val="single" w:sz="4" w:space="0" w:color="auto"/>
              <w:bottom w:val="single" w:sz="4" w:space="0" w:color="auto"/>
            </w:tcBorders>
            <w:vAlign w:val="center"/>
          </w:tcPr>
          <w:p w14:paraId="53E8D0CD" w14:textId="7959AF09" w:rsidR="003E5D1B" w:rsidRPr="00BE3992" w:rsidRDefault="00C478DE" w:rsidP="00D0517C">
            <w:pPr>
              <w:jc w:val="right"/>
              <w:rPr>
                <w:rFonts w:ascii="Arial" w:hAnsi="Arial" w:cs="Arial"/>
                <w:sz w:val="22"/>
                <w:szCs w:val="22"/>
                <w:lang w:val="en-US"/>
              </w:rPr>
            </w:pPr>
            <w:r w:rsidRPr="00BE3992">
              <w:rPr>
                <w:rFonts w:ascii="Arial" w:hAnsi="Arial" w:cs="Arial"/>
                <w:sz w:val="22"/>
                <w:szCs w:val="22"/>
                <w:lang w:val="en-US"/>
              </w:rPr>
              <w:t>Homozygous</w:t>
            </w:r>
            <w:r w:rsidR="003E5D1B" w:rsidRPr="00BE3992">
              <w:rPr>
                <w:rFonts w:ascii="Arial" w:hAnsi="Arial" w:cs="Arial"/>
                <w:sz w:val="22"/>
                <w:szCs w:val="22"/>
                <w:lang w:val="en-US"/>
              </w:rPr>
              <w:t xml:space="preserve"> SNPs </w:t>
            </w:r>
          </w:p>
        </w:tc>
      </w:tr>
      <w:tr w:rsidR="006527EA" w:rsidRPr="00BE3992" w14:paraId="0D1239C2" w14:textId="77777777" w:rsidTr="0086624F">
        <w:trPr>
          <w:trHeight w:val="454"/>
        </w:trPr>
        <w:tc>
          <w:tcPr>
            <w:tcW w:w="1547" w:type="dxa"/>
            <w:tcBorders>
              <w:top w:val="single" w:sz="4" w:space="0" w:color="auto"/>
            </w:tcBorders>
            <w:vAlign w:val="center"/>
          </w:tcPr>
          <w:p w14:paraId="6724AF84" w14:textId="62354931"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 xml:space="preserve">Drone </w:t>
            </w:r>
          </w:p>
        </w:tc>
        <w:tc>
          <w:tcPr>
            <w:tcW w:w="1547" w:type="dxa"/>
            <w:tcBorders>
              <w:top w:val="single" w:sz="4" w:space="0" w:color="auto"/>
            </w:tcBorders>
            <w:vAlign w:val="center"/>
          </w:tcPr>
          <w:p w14:paraId="056E365F" w14:textId="65CF418C"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 xml:space="preserve">60,147,207 </w:t>
            </w:r>
          </w:p>
        </w:tc>
        <w:tc>
          <w:tcPr>
            <w:tcW w:w="1547" w:type="dxa"/>
            <w:tcBorders>
              <w:top w:val="single" w:sz="4" w:space="0" w:color="auto"/>
            </w:tcBorders>
            <w:vAlign w:val="center"/>
          </w:tcPr>
          <w:p w14:paraId="70287EB3" w14:textId="09E2CF24"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 xml:space="preserve">18.16 </w:t>
            </w:r>
          </w:p>
        </w:tc>
        <w:tc>
          <w:tcPr>
            <w:tcW w:w="1547" w:type="dxa"/>
            <w:tcBorders>
              <w:top w:val="single" w:sz="4" w:space="0" w:color="auto"/>
            </w:tcBorders>
            <w:vAlign w:val="center"/>
          </w:tcPr>
          <w:p w14:paraId="5C918EF7" w14:textId="79FF6BB4"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 xml:space="preserve">34.0 </w:t>
            </w:r>
          </w:p>
        </w:tc>
        <w:tc>
          <w:tcPr>
            <w:tcW w:w="1587" w:type="dxa"/>
            <w:tcBorders>
              <w:top w:val="single" w:sz="4" w:space="0" w:color="auto"/>
            </w:tcBorders>
            <w:vAlign w:val="center"/>
          </w:tcPr>
          <w:p w14:paraId="57266FF9" w14:textId="4A6B81E5"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 xml:space="preserve">0 </w:t>
            </w:r>
          </w:p>
        </w:tc>
        <w:tc>
          <w:tcPr>
            <w:tcW w:w="1547" w:type="dxa"/>
            <w:tcBorders>
              <w:top w:val="single" w:sz="4" w:space="0" w:color="auto"/>
              <w:left w:val="nil"/>
              <w:bottom w:val="nil"/>
              <w:right w:val="nil"/>
            </w:tcBorders>
            <w:shd w:val="clear" w:color="auto" w:fill="auto"/>
            <w:vAlign w:val="center"/>
          </w:tcPr>
          <w:p w14:paraId="78A27FEA" w14:textId="4A4CD783" w:rsidR="006527EA" w:rsidRPr="00BE3992" w:rsidRDefault="00BE3992" w:rsidP="00D0517C">
            <w:pPr>
              <w:jc w:val="right"/>
              <w:rPr>
                <w:rFonts w:ascii="Arial" w:hAnsi="Arial" w:cs="Arial"/>
                <w:sz w:val="22"/>
                <w:szCs w:val="22"/>
                <w:lang w:val="en-US"/>
              </w:rPr>
            </w:pPr>
            <w:r w:rsidRPr="00BE3992">
              <w:rPr>
                <w:rFonts w:ascii="Arial" w:hAnsi="Arial" w:cs="Arial"/>
                <w:color w:val="000000"/>
                <w:sz w:val="22"/>
                <w:szCs w:val="22"/>
              </w:rPr>
              <w:t>1,299,423</w:t>
            </w:r>
          </w:p>
        </w:tc>
      </w:tr>
      <w:tr w:rsidR="006527EA" w:rsidRPr="00BE3992" w14:paraId="5D25412B" w14:textId="77777777" w:rsidTr="002237D7">
        <w:trPr>
          <w:trHeight w:val="454"/>
        </w:trPr>
        <w:tc>
          <w:tcPr>
            <w:tcW w:w="1547" w:type="dxa"/>
            <w:vAlign w:val="center"/>
          </w:tcPr>
          <w:p w14:paraId="5F388018" w14:textId="63365C98"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Mother worker</w:t>
            </w:r>
          </w:p>
        </w:tc>
        <w:tc>
          <w:tcPr>
            <w:tcW w:w="1547" w:type="dxa"/>
            <w:vAlign w:val="center"/>
          </w:tcPr>
          <w:p w14:paraId="1596FDF3" w14:textId="51E57A4A"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53,114,914</w:t>
            </w:r>
          </w:p>
        </w:tc>
        <w:tc>
          <w:tcPr>
            <w:tcW w:w="1547" w:type="dxa"/>
            <w:vAlign w:val="center"/>
          </w:tcPr>
          <w:p w14:paraId="5C9915F6" w14:textId="04B20B0F"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16.04</w:t>
            </w:r>
          </w:p>
        </w:tc>
        <w:tc>
          <w:tcPr>
            <w:tcW w:w="1547" w:type="dxa"/>
            <w:vAlign w:val="center"/>
          </w:tcPr>
          <w:p w14:paraId="77EC7187" w14:textId="3FA7A3A1"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29.1</w:t>
            </w:r>
          </w:p>
        </w:tc>
        <w:tc>
          <w:tcPr>
            <w:tcW w:w="1587" w:type="dxa"/>
            <w:tcBorders>
              <w:top w:val="nil"/>
              <w:left w:val="nil"/>
              <w:bottom w:val="nil"/>
              <w:right w:val="nil"/>
            </w:tcBorders>
            <w:shd w:val="clear" w:color="auto" w:fill="auto"/>
            <w:vAlign w:val="center"/>
          </w:tcPr>
          <w:p w14:paraId="44CC4F37" w14:textId="37427181" w:rsidR="006527EA" w:rsidRPr="00BE3992" w:rsidRDefault="002116C5" w:rsidP="00D0517C">
            <w:pPr>
              <w:jc w:val="right"/>
              <w:rPr>
                <w:rFonts w:ascii="Arial" w:hAnsi="Arial" w:cs="Arial"/>
                <w:sz w:val="22"/>
                <w:szCs w:val="22"/>
                <w:lang w:val="en-US"/>
              </w:rPr>
            </w:pPr>
            <w:r w:rsidRPr="00BE3992">
              <w:rPr>
                <w:rFonts w:ascii="Arial" w:hAnsi="Arial" w:cs="Arial"/>
                <w:color w:val="000000"/>
                <w:sz w:val="22"/>
                <w:szCs w:val="22"/>
              </w:rPr>
              <w:t>993,778</w:t>
            </w:r>
          </w:p>
        </w:tc>
        <w:tc>
          <w:tcPr>
            <w:tcW w:w="1547" w:type="dxa"/>
            <w:tcBorders>
              <w:top w:val="nil"/>
              <w:left w:val="nil"/>
              <w:bottom w:val="nil"/>
              <w:right w:val="nil"/>
            </w:tcBorders>
            <w:shd w:val="clear" w:color="auto" w:fill="auto"/>
            <w:vAlign w:val="center"/>
          </w:tcPr>
          <w:p w14:paraId="6D07BE87" w14:textId="3CC84F23" w:rsidR="006527EA" w:rsidRPr="00BE3992" w:rsidRDefault="002116C5" w:rsidP="00D0517C">
            <w:pPr>
              <w:jc w:val="right"/>
              <w:rPr>
                <w:rFonts w:ascii="Arial" w:hAnsi="Arial" w:cs="Arial"/>
                <w:sz w:val="22"/>
                <w:szCs w:val="22"/>
                <w:lang w:val="en-US"/>
              </w:rPr>
            </w:pPr>
            <w:r w:rsidRPr="00BE3992">
              <w:rPr>
                <w:rFonts w:ascii="Arial" w:hAnsi="Arial" w:cs="Arial"/>
                <w:color w:val="000000"/>
                <w:sz w:val="22"/>
                <w:szCs w:val="22"/>
              </w:rPr>
              <w:t>585,404</w:t>
            </w:r>
          </w:p>
        </w:tc>
      </w:tr>
      <w:tr w:rsidR="006527EA" w:rsidRPr="00BE3992" w14:paraId="7390D215" w14:textId="77777777" w:rsidTr="002237D7">
        <w:trPr>
          <w:trHeight w:val="454"/>
        </w:trPr>
        <w:tc>
          <w:tcPr>
            <w:tcW w:w="1547" w:type="dxa"/>
            <w:vAlign w:val="center"/>
          </w:tcPr>
          <w:p w14:paraId="6F48CAF9" w14:textId="445CF118"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w:t>
            </w:r>
          </w:p>
        </w:tc>
        <w:tc>
          <w:tcPr>
            <w:tcW w:w="1547" w:type="dxa"/>
            <w:vAlign w:val="center"/>
          </w:tcPr>
          <w:p w14:paraId="569FA625" w14:textId="381D02A3"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57,074,195</w:t>
            </w:r>
          </w:p>
        </w:tc>
        <w:tc>
          <w:tcPr>
            <w:tcW w:w="1547" w:type="dxa"/>
            <w:vAlign w:val="center"/>
          </w:tcPr>
          <w:p w14:paraId="45B5C4AA" w14:textId="6E6A90D3"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17.24</w:t>
            </w:r>
          </w:p>
        </w:tc>
        <w:tc>
          <w:tcPr>
            <w:tcW w:w="1547" w:type="dxa"/>
            <w:vAlign w:val="center"/>
          </w:tcPr>
          <w:p w14:paraId="694684D3" w14:textId="01DDF51A"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34.9</w:t>
            </w:r>
          </w:p>
        </w:tc>
        <w:tc>
          <w:tcPr>
            <w:tcW w:w="1587" w:type="dxa"/>
            <w:tcBorders>
              <w:top w:val="nil"/>
              <w:left w:val="nil"/>
              <w:bottom w:val="nil"/>
              <w:right w:val="nil"/>
            </w:tcBorders>
            <w:shd w:val="clear" w:color="auto" w:fill="auto"/>
            <w:vAlign w:val="center"/>
          </w:tcPr>
          <w:p w14:paraId="51626F0A" w14:textId="4937A030" w:rsidR="002116C5" w:rsidRPr="00BE3992" w:rsidRDefault="002116C5" w:rsidP="00D0517C">
            <w:pPr>
              <w:jc w:val="right"/>
              <w:rPr>
                <w:rFonts w:ascii="Arial" w:hAnsi="Arial" w:cs="Arial"/>
                <w:sz w:val="22"/>
                <w:szCs w:val="22"/>
                <w:lang w:val="en-US"/>
              </w:rPr>
            </w:pPr>
            <w:r w:rsidRPr="00BE3992">
              <w:rPr>
                <w:rFonts w:ascii="Arial" w:hAnsi="Arial" w:cs="Arial"/>
                <w:sz w:val="22"/>
                <w:szCs w:val="22"/>
                <w:lang w:val="en-US"/>
              </w:rPr>
              <w:t>1,114,134</w:t>
            </w:r>
          </w:p>
        </w:tc>
        <w:tc>
          <w:tcPr>
            <w:tcW w:w="1547" w:type="dxa"/>
            <w:tcBorders>
              <w:top w:val="nil"/>
              <w:left w:val="nil"/>
              <w:bottom w:val="nil"/>
              <w:right w:val="nil"/>
            </w:tcBorders>
            <w:shd w:val="clear" w:color="auto" w:fill="auto"/>
            <w:vAlign w:val="center"/>
          </w:tcPr>
          <w:p w14:paraId="484AAB0C" w14:textId="277150BE" w:rsidR="006527EA" w:rsidRPr="00BE3992" w:rsidRDefault="002116C5" w:rsidP="00D0517C">
            <w:pPr>
              <w:jc w:val="right"/>
              <w:rPr>
                <w:rFonts w:ascii="Arial" w:hAnsi="Arial" w:cs="Arial"/>
                <w:sz w:val="22"/>
                <w:szCs w:val="22"/>
                <w:lang w:val="en-US"/>
              </w:rPr>
            </w:pPr>
            <w:r w:rsidRPr="00BE3992">
              <w:rPr>
                <w:rFonts w:ascii="Arial" w:hAnsi="Arial" w:cs="Arial"/>
                <w:color w:val="000000"/>
                <w:sz w:val="22"/>
                <w:szCs w:val="22"/>
              </w:rPr>
              <w:t>663,352</w:t>
            </w:r>
          </w:p>
        </w:tc>
      </w:tr>
      <w:tr w:rsidR="006527EA" w:rsidRPr="00BE3992" w14:paraId="4C5EE397" w14:textId="77777777" w:rsidTr="002237D7">
        <w:trPr>
          <w:trHeight w:val="454"/>
        </w:trPr>
        <w:tc>
          <w:tcPr>
            <w:tcW w:w="1547" w:type="dxa"/>
            <w:vAlign w:val="center"/>
          </w:tcPr>
          <w:p w14:paraId="457FCC2D" w14:textId="60929689"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#2</w:t>
            </w:r>
          </w:p>
        </w:tc>
        <w:tc>
          <w:tcPr>
            <w:tcW w:w="1547" w:type="dxa"/>
            <w:vAlign w:val="center"/>
          </w:tcPr>
          <w:p w14:paraId="52C8B72F" w14:textId="27110BC5"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62,352,341</w:t>
            </w:r>
          </w:p>
        </w:tc>
        <w:tc>
          <w:tcPr>
            <w:tcW w:w="1547" w:type="dxa"/>
            <w:vAlign w:val="center"/>
          </w:tcPr>
          <w:p w14:paraId="792861EF" w14:textId="66164892"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18.83</w:t>
            </w:r>
          </w:p>
        </w:tc>
        <w:tc>
          <w:tcPr>
            <w:tcW w:w="1547" w:type="dxa"/>
            <w:vAlign w:val="center"/>
          </w:tcPr>
          <w:p w14:paraId="1D420231" w14:textId="0B9EBFA6"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35.3</w:t>
            </w:r>
          </w:p>
        </w:tc>
        <w:tc>
          <w:tcPr>
            <w:tcW w:w="1587" w:type="dxa"/>
            <w:tcBorders>
              <w:top w:val="nil"/>
              <w:left w:val="nil"/>
              <w:bottom w:val="nil"/>
              <w:right w:val="nil"/>
            </w:tcBorders>
            <w:shd w:val="clear" w:color="auto" w:fill="auto"/>
            <w:vAlign w:val="center"/>
          </w:tcPr>
          <w:p w14:paraId="085AC8BA" w14:textId="19B8332D"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1,118,499</w:t>
            </w:r>
          </w:p>
        </w:tc>
        <w:tc>
          <w:tcPr>
            <w:tcW w:w="1547" w:type="dxa"/>
            <w:tcBorders>
              <w:top w:val="nil"/>
              <w:left w:val="nil"/>
              <w:bottom w:val="nil"/>
              <w:right w:val="nil"/>
            </w:tcBorders>
            <w:shd w:val="clear" w:color="auto" w:fill="auto"/>
            <w:vAlign w:val="center"/>
          </w:tcPr>
          <w:p w14:paraId="1DD34085" w14:textId="09470732"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666,806</w:t>
            </w:r>
          </w:p>
        </w:tc>
      </w:tr>
      <w:tr w:rsidR="006527EA" w:rsidRPr="00BE3992" w14:paraId="0C087952" w14:textId="77777777" w:rsidTr="002237D7">
        <w:trPr>
          <w:trHeight w:val="454"/>
        </w:trPr>
        <w:tc>
          <w:tcPr>
            <w:tcW w:w="1547" w:type="dxa"/>
            <w:vAlign w:val="center"/>
          </w:tcPr>
          <w:p w14:paraId="5E024587" w14:textId="7834146A"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#3</w:t>
            </w:r>
          </w:p>
        </w:tc>
        <w:tc>
          <w:tcPr>
            <w:tcW w:w="1547" w:type="dxa"/>
            <w:vAlign w:val="center"/>
          </w:tcPr>
          <w:p w14:paraId="183224E9" w14:textId="6C205C5C"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59,290,292</w:t>
            </w:r>
          </w:p>
        </w:tc>
        <w:tc>
          <w:tcPr>
            <w:tcW w:w="1547" w:type="dxa"/>
            <w:vAlign w:val="center"/>
          </w:tcPr>
          <w:p w14:paraId="56BEC274" w14:textId="1B25A523"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17.91</w:t>
            </w:r>
          </w:p>
        </w:tc>
        <w:tc>
          <w:tcPr>
            <w:tcW w:w="1547" w:type="dxa"/>
            <w:vAlign w:val="center"/>
          </w:tcPr>
          <w:p w14:paraId="6F36C4BD" w14:textId="12CAF467"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33.4</w:t>
            </w:r>
          </w:p>
        </w:tc>
        <w:tc>
          <w:tcPr>
            <w:tcW w:w="1587" w:type="dxa"/>
            <w:tcBorders>
              <w:top w:val="nil"/>
              <w:left w:val="nil"/>
              <w:bottom w:val="nil"/>
              <w:right w:val="nil"/>
            </w:tcBorders>
            <w:shd w:val="clear" w:color="auto" w:fill="auto"/>
            <w:vAlign w:val="center"/>
          </w:tcPr>
          <w:p w14:paraId="23267661" w14:textId="79F68590"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1,094,070</w:t>
            </w:r>
          </w:p>
        </w:tc>
        <w:tc>
          <w:tcPr>
            <w:tcW w:w="1547" w:type="dxa"/>
            <w:tcBorders>
              <w:top w:val="nil"/>
              <w:left w:val="nil"/>
              <w:bottom w:val="nil"/>
              <w:right w:val="nil"/>
            </w:tcBorders>
            <w:shd w:val="clear" w:color="auto" w:fill="auto"/>
            <w:vAlign w:val="center"/>
          </w:tcPr>
          <w:p w14:paraId="15983A7D" w14:textId="3195ED5A"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650,492</w:t>
            </w:r>
          </w:p>
        </w:tc>
      </w:tr>
      <w:tr w:rsidR="006527EA" w:rsidRPr="00BE3992" w14:paraId="75CC669A" w14:textId="77777777" w:rsidTr="002237D7">
        <w:trPr>
          <w:trHeight w:val="454"/>
        </w:trPr>
        <w:tc>
          <w:tcPr>
            <w:tcW w:w="1547" w:type="dxa"/>
            <w:vAlign w:val="center"/>
          </w:tcPr>
          <w:p w14:paraId="25B993CC" w14:textId="58B15965"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#4</w:t>
            </w:r>
          </w:p>
        </w:tc>
        <w:tc>
          <w:tcPr>
            <w:tcW w:w="1547" w:type="dxa"/>
            <w:vAlign w:val="center"/>
          </w:tcPr>
          <w:p w14:paraId="5B67B19B" w14:textId="181FFFA7"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66,836,635</w:t>
            </w:r>
          </w:p>
        </w:tc>
        <w:tc>
          <w:tcPr>
            <w:tcW w:w="1547" w:type="dxa"/>
            <w:vAlign w:val="center"/>
          </w:tcPr>
          <w:p w14:paraId="34155F80" w14:textId="5A4AABD1"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20.18</w:t>
            </w:r>
          </w:p>
        </w:tc>
        <w:tc>
          <w:tcPr>
            <w:tcW w:w="1547" w:type="dxa"/>
            <w:vAlign w:val="center"/>
          </w:tcPr>
          <w:p w14:paraId="32FD8353" w14:textId="37B31B33"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38.2</w:t>
            </w:r>
          </w:p>
        </w:tc>
        <w:tc>
          <w:tcPr>
            <w:tcW w:w="1587" w:type="dxa"/>
            <w:tcBorders>
              <w:top w:val="nil"/>
              <w:left w:val="nil"/>
              <w:bottom w:val="nil"/>
              <w:right w:val="nil"/>
            </w:tcBorders>
            <w:shd w:val="clear" w:color="auto" w:fill="auto"/>
            <w:vAlign w:val="center"/>
          </w:tcPr>
          <w:p w14:paraId="42A3C81E" w14:textId="0C8C021E"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1,142,363</w:t>
            </w:r>
          </w:p>
        </w:tc>
        <w:tc>
          <w:tcPr>
            <w:tcW w:w="1547" w:type="dxa"/>
            <w:tcBorders>
              <w:top w:val="nil"/>
              <w:left w:val="nil"/>
              <w:bottom w:val="nil"/>
              <w:right w:val="nil"/>
            </w:tcBorders>
            <w:shd w:val="clear" w:color="auto" w:fill="auto"/>
            <w:vAlign w:val="center"/>
          </w:tcPr>
          <w:p w14:paraId="2040ECE2" w14:textId="3334C990"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682,596</w:t>
            </w:r>
          </w:p>
        </w:tc>
      </w:tr>
      <w:tr w:rsidR="006527EA" w:rsidRPr="00BE3992" w14:paraId="34018DAA" w14:textId="77777777" w:rsidTr="002237D7">
        <w:trPr>
          <w:trHeight w:val="454"/>
        </w:trPr>
        <w:tc>
          <w:tcPr>
            <w:tcW w:w="1547" w:type="dxa"/>
            <w:vAlign w:val="center"/>
          </w:tcPr>
          <w:p w14:paraId="6A5D53C1" w14:textId="3C0E253A"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#5</w:t>
            </w:r>
          </w:p>
        </w:tc>
        <w:tc>
          <w:tcPr>
            <w:tcW w:w="1547" w:type="dxa"/>
            <w:vAlign w:val="center"/>
          </w:tcPr>
          <w:p w14:paraId="196307A1" w14:textId="1097B43D"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65,949,155</w:t>
            </w:r>
          </w:p>
        </w:tc>
        <w:tc>
          <w:tcPr>
            <w:tcW w:w="1547" w:type="dxa"/>
            <w:vAlign w:val="center"/>
          </w:tcPr>
          <w:p w14:paraId="07287047" w14:textId="33DB7708"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19.92</w:t>
            </w:r>
          </w:p>
        </w:tc>
        <w:tc>
          <w:tcPr>
            <w:tcW w:w="1547" w:type="dxa"/>
            <w:vAlign w:val="center"/>
          </w:tcPr>
          <w:p w14:paraId="3567FD87" w14:textId="1712230C"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38.5</w:t>
            </w:r>
          </w:p>
        </w:tc>
        <w:tc>
          <w:tcPr>
            <w:tcW w:w="1587" w:type="dxa"/>
            <w:tcBorders>
              <w:top w:val="nil"/>
              <w:left w:val="nil"/>
              <w:bottom w:val="nil"/>
              <w:right w:val="nil"/>
            </w:tcBorders>
            <w:shd w:val="clear" w:color="auto" w:fill="auto"/>
            <w:vAlign w:val="center"/>
          </w:tcPr>
          <w:p w14:paraId="7176048C" w14:textId="11FAEE91"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1,126,244</w:t>
            </w:r>
          </w:p>
        </w:tc>
        <w:tc>
          <w:tcPr>
            <w:tcW w:w="1547" w:type="dxa"/>
            <w:tcBorders>
              <w:top w:val="nil"/>
              <w:left w:val="nil"/>
              <w:bottom w:val="nil"/>
              <w:right w:val="nil"/>
            </w:tcBorders>
            <w:shd w:val="clear" w:color="auto" w:fill="auto"/>
            <w:vAlign w:val="center"/>
          </w:tcPr>
          <w:p w14:paraId="57996D43" w14:textId="2944CA24"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695,309</w:t>
            </w:r>
          </w:p>
        </w:tc>
      </w:tr>
      <w:tr w:rsidR="006527EA" w:rsidRPr="00BE3992" w14:paraId="17E76AE2" w14:textId="77777777" w:rsidTr="002237D7">
        <w:trPr>
          <w:trHeight w:val="454"/>
        </w:trPr>
        <w:tc>
          <w:tcPr>
            <w:tcW w:w="1547" w:type="dxa"/>
            <w:vAlign w:val="center"/>
          </w:tcPr>
          <w:p w14:paraId="0A2EFF02" w14:textId="2FEBC1FF"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#6</w:t>
            </w:r>
          </w:p>
        </w:tc>
        <w:tc>
          <w:tcPr>
            <w:tcW w:w="1547" w:type="dxa"/>
            <w:vAlign w:val="center"/>
          </w:tcPr>
          <w:p w14:paraId="47F99DCF" w14:textId="7478499B"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58,642,762</w:t>
            </w:r>
          </w:p>
        </w:tc>
        <w:tc>
          <w:tcPr>
            <w:tcW w:w="1547" w:type="dxa"/>
            <w:vAlign w:val="center"/>
          </w:tcPr>
          <w:p w14:paraId="4E27DCE0" w14:textId="6AA423C0"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17.71</w:t>
            </w:r>
          </w:p>
        </w:tc>
        <w:tc>
          <w:tcPr>
            <w:tcW w:w="1547" w:type="dxa"/>
            <w:vAlign w:val="center"/>
          </w:tcPr>
          <w:p w14:paraId="6A514C92" w14:textId="73879AFA"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35.2</w:t>
            </w:r>
          </w:p>
        </w:tc>
        <w:tc>
          <w:tcPr>
            <w:tcW w:w="1587" w:type="dxa"/>
            <w:tcBorders>
              <w:top w:val="nil"/>
              <w:left w:val="nil"/>
              <w:bottom w:val="nil"/>
              <w:right w:val="nil"/>
            </w:tcBorders>
            <w:shd w:val="clear" w:color="auto" w:fill="auto"/>
            <w:vAlign w:val="center"/>
          </w:tcPr>
          <w:p w14:paraId="4BF37D04" w14:textId="3B67BDA0"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1,104,720</w:t>
            </w:r>
          </w:p>
        </w:tc>
        <w:tc>
          <w:tcPr>
            <w:tcW w:w="1547" w:type="dxa"/>
            <w:tcBorders>
              <w:top w:val="nil"/>
              <w:left w:val="nil"/>
              <w:bottom w:val="nil"/>
              <w:right w:val="nil"/>
            </w:tcBorders>
            <w:shd w:val="clear" w:color="auto" w:fill="auto"/>
            <w:vAlign w:val="center"/>
          </w:tcPr>
          <w:p w14:paraId="570FE595" w14:textId="0417EE30" w:rsidR="006527EA" w:rsidRPr="00BE3992" w:rsidRDefault="00392A75" w:rsidP="00D0517C">
            <w:pPr>
              <w:jc w:val="right"/>
              <w:rPr>
                <w:rFonts w:ascii="Arial" w:hAnsi="Arial" w:cs="Arial"/>
                <w:sz w:val="22"/>
                <w:szCs w:val="22"/>
                <w:lang w:val="en-US"/>
              </w:rPr>
            </w:pPr>
            <w:r w:rsidRPr="00BE3992">
              <w:rPr>
                <w:rFonts w:ascii="Arial" w:hAnsi="Arial" w:cs="Arial"/>
                <w:color w:val="000000"/>
                <w:sz w:val="22"/>
                <w:szCs w:val="22"/>
              </w:rPr>
              <w:t>677,966</w:t>
            </w:r>
          </w:p>
        </w:tc>
      </w:tr>
      <w:tr w:rsidR="006527EA" w:rsidRPr="00BE3992" w14:paraId="0999CBC1" w14:textId="77777777" w:rsidTr="002237D7">
        <w:trPr>
          <w:trHeight w:val="454"/>
        </w:trPr>
        <w:tc>
          <w:tcPr>
            <w:tcW w:w="1547" w:type="dxa"/>
            <w:vAlign w:val="center"/>
          </w:tcPr>
          <w:p w14:paraId="0C685ED3" w14:textId="4D886C1E"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#7</w:t>
            </w:r>
          </w:p>
        </w:tc>
        <w:tc>
          <w:tcPr>
            <w:tcW w:w="1547" w:type="dxa"/>
            <w:vAlign w:val="center"/>
          </w:tcPr>
          <w:p w14:paraId="1B0A74AF" w14:textId="01790C69"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61,741,651</w:t>
            </w:r>
          </w:p>
        </w:tc>
        <w:tc>
          <w:tcPr>
            <w:tcW w:w="1547" w:type="dxa"/>
            <w:vAlign w:val="center"/>
          </w:tcPr>
          <w:p w14:paraId="7B2B219B" w14:textId="7E505838"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18.65</w:t>
            </w:r>
          </w:p>
        </w:tc>
        <w:tc>
          <w:tcPr>
            <w:tcW w:w="1547" w:type="dxa"/>
            <w:vAlign w:val="center"/>
          </w:tcPr>
          <w:p w14:paraId="40B534D0" w14:textId="5E9B65C7"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37.2</w:t>
            </w:r>
          </w:p>
        </w:tc>
        <w:tc>
          <w:tcPr>
            <w:tcW w:w="1587" w:type="dxa"/>
            <w:tcBorders>
              <w:top w:val="nil"/>
              <w:left w:val="nil"/>
              <w:bottom w:val="nil"/>
              <w:right w:val="nil"/>
            </w:tcBorders>
            <w:shd w:val="clear" w:color="auto" w:fill="auto"/>
            <w:vAlign w:val="center"/>
          </w:tcPr>
          <w:p w14:paraId="02B7F2FF" w14:textId="1A43E81D" w:rsidR="006527EA" w:rsidRPr="00BE3992" w:rsidRDefault="00B850B5" w:rsidP="00D0517C">
            <w:pPr>
              <w:jc w:val="right"/>
              <w:rPr>
                <w:rFonts w:ascii="Arial" w:hAnsi="Arial" w:cs="Arial"/>
                <w:sz w:val="22"/>
                <w:szCs w:val="22"/>
                <w:lang w:val="en-US"/>
              </w:rPr>
            </w:pPr>
            <w:r w:rsidRPr="00BE3992">
              <w:rPr>
                <w:rFonts w:ascii="Arial" w:hAnsi="Arial" w:cs="Arial"/>
                <w:color w:val="000000"/>
                <w:sz w:val="22"/>
                <w:szCs w:val="22"/>
              </w:rPr>
              <w:t>1,133,008</w:t>
            </w:r>
          </w:p>
        </w:tc>
        <w:tc>
          <w:tcPr>
            <w:tcW w:w="1547" w:type="dxa"/>
            <w:tcBorders>
              <w:top w:val="nil"/>
              <w:left w:val="nil"/>
              <w:bottom w:val="nil"/>
              <w:right w:val="nil"/>
            </w:tcBorders>
            <w:shd w:val="clear" w:color="auto" w:fill="auto"/>
            <w:vAlign w:val="center"/>
          </w:tcPr>
          <w:p w14:paraId="65F1D589" w14:textId="1F8EB4B2" w:rsidR="006527EA" w:rsidRPr="00BE3992" w:rsidRDefault="00B850B5" w:rsidP="00D0517C">
            <w:pPr>
              <w:jc w:val="right"/>
              <w:rPr>
                <w:rFonts w:ascii="Arial" w:hAnsi="Arial" w:cs="Arial"/>
                <w:sz w:val="22"/>
                <w:szCs w:val="22"/>
                <w:lang w:val="en-US"/>
              </w:rPr>
            </w:pPr>
            <w:r w:rsidRPr="00BE3992">
              <w:rPr>
                <w:rFonts w:ascii="Arial" w:hAnsi="Arial" w:cs="Arial"/>
                <w:color w:val="000000"/>
                <w:sz w:val="22"/>
                <w:szCs w:val="22"/>
              </w:rPr>
              <w:t>676,630</w:t>
            </w:r>
          </w:p>
        </w:tc>
      </w:tr>
      <w:tr w:rsidR="006527EA" w:rsidRPr="00BE3992" w14:paraId="2EA97CA9" w14:textId="77777777" w:rsidTr="002237D7">
        <w:trPr>
          <w:trHeight w:val="454"/>
        </w:trPr>
        <w:tc>
          <w:tcPr>
            <w:tcW w:w="1547" w:type="dxa"/>
            <w:vAlign w:val="center"/>
          </w:tcPr>
          <w:p w14:paraId="4D37CEFA" w14:textId="33726686"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#8</w:t>
            </w:r>
          </w:p>
        </w:tc>
        <w:tc>
          <w:tcPr>
            <w:tcW w:w="1547" w:type="dxa"/>
            <w:vAlign w:val="center"/>
          </w:tcPr>
          <w:p w14:paraId="710C3126" w14:textId="1482FDD0"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61,095,810</w:t>
            </w:r>
          </w:p>
        </w:tc>
        <w:tc>
          <w:tcPr>
            <w:tcW w:w="1547" w:type="dxa"/>
            <w:vAlign w:val="center"/>
          </w:tcPr>
          <w:p w14:paraId="7BC660F5" w14:textId="3B14A7F5"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18.45</w:t>
            </w:r>
          </w:p>
        </w:tc>
        <w:tc>
          <w:tcPr>
            <w:tcW w:w="1547" w:type="dxa"/>
            <w:vAlign w:val="center"/>
          </w:tcPr>
          <w:p w14:paraId="04829569" w14:textId="41BCC01F"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38.5</w:t>
            </w:r>
          </w:p>
        </w:tc>
        <w:tc>
          <w:tcPr>
            <w:tcW w:w="1587" w:type="dxa"/>
            <w:tcBorders>
              <w:top w:val="nil"/>
              <w:left w:val="nil"/>
              <w:bottom w:val="nil"/>
              <w:right w:val="nil"/>
            </w:tcBorders>
            <w:shd w:val="clear" w:color="auto" w:fill="auto"/>
            <w:vAlign w:val="center"/>
          </w:tcPr>
          <w:p w14:paraId="20AAA11B" w14:textId="5090AE2E" w:rsidR="006527EA" w:rsidRPr="00BE3992" w:rsidRDefault="00B850B5" w:rsidP="00D0517C">
            <w:pPr>
              <w:jc w:val="right"/>
              <w:rPr>
                <w:rFonts w:ascii="Arial" w:hAnsi="Arial" w:cs="Arial"/>
                <w:sz w:val="22"/>
                <w:szCs w:val="22"/>
                <w:lang w:val="en-US"/>
              </w:rPr>
            </w:pPr>
            <w:r w:rsidRPr="00BE3992">
              <w:rPr>
                <w:rFonts w:ascii="Arial" w:hAnsi="Arial" w:cs="Arial"/>
                <w:color w:val="000000"/>
                <w:sz w:val="22"/>
                <w:szCs w:val="22"/>
              </w:rPr>
              <w:t>1,129,857</w:t>
            </w:r>
          </w:p>
        </w:tc>
        <w:tc>
          <w:tcPr>
            <w:tcW w:w="1547" w:type="dxa"/>
            <w:tcBorders>
              <w:top w:val="nil"/>
              <w:left w:val="nil"/>
              <w:bottom w:val="nil"/>
              <w:right w:val="nil"/>
            </w:tcBorders>
            <w:shd w:val="clear" w:color="auto" w:fill="auto"/>
            <w:vAlign w:val="center"/>
          </w:tcPr>
          <w:p w14:paraId="4CF358FB" w14:textId="4A115CCB" w:rsidR="006527EA" w:rsidRPr="00BE3992" w:rsidRDefault="00B850B5" w:rsidP="00D0517C">
            <w:pPr>
              <w:jc w:val="right"/>
              <w:rPr>
                <w:rFonts w:ascii="Arial" w:hAnsi="Arial" w:cs="Arial"/>
                <w:sz w:val="22"/>
                <w:szCs w:val="22"/>
                <w:lang w:val="en-US"/>
              </w:rPr>
            </w:pPr>
            <w:r w:rsidRPr="00BE3992">
              <w:rPr>
                <w:rFonts w:ascii="Arial" w:hAnsi="Arial" w:cs="Arial"/>
                <w:color w:val="000000"/>
                <w:sz w:val="22"/>
                <w:szCs w:val="22"/>
              </w:rPr>
              <w:t>672,523</w:t>
            </w:r>
          </w:p>
        </w:tc>
      </w:tr>
      <w:tr w:rsidR="006527EA" w:rsidRPr="00BE3992" w14:paraId="63A7E1D4" w14:textId="77777777" w:rsidTr="002237D7">
        <w:trPr>
          <w:trHeight w:val="454"/>
        </w:trPr>
        <w:tc>
          <w:tcPr>
            <w:tcW w:w="1547" w:type="dxa"/>
            <w:vAlign w:val="center"/>
          </w:tcPr>
          <w:p w14:paraId="4D3E12FA" w14:textId="71D60FA7"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#9</w:t>
            </w:r>
          </w:p>
        </w:tc>
        <w:tc>
          <w:tcPr>
            <w:tcW w:w="1547" w:type="dxa"/>
            <w:vAlign w:val="center"/>
          </w:tcPr>
          <w:p w14:paraId="616AE646" w14:textId="3E827FC7"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66,762,702</w:t>
            </w:r>
          </w:p>
        </w:tc>
        <w:tc>
          <w:tcPr>
            <w:tcW w:w="1547" w:type="dxa"/>
            <w:vAlign w:val="center"/>
          </w:tcPr>
          <w:p w14:paraId="5D10E305" w14:textId="0B2B68FF"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20.16</w:t>
            </w:r>
          </w:p>
        </w:tc>
        <w:tc>
          <w:tcPr>
            <w:tcW w:w="1547" w:type="dxa"/>
            <w:vAlign w:val="center"/>
          </w:tcPr>
          <w:p w14:paraId="6BE21D9E" w14:textId="41332C82"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42.3</w:t>
            </w:r>
          </w:p>
        </w:tc>
        <w:tc>
          <w:tcPr>
            <w:tcW w:w="1587" w:type="dxa"/>
            <w:tcBorders>
              <w:top w:val="nil"/>
              <w:left w:val="nil"/>
              <w:bottom w:val="nil"/>
              <w:right w:val="nil"/>
            </w:tcBorders>
            <w:shd w:val="clear" w:color="auto" w:fill="auto"/>
            <w:vAlign w:val="center"/>
          </w:tcPr>
          <w:p w14:paraId="5C971854" w14:textId="62AA7839" w:rsidR="006527EA" w:rsidRPr="00BE3992" w:rsidRDefault="003C2223" w:rsidP="00D0517C">
            <w:pPr>
              <w:jc w:val="right"/>
              <w:rPr>
                <w:rFonts w:ascii="Arial" w:hAnsi="Arial" w:cs="Arial"/>
                <w:sz w:val="22"/>
                <w:szCs w:val="22"/>
                <w:lang w:val="en-US"/>
              </w:rPr>
            </w:pPr>
            <w:r w:rsidRPr="00BE3992">
              <w:rPr>
                <w:rFonts w:ascii="Arial" w:hAnsi="Arial" w:cs="Arial"/>
                <w:color w:val="000000"/>
                <w:sz w:val="22"/>
                <w:szCs w:val="22"/>
              </w:rPr>
              <w:t>1,156,860</w:t>
            </w:r>
          </w:p>
        </w:tc>
        <w:tc>
          <w:tcPr>
            <w:tcW w:w="1547" w:type="dxa"/>
            <w:tcBorders>
              <w:top w:val="nil"/>
              <w:left w:val="nil"/>
              <w:bottom w:val="nil"/>
              <w:right w:val="nil"/>
            </w:tcBorders>
            <w:shd w:val="clear" w:color="auto" w:fill="auto"/>
            <w:vAlign w:val="center"/>
          </w:tcPr>
          <w:p w14:paraId="2B8D37F1" w14:textId="78C5B153" w:rsidR="006527EA" w:rsidRPr="00BE3992" w:rsidRDefault="003C2223" w:rsidP="00D0517C">
            <w:pPr>
              <w:jc w:val="right"/>
              <w:rPr>
                <w:rFonts w:ascii="Arial" w:hAnsi="Arial" w:cs="Arial"/>
                <w:sz w:val="22"/>
                <w:szCs w:val="22"/>
                <w:lang w:val="en-US"/>
              </w:rPr>
            </w:pPr>
            <w:r w:rsidRPr="00BE3992">
              <w:rPr>
                <w:rFonts w:ascii="Arial" w:hAnsi="Arial" w:cs="Arial"/>
                <w:color w:val="000000"/>
                <w:sz w:val="22"/>
                <w:szCs w:val="22"/>
              </w:rPr>
              <w:t>691,518</w:t>
            </w:r>
          </w:p>
        </w:tc>
      </w:tr>
      <w:tr w:rsidR="006527EA" w:rsidRPr="00BE3992" w14:paraId="37F6AD18" w14:textId="77777777" w:rsidTr="002237D7">
        <w:trPr>
          <w:trHeight w:val="454"/>
        </w:trPr>
        <w:tc>
          <w:tcPr>
            <w:tcW w:w="1547" w:type="dxa"/>
            <w:vAlign w:val="center"/>
          </w:tcPr>
          <w:p w14:paraId="43FBA39A" w14:textId="6A6CF140"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#10</w:t>
            </w:r>
          </w:p>
        </w:tc>
        <w:tc>
          <w:tcPr>
            <w:tcW w:w="1547" w:type="dxa"/>
            <w:vAlign w:val="center"/>
          </w:tcPr>
          <w:p w14:paraId="27C033FF" w14:textId="3D0C0F9F"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71,449,405</w:t>
            </w:r>
          </w:p>
        </w:tc>
        <w:tc>
          <w:tcPr>
            <w:tcW w:w="1547" w:type="dxa"/>
            <w:vAlign w:val="center"/>
          </w:tcPr>
          <w:p w14:paraId="13978A71" w14:textId="4A914F1E"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21.58</w:t>
            </w:r>
          </w:p>
        </w:tc>
        <w:tc>
          <w:tcPr>
            <w:tcW w:w="1547" w:type="dxa"/>
            <w:vAlign w:val="center"/>
          </w:tcPr>
          <w:p w14:paraId="37A6CB7F" w14:textId="6406D1A1"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41.4</w:t>
            </w:r>
          </w:p>
        </w:tc>
        <w:tc>
          <w:tcPr>
            <w:tcW w:w="1587" w:type="dxa"/>
            <w:tcBorders>
              <w:top w:val="nil"/>
              <w:left w:val="nil"/>
              <w:bottom w:val="nil"/>
              <w:right w:val="nil"/>
            </w:tcBorders>
            <w:shd w:val="clear" w:color="auto" w:fill="auto"/>
            <w:vAlign w:val="center"/>
          </w:tcPr>
          <w:p w14:paraId="14D994B1" w14:textId="0400AFB7" w:rsidR="006527EA" w:rsidRPr="00BE3992" w:rsidRDefault="00E76360" w:rsidP="00D0517C">
            <w:pPr>
              <w:jc w:val="right"/>
              <w:rPr>
                <w:rFonts w:ascii="Arial" w:hAnsi="Arial" w:cs="Arial"/>
                <w:sz w:val="22"/>
                <w:szCs w:val="22"/>
                <w:lang w:val="en-US"/>
              </w:rPr>
            </w:pPr>
            <w:r w:rsidRPr="00BE3992">
              <w:rPr>
                <w:rFonts w:ascii="Arial" w:hAnsi="Arial" w:cs="Arial"/>
                <w:color w:val="000000"/>
                <w:sz w:val="22"/>
                <w:szCs w:val="22"/>
              </w:rPr>
              <w:t>1,108,669</w:t>
            </w:r>
          </w:p>
        </w:tc>
        <w:tc>
          <w:tcPr>
            <w:tcW w:w="1547" w:type="dxa"/>
            <w:tcBorders>
              <w:top w:val="nil"/>
              <w:left w:val="nil"/>
              <w:bottom w:val="nil"/>
              <w:right w:val="nil"/>
            </w:tcBorders>
            <w:shd w:val="clear" w:color="auto" w:fill="auto"/>
            <w:vAlign w:val="center"/>
          </w:tcPr>
          <w:p w14:paraId="7A29FDB3" w14:textId="19399684" w:rsidR="006527EA" w:rsidRPr="00BE3992" w:rsidRDefault="00E76360" w:rsidP="00D0517C">
            <w:pPr>
              <w:jc w:val="right"/>
              <w:rPr>
                <w:rFonts w:ascii="Arial" w:hAnsi="Arial" w:cs="Arial"/>
                <w:sz w:val="22"/>
                <w:szCs w:val="22"/>
                <w:lang w:val="en-US"/>
              </w:rPr>
            </w:pPr>
            <w:r w:rsidRPr="00BE3992">
              <w:rPr>
                <w:rFonts w:ascii="Arial" w:hAnsi="Arial" w:cs="Arial"/>
                <w:color w:val="000000"/>
                <w:sz w:val="22"/>
                <w:szCs w:val="22"/>
              </w:rPr>
              <w:t>721,496</w:t>
            </w:r>
          </w:p>
        </w:tc>
      </w:tr>
      <w:tr w:rsidR="006527EA" w:rsidRPr="00BE3992" w14:paraId="654EF388" w14:textId="77777777" w:rsidTr="002237D7">
        <w:trPr>
          <w:trHeight w:val="454"/>
        </w:trPr>
        <w:tc>
          <w:tcPr>
            <w:tcW w:w="1547" w:type="dxa"/>
            <w:vAlign w:val="center"/>
          </w:tcPr>
          <w:p w14:paraId="13318743" w14:textId="68BB099E"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#11</w:t>
            </w:r>
          </w:p>
        </w:tc>
        <w:tc>
          <w:tcPr>
            <w:tcW w:w="1547" w:type="dxa"/>
            <w:vAlign w:val="center"/>
          </w:tcPr>
          <w:p w14:paraId="6E1EC5BE" w14:textId="78C2FEBB"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63,333,639</w:t>
            </w:r>
          </w:p>
        </w:tc>
        <w:tc>
          <w:tcPr>
            <w:tcW w:w="1547" w:type="dxa"/>
            <w:vAlign w:val="center"/>
          </w:tcPr>
          <w:p w14:paraId="2D94F0E7" w14:textId="4F01FC96"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19.13</w:t>
            </w:r>
          </w:p>
        </w:tc>
        <w:tc>
          <w:tcPr>
            <w:tcW w:w="1547" w:type="dxa"/>
            <w:vAlign w:val="center"/>
          </w:tcPr>
          <w:p w14:paraId="45EA9087" w14:textId="3B778163"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39.6</w:t>
            </w:r>
          </w:p>
        </w:tc>
        <w:tc>
          <w:tcPr>
            <w:tcW w:w="1587" w:type="dxa"/>
            <w:tcBorders>
              <w:top w:val="nil"/>
              <w:left w:val="nil"/>
              <w:bottom w:val="nil"/>
              <w:right w:val="nil"/>
            </w:tcBorders>
            <w:shd w:val="clear" w:color="auto" w:fill="auto"/>
            <w:vAlign w:val="center"/>
          </w:tcPr>
          <w:p w14:paraId="52B7773D" w14:textId="2A57B2C9"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1,139,238</w:t>
            </w:r>
          </w:p>
        </w:tc>
        <w:tc>
          <w:tcPr>
            <w:tcW w:w="1547" w:type="dxa"/>
            <w:tcBorders>
              <w:top w:val="nil"/>
              <w:left w:val="nil"/>
              <w:bottom w:val="nil"/>
              <w:right w:val="nil"/>
            </w:tcBorders>
            <w:shd w:val="clear" w:color="auto" w:fill="auto"/>
            <w:vAlign w:val="center"/>
          </w:tcPr>
          <w:p w14:paraId="63664416" w14:textId="6867F6CC"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690,310</w:t>
            </w:r>
          </w:p>
        </w:tc>
      </w:tr>
      <w:tr w:rsidR="006527EA" w:rsidRPr="00BE3992" w14:paraId="3A9E8C9F" w14:textId="77777777" w:rsidTr="002237D7">
        <w:trPr>
          <w:trHeight w:val="454"/>
        </w:trPr>
        <w:tc>
          <w:tcPr>
            <w:tcW w:w="1547" w:type="dxa"/>
            <w:vAlign w:val="center"/>
          </w:tcPr>
          <w:p w14:paraId="18217781" w14:textId="0DA4075C"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#12</w:t>
            </w:r>
          </w:p>
        </w:tc>
        <w:tc>
          <w:tcPr>
            <w:tcW w:w="1547" w:type="dxa"/>
            <w:vAlign w:val="center"/>
          </w:tcPr>
          <w:p w14:paraId="56F2601C" w14:textId="083E3DCC"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57,848,834</w:t>
            </w:r>
          </w:p>
        </w:tc>
        <w:tc>
          <w:tcPr>
            <w:tcW w:w="1547" w:type="dxa"/>
            <w:vAlign w:val="center"/>
          </w:tcPr>
          <w:p w14:paraId="2B5E009E" w14:textId="6F944DEA"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17.47</w:t>
            </w:r>
          </w:p>
        </w:tc>
        <w:tc>
          <w:tcPr>
            <w:tcW w:w="1547" w:type="dxa"/>
            <w:vAlign w:val="center"/>
          </w:tcPr>
          <w:p w14:paraId="504A7D32" w14:textId="41AE8B70"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32.6</w:t>
            </w:r>
          </w:p>
        </w:tc>
        <w:tc>
          <w:tcPr>
            <w:tcW w:w="1587" w:type="dxa"/>
            <w:tcBorders>
              <w:top w:val="nil"/>
              <w:left w:val="nil"/>
              <w:bottom w:val="nil"/>
              <w:right w:val="nil"/>
            </w:tcBorders>
            <w:shd w:val="clear" w:color="auto" w:fill="auto"/>
            <w:vAlign w:val="center"/>
          </w:tcPr>
          <w:p w14:paraId="54B1D229" w14:textId="719648B0"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1,063,258</w:t>
            </w:r>
          </w:p>
        </w:tc>
        <w:tc>
          <w:tcPr>
            <w:tcW w:w="1547" w:type="dxa"/>
            <w:tcBorders>
              <w:top w:val="nil"/>
              <w:left w:val="nil"/>
              <w:bottom w:val="nil"/>
              <w:right w:val="nil"/>
            </w:tcBorders>
            <w:shd w:val="clear" w:color="auto" w:fill="auto"/>
            <w:vAlign w:val="center"/>
          </w:tcPr>
          <w:p w14:paraId="44D8576B" w14:textId="6C1C430B"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647,987</w:t>
            </w:r>
          </w:p>
        </w:tc>
      </w:tr>
      <w:tr w:rsidR="006527EA" w:rsidRPr="00BE3992" w14:paraId="1CFD962D" w14:textId="77777777" w:rsidTr="0086624F">
        <w:trPr>
          <w:trHeight w:val="454"/>
        </w:trPr>
        <w:tc>
          <w:tcPr>
            <w:tcW w:w="1547" w:type="dxa"/>
            <w:tcBorders>
              <w:bottom w:val="nil"/>
            </w:tcBorders>
            <w:vAlign w:val="center"/>
          </w:tcPr>
          <w:p w14:paraId="72A97FAB" w14:textId="1B9DBE8E"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#13</w:t>
            </w:r>
          </w:p>
        </w:tc>
        <w:tc>
          <w:tcPr>
            <w:tcW w:w="1547" w:type="dxa"/>
            <w:tcBorders>
              <w:bottom w:val="nil"/>
            </w:tcBorders>
            <w:vAlign w:val="center"/>
          </w:tcPr>
          <w:p w14:paraId="6B93B802" w14:textId="323AAB72"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71,139,349</w:t>
            </w:r>
          </w:p>
        </w:tc>
        <w:tc>
          <w:tcPr>
            <w:tcW w:w="1547" w:type="dxa"/>
            <w:tcBorders>
              <w:bottom w:val="nil"/>
            </w:tcBorders>
            <w:vAlign w:val="center"/>
          </w:tcPr>
          <w:p w14:paraId="1D070C5B" w14:textId="064160D1"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21.48</w:t>
            </w:r>
          </w:p>
        </w:tc>
        <w:tc>
          <w:tcPr>
            <w:tcW w:w="1547" w:type="dxa"/>
            <w:tcBorders>
              <w:bottom w:val="nil"/>
            </w:tcBorders>
            <w:vAlign w:val="center"/>
          </w:tcPr>
          <w:p w14:paraId="3271BAA1" w14:textId="20CA74DF"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33.4</w:t>
            </w:r>
          </w:p>
        </w:tc>
        <w:tc>
          <w:tcPr>
            <w:tcW w:w="1587" w:type="dxa"/>
            <w:tcBorders>
              <w:top w:val="nil"/>
              <w:left w:val="nil"/>
              <w:bottom w:val="nil"/>
              <w:right w:val="nil"/>
            </w:tcBorders>
            <w:shd w:val="clear" w:color="auto" w:fill="auto"/>
            <w:vAlign w:val="center"/>
          </w:tcPr>
          <w:p w14:paraId="50117579" w14:textId="747AD164"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1,077,616</w:t>
            </w:r>
          </w:p>
        </w:tc>
        <w:tc>
          <w:tcPr>
            <w:tcW w:w="1547" w:type="dxa"/>
            <w:tcBorders>
              <w:top w:val="nil"/>
              <w:left w:val="nil"/>
              <w:bottom w:val="nil"/>
              <w:right w:val="nil"/>
            </w:tcBorders>
            <w:shd w:val="clear" w:color="auto" w:fill="auto"/>
            <w:vAlign w:val="center"/>
          </w:tcPr>
          <w:p w14:paraId="48D48BA2" w14:textId="1765EC0C" w:rsidR="006527EA" w:rsidRPr="00BE3992" w:rsidRDefault="0016005D" w:rsidP="00D0517C">
            <w:pPr>
              <w:jc w:val="right"/>
              <w:rPr>
                <w:rFonts w:ascii="Arial" w:hAnsi="Arial" w:cs="Arial"/>
                <w:sz w:val="22"/>
                <w:szCs w:val="22"/>
                <w:lang w:val="en-US"/>
              </w:rPr>
            </w:pPr>
            <w:r w:rsidRPr="00BE3992">
              <w:rPr>
                <w:rFonts w:ascii="Arial" w:hAnsi="Arial" w:cs="Arial"/>
                <w:color w:val="000000"/>
                <w:sz w:val="22"/>
                <w:szCs w:val="22"/>
              </w:rPr>
              <w:t>640,096</w:t>
            </w:r>
          </w:p>
        </w:tc>
      </w:tr>
      <w:tr w:rsidR="006527EA" w:rsidRPr="00BE3992" w14:paraId="5C18F3FA" w14:textId="77777777" w:rsidTr="0086624F">
        <w:trPr>
          <w:trHeight w:val="454"/>
        </w:trPr>
        <w:tc>
          <w:tcPr>
            <w:tcW w:w="1547" w:type="dxa"/>
            <w:tcBorders>
              <w:top w:val="nil"/>
              <w:bottom w:val="single" w:sz="4" w:space="0" w:color="auto"/>
            </w:tcBorders>
            <w:vAlign w:val="center"/>
          </w:tcPr>
          <w:p w14:paraId="73C1FC8F" w14:textId="28B0A459" w:rsidR="006527EA" w:rsidRPr="00BE3992" w:rsidRDefault="006527EA" w:rsidP="00D0517C">
            <w:pPr>
              <w:rPr>
                <w:rFonts w:ascii="Arial" w:hAnsi="Arial" w:cs="Arial"/>
                <w:sz w:val="22"/>
                <w:szCs w:val="22"/>
                <w:lang w:val="en-US"/>
              </w:rPr>
            </w:pPr>
            <w:r w:rsidRPr="00BE3992">
              <w:rPr>
                <w:rFonts w:ascii="Arial" w:hAnsi="Arial" w:cs="Arial"/>
                <w:sz w:val="22"/>
                <w:szCs w:val="22"/>
                <w:lang w:val="en-US"/>
              </w:rPr>
              <w:t>Offspring larvae #14</w:t>
            </w:r>
          </w:p>
        </w:tc>
        <w:tc>
          <w:tcPr>
            <w:tcW w:w="1547" w:type="dxa"/>
            <w:tcBorders>
              <w:top w:val="nil"/>
              <w:bottom w:val="single" w:sz="4" w:space="0" w:color="auto"/>
            </w:tcBorders>
            <w:vAlign w:val="center"/>
          </w:tcPr>
          <w:p w14:paraId="7402F44E" w14:textId="0D0870CE"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59,799,030</w:t>
            </w:r>
          </w:p>
        </w:tc>
        <w:tc>
          <w:tcPr>
            <w:tcW w:w="1547" w:type="dxa"/>
            <w:tcBorders>
              <w:top w:val="nil"/>
              <w:bottom w:val="single" w:sz="4" w:space="0" w:color="auto"/>
            </w:tcBorders>
            <w:vAlign w:val="center"/>
          </w:tcPr>
          <w:p w14:paraId="30634601" w14:textId="3569F41E"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18.06</w:t>
            </w:r>
          </w:p>
        </w:tc>
        <w:tc>
          <w:tcPr>
            <w:tcW w:w="1547" w:type="dxa"/>
            <w:tcBorders>
              <w:top w:val="nil"/>
              <w:bottom w:val="single" w:sz="4" w:space="0" w:color="auto"/>
            </w:tcBorders>
            <w:vAlign w:val="center"/>
          </w:tcPr>
          <w:p w14:paraId="6B815CF7" w14:textId="4E0371C2" w:rsidR="006527EA" w:rsidRPr="00BE3992" w:rsidRDefault="006527EA" w:rsidP="00D0517C">
            <w:pPr>
              <w:jc w:val="right"/>
              <w:rPr>
                <w:rFonts w:ascii="Arial" w:hAnsi="Arial" w:cs="Arial"/>
                <w:sz w:val="22"/>
                <w:szCs w:val="22"/>
                <w:lang w:val="en-US"/>
              </w:rPr>
            </w:pPr>
            <w:r w:rsidRPr="00BE3992">
              <w:rPr>
                <w:rFonts w:ascii="Arial" w:hAnsi="Arial" w:cs="Arial"/>
                <w:sz w:val="22"/>
                <w:szCs w:val="22"/>
                <w:lang w:val="en-US"/>
              </w:rPr>
              <w:t>38.5</w:t>
            </w:r>
          </w:p>
        </w:tc>
        <w:tc>
          <w:tcPr>
            <w:tcW w:w="1587" w:type="dxa"/>
            <w:tcBorders>
              <w:top w:val="nil"/>
              <w:left w:val="nil"/>
              <w:bottom w:val="single" w:sz="4" w:space="0" w:color="auto"/>
              <w:right w:val="nil"/>
            </w:tcBorders>
            <w:shd w:val="clear" w:color="auto" w:fill="auto"/>
            <w:vAlign w:val="center"/>
          </w:tcPr>
          <w:p w14:paraId="5CD8704E" w14:textId="4AD6C383" w:rsidR="006527EA" w:rsidRPr="00BE3992" w:rsidRDefault="00703BCE" w:rsidP="00D0517C">
            <w:pPr>
              <w:jc w:val="right"/>
              <w:rPr>
                <w:rFonts w:ascii="Arial" w:hAnsi="Arial" w:cs="Arial"/>
                <w:sz w:val="22"/>
                <w:szCs w:val="22"/>
                <w:lang w:val="en-US"/>
              </w:rPr>
            </w:pPr>
            <w:r w:rsidRPr="00BE3992">
              <w:rPr>
                <w:rFonts w:ascii="Arial" w:hAnsi="Arial" w:cs="Arial"/>
                <w:color w:val="000000"/>
                <w:sz w:val="22"/>
                <w:szCs w:val="22"/>
              </w:rPr>
              <w:t>1,086,977</w:t>
            </w:r>
          </w:p>
        </w:tc>
        <w:tc>
          <w:tcPr>
            <w:tcW w:w="1547" w:type="dxa"/>
            <w:tcBorders>
              <w:top w:val="nil"/>
              <w:left w:val="nil"/>
              <w:bottom w:val="single" w:sz="4" w:space="0" w:color="auto"/>
              <w:right w:val="nil"/>
            </w:tcBorders>
            <w:shd w:val="clear" w:color="auto" w:fill="auto"/>
            <w:vAlign w:val="center"/>
          </w:tcPr>
          <w:p w14:paraId="765954D9" w14:textId="241343AA" w:rsidR="006527EA" w:rsidRPr="00BE3992" w:rsidRDefault="000546E7" w:rsidP="00D0517C">
            <w:pPr>
              <w:jc w:val="right"/>
              <w:rPr>
                <w:rFonts w:ascii="Arial" w:hAnsi="Arial" w:cs="Arial"/>
                <w:sz w:val="22"/>
                <w:szCs w:val="22"/>
                <w:lang w:val="en-US"/>
              </w:rPr>
            </w:pPr>
            <w:r w:rsidRPr="00BE3992">
              <w:rPr>
                <w:rFonts w:ascii="Arial" w:hAnsi="Arial" w:cs="Arial"/>
                <w:color w:val="000000"/>
                <w:sz w:val="22"/>
                <w:szCs w:val="22"/>
              </w:rPr>
              <w:t>702,084</w:t>
            </w:r>
          </w:p>
        </w:tc>
      </w:tr>
    </w:tbl>
    <w:p w14:paraId="7A77267B" w14:textId="6D1C49EF" w:rsidR="00444992" w:rsidRPr="00884299" w:rsidRDefault="00444992">
      <w:pPr>
        <w:rPr>
          <w:rFonts w:ascii="Arial" w:hAnsi="Arial" w:cs="Arial"/>
          <w:sz w:val="22"/>
          <w:szCs w:val="22"/>
        </w:rPr>
      </w:pPr>
    </w:p>
    <w:p w14:paraId="714D4012" w14:textId="7F281B12" w:rsidR="00444992" w:rsidRPr="00884299" w:rsidRDefault="00444992">
      <w:pPr>
        <w:rPr>
          <w:rFonts w:ascii="Arial" w:hAnsi="Arial" w:cs="Arial"/>
          <w:sz w:val="22"/>
          <w:szCs w:val="22"/>
        </w:rPr>
      </w:pPr>
    </w:p>
    <w:sectPr w:rsidR="00444992" w:rsidRPr="00884299" w:rsidSect="001807FD">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2D99A" w14:textId="77777777" w:rsidR="00482499" w:rsidRDefault="00482499" w:rsidP="00202D04">
      <w:r>
        <w:separator/>
      </w:r>
    </w:p>
  </w:endnote>
  <w:endnote w:type="continuationSeparator" w:id="0">
    <w:p w14:paraId="49FBC199" w14:textId="77777777" w:rsidR="00482499" w:rsidRDefault="00482499" w:rsidP="00202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9826719"/>
      <w:docPartObj>
        <w:docPartGallery w:val="Page Numbers (Bottom of Page)"/>
        <w:docPartUnique/>
      </w:docPartObj>
    </w:sdtPr>
    <w:sdtEndPr>
      <w:rPr>
        <w:rStyle w:val="PageNumber"/>
      </w:rPr>
    </w:sdtEndPr>
    <w:sdtContent>
      <w:p w14:paraId="768EB1D3" w14:textId="14B8A2E6" w:rsidR="00FF24EA" w:rsidRDefault="00FF24EA" w:rsidP="00FF24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C9A0D" w14:textId="77777777" w:rsidR="00FF24EA" w:rsidRDefault="00FF24EA" w:rsidP="00202D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8779404"/>
      <w:docPartObj>
        <w:docPartGallery w:val="Page Numbers (Bottom of Page)"/>
        <w:docPartUnique/>
      </w:docPartObj>
    </w:sdtPr>
    <w:sdtEndPr>
      <w:rPr>
        <w:rStyle w:val="PageNumber"/>
      </w:rPr>
    </w:sdtEndPr>
    <w:sdtContent>
      <w:p w14:paraId="10AD6372" w14:textId="22BDFECB" w:rsidR="00FF24EA" w:rsidRDefault="00FF24EA" w:rsidP="00FF24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0C733A" w14:textId="77777777" w:rsidR="00FF24EA" w:rsidRDefault="00FF24EA" w:rsidP="00202D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574B5" w14:textId="77777777" w:rsidR="00482499" w:rsidRDefault="00482499" w:rsidP="00202D04">
      <w:r>
        <w:separator/>
      </w:r>
    </w:p>
  </w:footnote>
  <w:footnote w:type="continuationSeparator" w:id="0">
    <w:p w14:paraId="105DF136" w14:textId="77777777" w:rsidR="00482499" w:rsidRDefault="00482499" w:rsidP="00202D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335"/>
    <w:rsid w:val="00024973"/>
    <w:rsid w:val="00036578"/>
    <w:rsid w:val="00037949"/>
    <w:rsid w:val="000467F2"/>
    <w:rsid w:val="000546E7"/>
    <w:rsid w:val="00054ADE"/>
    <w:rsid w:val="0006461A"/>
    <w:rsid w:val="000672A6"/>
    <w:rsid w:val="00080335"/>
    <w:rsid w:val="0009441C"/>
    <w:rsid w:val="000C786F"/>
    <w:rsid w:val="000C7DD3"/>
    <w:rsid w:val="000D54E0"/>
    <w:rsid w:val="000F30CC"/>
    <w:rsid w:val="000F4768"/>
    <w:rsid w:val="00115D09"/>
    <w:rsid w:val="001202E7"/>
    <w:rsid w:val="0016005D"/>
    <w:rsid w:val="001807FD"/>
    <w:rsid w:val="001A3BDB"/>
    <w:rsid w:val="001B6445"/>
    <w:rsid w:val="001C3BC0"/>
    <w:rsid w:val="001C79C2"/>
    <w:rsid w:val="001D0AA2"/>
    <w:rsid w:val="001D7335"/>
    <w:rsid w:val="00202D04"/>
    <w:rsid w:val="002051A6"/>
    <w:rsid w:val="002116C5"/>
    <w:rsid w:val="0021374F"/>
    <w:rsid w:val="002200A6"/>
    <w:rsid w:val="002237D7"/>
    <w:rsid w:val="00225187"/>
    <w:rsid w:val="00245B58"/>
    <w:rsid w:val="002974C2"/>
    <w:rsid w:val="002D56DF"/>
    <w:rsid w:val="002E78BF"/>
    <w:rsid w:val="00312D1F"/>
    <w:rsid w:val="00392A75"/>
    <w:rsid w:val="00392FBD"/>
    <w:rsid w:val="003B11A2"/>
    <w:rsid w:val="003C2223"/>
    <w:rsid w:val="003D3687"/>
    <w:rsid w:val="003D3DE3"/>
    <w:rsid w:val="003D3EBC"/>
    <w:rsid w:val="003E5D1B"/>
    <w:rsid w:val="004234AF"/>
    <w:rsid w:val="00444992"/>
    <w:rsid w:val="00460601"/>
    <w:rsid w:val="004707F7"/>
    <w:rsid w:val="00482499"/>
    <w:rsid w:val="004951D2"/>
    <w:rsid w:val="004B54A1"/>
    <w:rsid w:val="004D5067"/>
    <w:rsid w:val="004E57C9"/>
    <w:rsid w:val="004E7F96"/>
    <w:rsid w:val="00502A7E"/>
    <w:rsid w:val="00522656"/>
    <w:rsid w:val="00543FB6"/>
    <w:rsid w:val="005474B1"/>
    <w:rsid w:val="00564CEC"/>
    <w:rsid w:val="0058371C"/>
    <w:rsid w:val="00586E06"/>
    <w:rsid w:val="00594DCD"/>
    <w:rsid w:val="005F3F62"/>
    <w:rsid w:val="00604469"/>
    <w:rsid w:val="00634FED"/>
    <w:rsid w:val="00641B90"/>
    <w:rsid w:val="006527EA"/>
    <w:rsid w:val="0067046C"/>
    <w:rsid w:val="00677689"/>
    <w:rsid w:val="006852B8"/>
    <w:rsid w:val="0069243F"/>
    <w:rsid w:val="006976D6"/>
    <w:rsid w:val="006979F0"/>
    <w:rsid w:val="006B64CA"/>
    <w:rsid w:val="00703BCE"/>
    <w:rsid w:val="00746DAF"/>
    <w:rsid w:val="007627A2"/>
    <w:rsid w:val="00767254"/>
    <w:rsid w:val="007B2062"/>
    <w:rsid w:val="007C32BA"/>
    <w:rsid w:val="007C352B"/>
    <w:rsid w:val="0081689D"/>
    <w:rsid w:val="00840E32"/>
    <w:rsid w:val="0084311C"/>
    <w:rsid w:val="0086624F"/>
    <w:rsid w:val="0087294D"/>
    <w:rsid w:val="00884299"/>
    <w:rsid w:val="00892C2D"/>
    <w:rsid w:val="008A1D6B"/>
    <w:rsid w:val="008C39AC"/>
    <w:rsid w:val="008F20F6"/>
    <w:rsid w:val="00902D0B"/>
    <w:rsid w:val="0091176D"/>
    <w:rsid w:val="00920C08"/>
    <w:rsid w:val="00945AAF"/>
    <w:rsid w:val="00967EC3"/>
    <w:rsid w:val="009C59DF"/>
    <w:rsid w:val="009D31AF"/>
    <w:rsid w:val="009E75DB"/>
    <w:rsid w:val="00A27E49"/>
    <w:rsid w:val="00A4514A"/>
    <w:rsid w:val="00A73B04"/>
    <w:rsid w:val="00AC64CC"/>
    <w:rsid w:val="00AE2669"/>
    <w:rsid w:val="00B237C5"/>
    <w:rsid w:val="00B30E1A"/>
    <w:rsid w:val="00B44211"/>
    <w:rsid w:val="00B521E9"/>
    <w:rsid w:val="00B850B5"/>
    <w:rsid w:val="00BC464B"/>
    <w:rsid w:val="00BD1AAA"/>
    <w:rsid w:val="00BD7434"/>
    <w:rsid w:val="00BE3992"/>
    <w:rsid w:val="00C063F6"/>
    <w:rsid w:val="00C13274"/>
    <w:rsid w:val="00C461B9"/>
    <w:rsid w:val="00C478DE"/>
    <w:rsid w:val="00C6518F"/>
    <w:rsid w:val="00C658B3"/>
    <w:rsid w:val="00C65CDB"/>
    <w:rsid w:val="00C72307"/>
    <w:rsid w:val="00C81154"/>
    <w:rsid w:val="00CE017E"/>
    <w:rsid w:val="00CE49EE"/>
    <w:rsid w:val="00CF0B56"/>
    <w:rsid w:val="00CF1639"/>
    <w:rsid w:val="00D0517C"/>
    <w:rsid w:val="00D17207"/>
    <w:rsid w:val="00D300D6"/>
    <w:rsid w:val="00DA0FDD"/>
    <w:rsid w:val="00DA446B"/>
    <w:rsid w:val="00DC138E"/>
    <w:rsid w:val="00DE08B1"/>
    <w:rsid w:val="00E216B7"/>
    <w:rsid w:val="00E27C09"/>
    <w:rsid w:val="00E55C64"/>
    <w:rsid w:val="00E76360"/>
    <w:rsid w:val="00EE2EB4"/>
    <w:rsid w:val="00EE6BF3"/>
    <w:rsid w:val="00EF3688"/>
    <w:rsid w:val="00F4537A"/>
    <w:rsid w:val="00F51C2E"/>
    <w:rsid w:val="00F54011"/>
    <w:rsid w:val="00F553C7"/>
    <w:rsid w:val="00F92D44"/>
    <w:rsid w:val="00FA0CD1"/>
    <w:rsid w:val="00FC719A"/>
    <w:rsid w:val="00FF24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9396386"/>
  <w15:chartTrackingRefBased/>
  <w15:docId w15:val="{B8CA52B3-C813-BB42-A9AB-285E6317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D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08B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02D04"/>
    <w:rPr>
      <w:rFonts w:ascii="Calibri" w:eastAsiaTheme="minorEastAsia" w:hAnsi="Calibri" w:cs="Calibri"/>
      <w:lang w:eastAsia="zh-CN"/>
    </w:rPr>
  </w:style>
  <w:style w:type="character" w:customStyle="1" w:styleId="EndNoteBibliographyChar">
    <w:name w:val="EndNote Bibliography Char"/>
    <w:basedOn w:val="DefaultParagraphFont"/>
    <w:link w:val="EndNoteBibliography"/>
    <w:rsid w:val="00202D04"/>
    <w:rPr>
      <w:rFonts w:ascii="Calibri" w:eastAsiaTheme="minorEastAsia" w:hAnsi="Calibri" w:cs="Calibri"/>
      <w:lang w:eastAsia="zh-CN"/>
    </w:rPr>
  </w:style>
  <w:style w:type="paragraph" w:styleId="Footer">
    <w:name w:val="footer"/>
    <w:basedOn w:val="Normal"/>
    <w:link w:val="FooterChar"/>
    <w:uiPriority w:val="99"/>
    <w:unhideWhenUsed/>
    <w:rsid w:val="00202D04"/>
    <w:pPr>
      <w:tabs>
        <w:tab w:val="center" w:pos="4680"/>
        <w:tab w:val="right" w:pos="9360"/>
      </w:tabs>
    </w:pPr>
  </w:style>
  <w:style w:type="character" w:customStyle="1" w:styleId="FooterChar">
    <w:name w:val="Footer Char"/>
    <w:basedOn w:val="DefaultParagraphFont"/>
    <w:link w:val="Footer"/>
    <w:uiPriority w:val="99"/>
    <w:rsid w:val="00202D04"/>
  </w:style>
  <w:style w:type="character" w:styleId="PageNumber">
    <w:name w:val="page number"/>
    <w:basedOn w:val="DefaultParagraphFont"/>
    <w:uiPriority w:val="99"/>
    <w:semiHidden/>
    <w:unhideWhenUsed/>
    <w:rsid w:val="00202D04"/>
  </w:style>
  <w:style w:type="paragraph" w:styleId="TOC1">
    <w:name w:val="toc 1"/>
    <w:basedOn w:val="Normal"/>
    <w:next w:val="Normal"/>
    <w:autoRedefine/>
    <w:uiPriority w:val="39"/>
    <w:unhideWhenUsed/>
    <w:rsid w:val="008A1D6B"/>
    <w:pPr>
      <w:spacing w:before="360"/>
    </w:pPr>
    <w:rPr>
      <w:rFonts w:asciiTheme="majorHAnsi" w:hAnsiTheme="majorHAnsi" w:cstheme="majorHAnsi"/>
      <w:b/>
      <w:bCs/>
      <w:caps/>
      <w:szCs w:val="28"/>
    </w:rPr>
  </w:style>
  <w:style w:type="paragraph" w:styleId="TOC2">
    <w:name w:val="toc 2"/>
    <w:basedOn w:val="Normal"/>
    <w:next w:val="Normal"/>
    <w:autoRedefine/>
    <w:uiPriority w:val="39"/>
    <w:unhideWhenUsed/>
    <w:rsid w:val="008A1D6B"/>
    <w:pPr>
      <w:spacing w:before="240"/>
    </w:pPr>
    <w:rPr>
      <w:rFonts w:cstheme="minorHAnsi"/>
      <w:b/>
      <w:bCs/>
      <w:sz w:val="20"/>
    </w:rPr>
  </w:style>
  <w:style w:type="paragraph" w:styleId="TOC3">
    <w:name w:val="toc 3"/>
    <w:basedOn w:val="Normal"/>
    <w:next w:val="Normal"/>
    <w:autoRedefine/>
    <w:uiPriority w:val="39"/>
    <w:unhideWhenUsed/>
    <w:rsid w:val="008A1D6B"/>
    <w:pPr>
      <w:ind w:left="240"/>
    </w:pPr>
    <w:rPr>
      <w:rFonts w:cstheme="minorHAnsi"/>
      <w:sz w:val="20"/>
    </w:rPr>
  </w:style>
  <w:style w:type="paragraph" w:styleId="TOC4">
    <w:name w:val="toc 4"/>
    <w:basedOn w:val="Normal"/>
    <w:next w:val="Normal"/>
    <w:autoRedefine/>
    <w:uiPriority w:val="39"/>
    <w:unhideWhenUsed/>
    <w:rsid w:val="008A1D6B"/>
    <w:pPr>
      <w:ind w:left="480"/>
    </w:pPr>
    <w:rPr>
      <w:rFonts w:cstheme="minorHAnsi"/>
      <w:sz w:val="20"/>
    </w:rPr>
  </w:style>
  <w:style w:type="paragraph" w:styleId="TOC5">
    <w:name w:val="toc 5"/>
    <w:basedOn w:val="Normal"/>
    <w:next w:val="Normal"/>
    <w:autoRedefine/>
    <w:uiPriority w:val="39"/>
    <w:unhideWhenUsed/>
    <w:rsid w:val="008A1D6B"/>
    <w:pPr>
      <w:ind w:left="720"/>
    </w:pPr>
    <w:rPr>
      <w:rFonts w:cstheme="minorHAnsi"/>
      <w:sz w:val="20"/>
    </w:rPr>
  </w:style>
  <w:style w:type="paragraph" w:styleId="TOC6">
    <w:name w:val="toc 6"/>
    <w:basedOn w:val="Normal"/>
    <w:next w:val="Normal"/>
    <w:autoRedefine/>
    <w:uiPriority w:val="39"/>
    <w:unhideWhenUsed/>
    <w:rsid w:val="008A1D6B"/>
    <w:pPr>
      <w:ind w:left="960"/>
    </w:pPr>
    <w:rPr>
      <w:rFonts w:cstheme="minorHAnsi"/>
      <w:sz w:val="20"/>
    </w:rPr>
  </w:style>
  <w:style w:type="paragraph" w:styleId="TOC7">
    <w:name w:val="toc 7"/>
    <w:basedOn w:val="Normal"/>
    <w:next w:val="Normal"/>
    <w:autoRedefine/>
    <w:uiPriority w:val="39"/>
    <w:unhideWhenUsed/>
    <w:rsid w:val="008A1D6B"/>
    <w:pPr>
      <w:ind w:left="1200"/>
    </w:pPr>
    <w:rPr>
      <w:rFonts w:cstheme="minorHAnsi"/>
      <w:sz w:val="20"/>
    </w:rPr>
  </w:style>
  <w:style w:type="paragraph" w:styleId="TOC8">
    <w:name w:val="toc 8"/>
    <w:basedOn w:val="Normal"/>
    <w:next w:val="Normal"/>
    <w:autoRedefine/>
    <w:uiPriority w:val="39"/>
    <w:unhideWhenUsed/>
    <w:rsid w:val="008A1D6B"/>
    <w:pPr>
      <w:ind w:left="1440"/>
    </w:pPr>
    <w:rPr>
      <w:rFonts w:cstheme="minorHAnsi"/>
      <w:sz w:val="20"/>
    </w:rPr>
  </w:style>
  <w:style w:type="paragraph" w:styleId="TOC9">
    <w:name w:val="toc 9"/>
    <w:basedOn w:val="Normal"/>
    <w:next w:val="Normal"/>
    <w:autoRedefine/>
    <w:uiPriority w:val="39"/>
    <w:unhideWhenUsed/>
    <w:rsid w:val="008A1D6B"/>
    <w:pPr>
      <w:ind w:left="1680"/>
    </w:pPr>
    <w:rPr>
      <w:rFonts w:cstheme="minorHAnsi"/>
      <w:sz w:val="20"/>
    </w:rPr>
  </w:style>
  <w:style w:type="character" w:customStyle="1" w:styleId="Heading1Char">
    <w:name w:val="Heading 1 Char"/>
    <w:basedOn w:val="DefaultParagraphFont"/>
    <w:link w:val="Heading1"/>
    <w:uiPriority w:val="9"/>
    <w:rsid w:val="008A1D6B"/>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8A1D6B"/>
    <w:rPr>
      <w:b/>
      <w:bCs/>
    </w:rPr>
  </w:style>
  <w:style w:type="character" w:customStyle="1" w:styleId="Heading2Char">
    <w:name w:val="Heading 2 Char"/>
    <w:basedOn w:val="DefaultParagraphFont"/>
    <w:link w:val="Heading2"/>
    <w:uiPriority w:val="9"/>
    <w:rsid w:val="00DE08B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E08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014080">
      <w:bodyDiv w:val="1"/>
      <w:marLeft w:val="0"/>
      <w:marRight w:val="0"/>
      <w:marTop w:val="0"/>
      <w:marBottom w:val="0"/>
      <w:divBdr>
        <w:top w:val="none" w:sz="0" w:space="0" w:color="auto"/>
        <w:left w:val="none" w:sz="0" w:space="0" w:color="auto"/>
        <w:bottom w:val="none" w:sz="0" w:space="0" w:color="auto"/>
        <w:right w:val="none" w:sz="0" w:space="0" w:color="auto"/>
      </w:divBdr>
    </w:div>
    <w:div w:id="845439969">
      <w:bodyDiv w:val="1"/>
      <w:marLeft w:val="0"/>
      <w:marRight w:val="0"/>
      <w:marTop w:val="0"/>
      <w:marBottom w:val="0"/>
      <w:divBdr>
        <w:top w:val="none" w:sz="0" w:space="0" w:color="auto"/>
        <w:left w:val="none" w:sz="0" w:space="0" w:color="auto"/>
        <w:bottom w:val="none" w:sz="0" w:space="0" w:color="auto"/>
        <w:right w:val="none" w:sz="0" w:space="0" w:color="auto"/>
      </w:divBdr>
    </w:div>
    <w:div w:id="1154836526">
      <w:bodyDiv w:val="1"/>
      <w:marLeft w:val="0"/>
      <w:marRight w:val="0"/>
      <w:marTop w:val="0"/>
      <w:marBottom w:val="0"/>
      <w:divBdr>
        <w:top w:val="none" w:sz="0" w:space="0" w:color="auto"/>
        <w:left w:val="none" w:sz="0" w:space="0" w:color="auto"/>
        <w:bottom w:val="none" w:sz="0" w:space="0" w:color="auto"/>
        <w:right w:val="none" w:sz="0" w:space="0" w:color="auto"/>
      </w:divBdr>
    </w:div>
    <w:div w:id="1787237769">
      <w:bodyDiv w:val="1"/>
      <w:marLeft w:val="0"/>
      <w:marRight w:val="0"/>
      <w:marTop w:val="0"/>
      <w:marBottom w:val="0"/>
      <w:divBdr>
        <w:top w:val="none" w:sz="0" w:space="0" w:color="auto"/>
        <w:left w:val="none" w:sz="0" w:space="0" w:color="auto"/>
        <w:bottom w:val="none" w:sz="0" w:space="0" w:color="auto"/>
        <w:right w:val="none" w:sz="0" w:space="0" w:color="auto"/>
      </w:divBdr>
    </w:div>
    <w:div w:id="1858421976">
      <w:bodyDiv w:val="1"/>
      <w:marLeft w:val="0"/>
      <w:marRight w:val="0"/>
      <w:marTop w:val="0"/>
      <w:marBottom w:val="0"/>
      <w:divBdr>
        <w:top w:val="none" w:sz="0" w:space="0" w:color="auto"/>
        <w:left w:val="none" w:sz="0" w:space="0" w:color="auto"/>
        <w:bottom w:val="none" w:sz="0" w:space="0" w:color="auto"/>
        <w:right w:val="none" w:sz="0" w:space="0" w:color="auto"/>
      </w:divBdr>
    </w:div>
    <w:div w:id="193686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4145</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c:creator>
  <cp:keywords/>
  <dc:description/>
  <cp:lastModifiedBy>Ben Oldroyd</cp:lastModifiedBy>
  <cp:revision>9</cp:revision>
  <dcterms:created xsi:type="dcterms:W3CDTF">2021-03-16T08:28:00Z</dcterms:created>
  <dcterms:modified xsi:type="dcterms:W3CDTF">2021-03-27T08:14:00Z</dcterms:modified>
</cp:coreProperties>
</file>