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text" w:horzAnchor="margin" w:tblpY="521"/>
        <w:tblW w:w="0" w:type="auto"/>
        <w:tblLook w:val="04A0" w:firstRow="1" w:lastRow="0" w:firstColumn="1" w:lastColumn="0" w:noHBand="0" w:noVBand="1"/>
      </w:tblPr>
      <w:tblGrid>
        <w:gridCol w:w="3694"/>
        <w:gridCol w:w="3683"/>
        <w:gridCol w:w="919"/>
      </w:tblGrid>
      <w:tr w:rsidR="00997A4B" w:rsidRPr="00433AD0" w14:paraId="49B7D937" w14:textId="77777777" w:rsidTr="00997A4B">
        <w:trPr>
          <w:trHeight w:hRule="exact" w:val="284"/>
        </w:trPr>
        <w:tc>
          <w:tcPr>
            <w:tcW w:w="82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20DC8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Antibodies</w:t>
            </w:r>
          </w:p>
        </w:tc>
      </w:tr>
      <w:tr w:rsidR="00997A4B" w:rsidRPr="00433AD0" w14:paraId="51C13F2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4EE1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FEE3C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Supplier &amp;Catalog No.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748FE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</w:tr>
      <w:tr w:rsidR="00997A4B" w:rsidRPr="00433AD0" w14:paraId="08C9C433" w14:textId="77777777" w:rsidTr="00997A4B">
        <w:trPr>
          <w:trHeight w:hRule="exact" w:val="284"/>
        </w:trPr>
        <w:tc>
          <w:tcPr>
            <w:tcW w:w="3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716A" w14:textId="77777777" w:rsidR="00997A4B" w:rsidRPr="00B17388" w:rsidRDefault="00997A4B" w:rsidP="00997A4B">
            <w:pPr>
              <w:pStyle w:val="a7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Anti-Smoothened antibody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DCD5" w14:textId="77777777" w:rsidR="00997A4B" w:rsidRPr="00B17388" w:rsidRDefault="00997A4B" w:rsidP="00997A4B">
            <w:pPr>
              <w:pStyle w:val="a7"/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Abcam, Cat. No. ab72130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B75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0B686D01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90F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Anti-Gli1 antibody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8B81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Affinity Biosciences, Cat. No.DF7523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37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5928D6A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88D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Anti-Gli2 antibody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DC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Affinity Biosciences, Cat. No. DF7541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0E8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55C896F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E7B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Anti-Hcn4 antibody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08B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Millipore, Cat. No. AB5808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9CA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6EE8D4B3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E3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Anti-Tbx5 antibody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E36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Sigma, Cat. No. HPA008786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1D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2674E3C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CA3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Anti-Cdk6 antibody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9AB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Abclonal, Cat. No. A0705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02C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150484B1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1AC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Anti-phospho Smad1/5/8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87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Millipore, Cat. No. AB3848-I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C6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64200027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6324C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Phospho-histone H3(Ser10)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870C7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Cell Signaling Technology, Cat. No.9701s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6C63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781E1D76" w14:textId="77777777" w:rsidTr="00997A4B">
        <w:trPr>
          <w:trHeight w:hRule="exact" w:val="284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CAE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Chemicals, Recombinant Proteins and Reagents</w:t>
            </w:r>
          </w:p>
        </w:tc>
      </w:tr>
      <w:tr w:rsidR="00997A4B" w:rsidRPr="00433AD0" w14:paraId="41C567AF" w14:textId="77777777" w:rsidTr="00997A4B">
        <w:trPr>
          <w:trHeight w:hRule="exact" w:val="284"/>
        </w:trPr>
        <w:tc>
          <w:tcPr>
            <w:tcW w:w="3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1E25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BMP2 recombinant human protein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490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ThermoFisher, Cat. No. phc7145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EB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0A14ADDA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8DF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color w:val="000000" w:themeColor="text1"/>
                <w:sz w:val="18"/>
                <w:szCs w:val="18"/>
              </w:rPr>
              <w:t>Rat tail collagen 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5F4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ThermoFisher, Cat. No.1048301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195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42D6972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17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Blocking reagent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6DD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Sigma, Cat. No. 11096176001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EE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5D5A25A4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18F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BM purple AP substrate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EB2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Sigma, Cat. No. 11442074001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00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0808C42D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FF15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color w:val="000000" w:themeColor="text1"/>
                <w:sz w:val="18"/>
                <w:szCs w:val="18"/>
              </w:rPr>
              <w:t>Anti-digoxigenin-AP, Fab fragments from sheep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C82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Sigma, Cat. No. 11093274910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63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7882CB0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9DC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NTP Dig labelling mix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CF2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 xml:space="preserve">Sigma, Cat. No. </w:t>
            </w:r>
            <w:r w:rsidRPr="00B17388">
              <w:rPr>
                <w:rStyle w:val="st1"/>
                <w:rFonts w:ascii="Arial" w:hAnsi="Arial" w:cs="Arial"/>
                <w:color w:val="000000" w:themeColor="text1"/>
                <w:sz w:val="18"/>
                <w:szCs w:val="18"/>
              </w:rPr>
              <w:t>11277073910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443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70115808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08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RevertAid Firs-Strand cDNA Synthesis Kit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564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ThermoFisher, Cat. No. K1622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A31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C51C7E8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315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SYBR Green Powerup Master Mix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384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ThermoFisher, Cat. No. A25776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268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0C8B7A3E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F85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Lipofectamine 3000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A1A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ThermoFisher, Cat. No. L3000001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711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94E403F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BC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TriPure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E8EB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Roche, Cat. No. 11667165001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32F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6D59E9B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820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EdU cell proliferation kit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623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RiboBio Co., Ltd., Cat.No.C10321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F9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6636037A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FB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p</w:t>
            </w:r>
            <w:r w:rsidRPr="00B17388">
              <w:rPr>
                <w:rFonts w:ascii="Arial" w:hAnsi="Arial" w:cs="Arial"/>
                <w:i/>
                <w:sz w:val="18"/>
                <w:szCs w:val="18"/>
              </w:rPr>
              <w:t>CEFL3xHAmGli2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AA2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Addgene, Cat. No. 37671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25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792523E8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3A0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pTbx5-hrGFPII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2A0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Homemade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9C1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5657737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DF707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pcDNA3.1-Gli1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EA88BB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YouBio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8C3F4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A4B" w:rsidRPr="00433AD0" w14:paraId="427FEB8E" w14:textId="77777777" w:rsidTr="00997A4B">
        <w:trPr>
          <w:trHeight w:hRule="exact" w:val="284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57B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DNA Oligos (5’ to 3’) for RNA Probes</w:t>
            </w:r>
          </w:p>
        </w:tc>
      </w:tr>
      <w:tr w:rsidR="00997A4B" w:rsidRPr="00433AD0" w14:paraId="5CACD65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80A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TATAGCAGCTGTACCGTCACCAC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46E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CTGTCTCTGCTCTCCCTCCATTC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921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Tbx5</w:t>
            </w:r>
          </w:p>
        </w:tc>
      </w:tr>
      <w:tr w:rsidR="00997A4B" w:rsidRPr="00433AD0" w14:paraId="1C7A3FFD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88C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GGAACCACCTGCTGCACATAAG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AEA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TTCTAAGGTGTTGGCTGACAGGA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36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Wnt2</w:t>
            </w:r>
          </w:p>
        </w:tc>
      </w:tr>
      <w:tr w:rsidR="00997A4B" w:rsidRPr="00433AD0" w14:paraId="5FC3A0F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9C4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GCAGGAGAGGGTTAAGTCAGCA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778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AGATTCCCCACCATCAGCAACA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0E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Hcn4</w:t>
            </w:r>
          </w:p>
        </w:tc>
      </w:tr>
      <w:tr w:rsidR="00997A4B" w:rsidRPr="00433AD0" w14:paraId="47FF49AA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9C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TATGAATTCGACCCAGCCAAAGACCCTCGG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BDD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TATGGATCCCAGGCTCCCGGTCCTAGTG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3B8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Nkx2.5</w:t>
            </w:r>
          </w:p>
        </w:tc>
      </w:tr>
      <w:tr w:rsidR="00997A4B" w:rsidRPr="00433AD0" w14:paraId="35113A7F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4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TATAAGCTTGTAGCCTGCAGCCGACAGCTC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8E4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TATGGATCCTCTCCGGACTAGCAGCCACCA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17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Isl1</w:t>
            </w:r>
          </w:p>
        </w:tc>
      </w:tr>
      <w:tr w:rsidR="00997A4B" w:rsidRPr="00433AD0" w14:paraId="129FECA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2E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TATGAATTCAAGCGGATAGAAGGCGGGAGC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514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TATGGATCCAGAGTGGGCTGTGGGTCACCT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3B1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Myl7</w:t>
            </w:r>
          </w:p>
        </w:tc>
      </w:tr>
      <w:tr w:rsidR="00997A4B" w:rsidRPr="00433AD0" w14:paraId="6FCC8265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4CC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ATGCAGGAGAACCATCCGAAGT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28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GTTGTTGTTGCATGGGGACGAT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4D4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Meis1</w:t>
            </w:r>
          </w:p>
        </w:tc>
      </w:tr>
      <w:tr w:rsidR="00997A4B" w:rsidRPr="00433AD0" w14:paraId="7E26D5C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23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AATCAACGGCAGGGAAGACAGA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3CF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AAAGTCTGGTGATCCTGGGGTG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2C7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Arid3b</w:t>
            </w:r>
          </w:p>
        </w:tc>
      </w:tr>
      <w:tr w:rsidR="00997A4B" w:rsidRPr="00433AD0" w14:paraId="0A19BEE0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197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CCTCTCAGTTGCCTTCTGTGGA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EDA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TACTGTTAGGTCGGTCGAAGCG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3688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Egln1</w:t>
            </w:r>
          </w:p>
        </w:tc>
      </w:tr>
      <w:tr w:rsidR="00997A4B" w:rsidRPr="00433AD0" w14:paraId="580EE23E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451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GACGGACTGCGGTCTCCTAAAG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08D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CATCTCTGGAAGTTCCTCCACGG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6A75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Bmp2</w:t>
            </w:r>
          </w:p>
        </w:tc>
      </w:tr>
      <w:tr w:rsidR="00997A4B" w:rsidRPr="00433AD0" w14:paraId="3FC4943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0A594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GCCGGAGACCTAGATGTCATTG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0F390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TTTGCAGGCCAGTTTGATCCCA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0BABA5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Twist1</w:t>
            </w:r>
          </w:p>
        </w:tc>
      </w:tr>
      <w:tr w:rsidR="00997A4B" w:rsidRPr="00433AD0" w14:paraId="2A41D084" w14:textId="77777777" w:rsidTr="00997A4B">
        <w:trPr>
          <w:trHeight w:hRule="exact" w:val="284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76A91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DNA Oligos (5’ to 3’) for qPCR, *: from PrimerBank, **: self-designed</w:t>
            </w:r>
          </w:p>
        </w:tc>
      </w:tr>
      <w:tr w:rsidR="00997A4B" w:rsidRPr="00433AD0" w14:paraId="536D0EF6" w14:textId="77777777" w:rsidTr="00997A4B">
        <w:trPr>
          <w:trHeight w:hRule="exact" w:val="284"/>
        </w:trPr>
        <w:tc>
          <w:tcPr>
            <w:tcW w:w="3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26D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AGATCCGGTTATCCCTGGGAC</w:t>
            </w:r>
          </w:p>
        </w:tc>
        <w:tc>
          <w:tcPr>
            <w:tcW w:w="3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5D4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CAGCAGCCCCCACTAACTG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03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Tbx3*</w:t>
            </w:r>
          </w:p>
        </w:tc>
      </w:tr>
      <w:tr w:rsidR="00997A4B" w:rsidRPr="00433AD0" w14:paraId="29FE4949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CE8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CTTACGGCGTTCGTCTCCAAG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F99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CTCTCTAGCACCTCCCGGTA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3E85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Shox2*</w:t>
            </w:r>
          </w:p>
        </w:tc>
      </w:tr>
      <w:tr w:rsidR="00997A4B" w:rsidRPr="00433AD0" w14:paraId="248D865F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E9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GTACCTGGCTTGGCACGAC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8F6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GCATTGCTGGAAACATGCG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A534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Tbx18*</w:t>
            </w:r>
          </w:p>
        </w:tc>
      </w:tr>
      <w:tr w:rsidR="00997A4B" w:rsidRPr="00433AD0" w14:paraId="3D3D52B9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B31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CTTCACCCAGCAGGGCATGG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601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CTAGGAAACATTCTCCTCCCTGCC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06B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Tbx5**</w:t>
            </w:r>
          </w:p>
        </w:tc>
      </w:tr>
      <w:tr w:rsidR="00997A4B" w:rsidRPr="00433AD0" w14:paraId="120AB27A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534D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GCAGGAGAGGGTTAAGTCAGCA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7D9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AGATTCCCCACCATCAGCAACA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183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Hcn4**</w:t>
            </w:r>
          </w:p>
        </w:tc>
      </w:tr>
      <w:tr w:rsidR="00997A4B" w:rsidRPr="00433AD0" w14:paraId="306FB377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BB8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GCTCCAGGTCCCTCGGACAGA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EF4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GACCTGGGGAAGCAGCAACACT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4A57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Bmp2**</w:t>
            </w:r>
          </w:p>
        </w:tc>
      </w:tr>
      <w:tr w:rsidR="00997A4B" w:rsidRPr="00433AD0" w14:paraId="047B7637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972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CAGAAGACTGTAACACAGGGGAAGAAG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77A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CTTCCTTCTCTGCCCCTTCGAC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F62A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Mybpc3**</w:t>
            </w:r>
          </w:p>
        </w:tc>
      </w:tr>
      <w:tr w:rsidR="00997A4B" w:rsidRPr="00433AD0" w14:paraId="4E78B1A4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BE00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ACGGCGACCATCCACAAAG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CB4F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AAAGTCTGTTGCCAAATCCTTCT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7036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RyR2**</w:t>
            </w:r>
          </w:p>
        </w:tc>
      </w:tr>
      <w:tr w:rsidR="00997A4B" w:rsidRPr="00433AD0" w14:paraId="35E83A20" w14:textId="77777777" w:rsidTr="00997A4B">
        <w:trPr>
          <w:trHeight w:hRule="exact" w:val="28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B5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GGCTGTATTCCCCTCCATCG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EAFE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7388">
              <w:rPr>
                <w:rFonts w:ascii="Arial" w:hAnsi="Arial" w:cs="Arial"/>
                <w:sz w:val="18"/>
                <w:szCs w:val="18"/>
              </w:rPr>
              <w:t>CCAGTTGGTAACAATGCCATGT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092" w14:textId="77777777" w:rsidR="00997A4B" w:rsidRPr="00B17388" w:rsidRDefault="00997A4B" w:rsidP="00997A4B">
            <w:pPr>
              <w:spacing w:line="200" w:lineRule="atLeast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388">
              <w:rPr>
                <w:rFonts w:ascii="Arial" w:hAnsi="Arial" w:cs="Arial"/>
                <w:i/>
                <w:iCs/>
                <w:sz w:val="18"/>
                <w:szCs w:val="18"/>
              </w:rPr>
              <w:t>β-actin</w:t>
            </w:r>
          </w:p>
        </w:tc>
      </w:tr>
    </w:tbl>
    <w:p w14:paraId="03D3843A" w14:textId="77777777" w:rsidR="00997A4B" w:rsidRDefault="00997A4B" w:rsidP="00997A4B">
      <w:pPr>
        <w:rPr>
          <w:rFonts w:ascii="Arial" w:hAnsi="Arial" w:cs="Arial"/>
          <w:sz w:val="24"/>
          <w:szCs w:val="24"/>
        </w:rPr>
      </w:pPr>
      <w:r w:rsidRPr="00433AD0">
        <w:rPr>
          <w:rFonts w:ascii="Arial" w:hAnsi="Arial" w:cs="Arial"/>
          <w:b/>
          <w:bCs/>
          <w:sz w:val="20"/>
          <w:szCs w:val="20"/>
        </w:rPr>
        <w:t>Table S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AF042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433A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AD0">
        <w:rPr>
          <w:rFonts w:ascii="Arial" w:hAnsi="Arial" w:cs="Arial"/>
          <w:sz w:val="20"/>
          <w:szCs w:val="20"/>
        </w:rPr>
        <w:t>Materials and chemicals</w:t>
      </w:r>
    </w:p>
    <w:p w14:paraId="4C0DF3E0" w14:textId="77777777" w:rsidR="00997A4B" w:rsidRPr="00433AD0" w:rsidRDefault="00997A4B" w:rsidP="00997A4B">
      <w:pPr>
        <w:spacing w:after="100" w:line="360" w:lineRule="auto"/>
        <w:rPr>
          <w:rFonts w:ascii="Arial" w:hAnsi="Arial" w:cs="Arial"/>
          <w:b/>
          <w:bCs/>
          <w:sz w:val="20"/>
          <w:szCs w:val="20"/>
        </w:rPr>
      </w:pPr>
      <w:r w:rsidRPr="00433AD0">
        <w:rPr>
          <w:rFonts w:ascii="Arial" w:hAnsi="Arial" w:cs="Arial"/>
          <w:b/>
          <w:bCs/>
          <w:sz w:val="20"/>
          <w:szCs w:val="20"/>
        </w:rPr>
        <w:lastRenderedPageBreak/>
        <w:t>Table S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433AD0">
        <w:rPr>
          <w:rFonts w:ascii="Arial" w:hAnsi="Arial" w:cs="Arial"/>
          <w:b/>
          <w:bCs/>
          <w:sz w:val="20"/>
          <w:szCs w:val="20"/>
        </w:rPr>
        <w:t>.</w:t>
      </w:r>
      <w:r w:rsidRPr="00433AD0">
        <w:rPr>
          <w:rFonts w:ascii="Arial" w:hAnsi="Arial" w:cs="Arial"/>
          <w:sz w:val="20"/>
          <w:szCs w:val="20"/>
        </w:rPr>
        <w:t xml:space="preserve"> Survival rate of </w:t>
      </w:r>
      <w:r w:rsidRPr="00433AD0">
        <w:rPr>
          <w:rFonts w:ascii="Arial" w:hAnsi="Arial" w:cs="Arial"/>
          <w:i/>
          <w:iCs/>
          <w:sz w:val="20"/>
          <w:szCs w:val="20"/>
        </w:rPr>
        <w:t>Smo</w:t>
      </w:r>
      <w:r w:rsidRPr="00433AD0">
        <w:rPr>
          <w:rFonts w:ascii="Arial" w:hAnsi="Arial" w:cs="Arial"/>
          <w:sz w:val="20"/>
          <w:szCs w:val="20"/>
        </w:rPr>
        <w:t xml:space="preserve"> mKO mutants</w:t>
      </w:r>
    </w:p>
    <w:tbl>
      <w:tblPr>
        <w:tblStyle w:val="a8"/>
        <w:tblW w:w="8222" w:type="dxa"/>
        <w:tblInd w:w="-5" w:type="dxa"/>
        <w:tblLook w:val="04A0" w:firstRow="1" w:lastRow="0" w:firstColumn="1" w:lastColumn="0" w:noHBand="0" w:noVBand="1"/>
      </w:tblPr>
      <w:tblGrid>
        <w:gridCol w:w="2217"/>
        <w:gridCol w:w="1000"/>
        <w:gridCol w:w="1001"/>
        <w:gridCol w:w="1001"/>
        <w:gridCol w:w="1001"/>
        <w:gridCol w:w="1001"/>
        <w:gridCol w:w="1001"/>
      </w:tblGrid>
      <w:tr w:rsidR="00997A4B" w:rsidRPr="00433AD0" w14:paraId="228E55BD" w14:textId="77777777" w:rsidTr="00155C3A">
        <w:trPr>
          <w:trHeight w:val="25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AEB1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Embryonic stages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9FBB" w14:textId="77777777" w:rsidR="00997A4B" w:rsidRPr="007F1D0D" w:rsidRDefault="00997A4B" w:rsidP="0015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E7.5-8.5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A432" w14:textId="77777777" w:rsidR="00997A4B" w:rsidRPr="007F1D0D" w:rsidRDefault="00997A4B" w:rsidP="0015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E9.0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F526" w14:textId="77777777" w:rsidR="00997A4B" w:rsidRPr="007F1D0D" w:rsidRDefault="00997A4B" w:rsidP="0015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E9.5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6455" w14:textId="77777777" w:rsidR="00997A4B" w:rsidRPr="007F1D0D" w:rsidRDefault="00997A4B" w:rsidP="0015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E10.5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ED31" w14:textId="77777777" w:rsidR="00997A4B" w:rsidRPr="007F1D0D" w:rsidRDefault="00997A4B" w:rsidP="0015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E11.5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423F" w14:textId="77777777" w:rsidR="00997A4B" w:rsidRPr="007F1D0D" w:rsidRDefault="00997A4B" w:rsidP="00155C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E14-15</w:t>
            </w:r>
          </w:p>
        </w:tc>
      </w:tr>
      <w:tr w:rsidR="00997A4B" w:rsidRPr="00433AD0" w14:paraId="4EAA0B5B" w14:textId="77777777" w:rsidTr="00155C3A">
        <w:trPr>
          <w:trHeight w:val="25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809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i/>
                <w:iCs/>
                <w:sz w:val="18"/>
                <w:szCs w:val="18"/>
              </w:rPr>
              <w:t>Smo</w:t>
            </w:r>
            <w:r w:rsidRPr="007F1D0D">
              <w:rPr>
                <w:rFonts w:ascii="Arial" w:hAnsi="Arial" w:cs="Arial"/>
                <w:sz w:val="18"/>
                <w:szCs w:val="18"/>
              </w:rPr>
              <w:t xml:space="preserve"> mKO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79D6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D50B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9B7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2FB4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C749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0C84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7A4B" w:rsidRPr="00433AD0" w14:paraId="7024A84F" w14:textId="77777777" w:rsidTr="00155C3A">
        <w:trPr>
          <w:trHeight w:val="25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F02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E78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D6B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33F6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1445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FCA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3D6F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95E1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</w:tr>
      <w:tr w:rsidR="00997A4B" w:rsidRPr="00433AD0" w14:paraId="5E9DB95A" w14:textId="77777777" w:rsidTr="00155C3A">
        <w:trPr>
          <w:trHeight w:val="257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DB28" w14:textId="77777777" w:rsidR="00997A4B" w:rsidRPr="007F1D0D" w:rsidRDefault="00997A4B" w:rsidP="00155C3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F1D0D">
              <w:rPr>
                <w:rFonts w:ascii="Arial" w:hAnsi="Arial" w:cs="Arial"/>
                <w:i/>
                <w:iCs/>
                <w:sz w:val="18"/>
                <w:szCs w:val="18"/>
              </w:rPr>
              <w:t>Smo</w:t>
            </w:r>
            <w:r w:rsidRPr="007F1D0D">
              <w:rPr>
                <w:rFonts w:ascii="Arial" w:hAnsi="Arial" w:cs="Arial"/>
                <w:sz w:val="18"/>
                <w:szCs w:val="18"/>
              </w:rPr>
              <w:t xml:space="preserve"> mKO/total (%)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C22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4C96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CDDD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7A0A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BAE8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37FC" w14:textId="77777777" w:rsidR="00997A4B" w:rsidRPr="007F1D0D" w:rsidRDefault="00997A4B" w:rsidP="00155C3A">
            <w:pPr>
              <w:rPr>
                <w:rFonts w:ascii="Arial" w:hAnsi="Arial" w:cs="Arial"/>
                <w:sz w:val="18"/>
                <w:szCs w:val="18"/>
              </w:rPr>
            </w:pPr>
            <w:r w:rsidRPr="007F1D0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</w:tr>
    </w:tbl>
    <w:p w14:paraId="06988C29" w14:textId="3CEBF90C" w:rsidR="00997A4B" w:rsidRDefault="0073369A" w:rsidP="009828E8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7A99F1" wp14:editId="60E27BCC">
            <wp:simplePos x="0" y="0"/>
            <wp:positionH relativeFrom="margin">
              <wp:posOffset>880110</wp:posOffset>
            </wp:positionH>
            <wp:positionV relativeFrom="paragraph">
              <wp:posOffset>513080</wp:posOffset>
            </wp:positionV>
            <wp:extent cx="3599815" cy="2407285"/>
            <wp:effectExtent l="0" t="0" r="63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A115F" w14:textId="1866424E" w:rsidR="009828E8" w:rsidRPr="00997A4B" w:rsidRDefault="0073369A" w:rsidP="009828E8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126A0" wp14:editId="03AA2582">
            <wp:simplePos x="0" y="0"/>
            <wp:positionH relativeFrom="margin">
              <wp:posOffset>1155700</wp:posOffset>
            </wp:positionH>
            <wp:positionV relativeFrom="paragraph">
              <wp:posOffset>3727450</wp:posOffset>
            </wp:positionV>
            <wp:extent cx="3095625" cy="128143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E8" w:rsidRPr="00433AD0">
        <w:rPr>
          <w:rFonts w:ascii="Arial" w:hAnsi="Arial" w:cs="Arial"/>
          <w:b/>
          <w:bCs/>
          <w:sz w:val="20"/>
          <w:szCs w:val="20"/>
        </w:rPr>
        <w:t>Figure S1</w:t>
      </w:r>
      <w:bookmarkStart w:id="0" w:name="_Hlk68261838"/>
      <w:r w:rsidR="00997A4B">
        <w:rPr>
          <w:rFonts w:ascii="Arial" w:hAnsi="Arial" w:cs="Arial"/>
          <w:b/>
          <w:bCs/>
          <w:sz w:val="20"/>
          <w:szCs w:val="20"/>
        </w:rPr>
        <w:t xml:space="preserve"> </w:t>
      </w:r>
      <w:r w:rsidR="009828E8" w:rsidRPr="00433AD0">
        <w:rPr>
          <w:rFonts w:ascii="Arial" w:hAnsi="Arial" w:cs="Arial"/>
          <w:sz w:val="20"/>
          <w:szCs w:val="20"/>
        </w:rPr>
        <w:t xml:space="preserve">Expression of </w:t>
      </w:r>
      <w:r w:rsidR="009828E8">
        <w:rPr>
          <w:rFonts w:ascii="Arial" w:hAnsi="Arial" w:cs="Arial"/>
          <w:sz w:val="20"/>
          <w:szCs w:val="20"/>
        </w:rPr>
        <w:t>H</w:t>
      </w:r>
      <w:r w:rsidR="009828E8">
        <w:rPr>
          <w:rFonts w:ascii="Arial" w:hAnsi="Arial" w:cs="Arial" w:hint="eastAsia"/>
          <w:sz w:val="20"/>
          <w:szCs w:val="20"/>
        </w:rPr>
        <w:t>h</w:t>
      </w:r>
      <w:r w:rsidR="009828E8" w:rsidRPr="00433AD0">
        <w:rPr>
          <w:rFonts w:ascii="Arial" w:hAnsi="Arial" w:cs="Arial"/>
          <w:sz w:val="20"/>
          <w:szCs w:val="20"/>
        </w:rPr>
        <w:t xml:space="preserve"> pathway components in normal developing embryos. </w:t>
      </w:r>
      <w:r w:rsidR="009828E8" w:rsidRPr="00433AD0">
        <w:rPr>
          <w:rFonts w:ascii="Arial" w:hAnsi="Arial" w:cs="Arial"/>
          <w:b/>
          <w:bCs/>
          <w:sz w:val="20"/>
          <w:szCs w:val="20"/>
        </w:rPr>
        <w:t>(A)</w:t>
      </w:r>
      <w:r w:rsidR="009828E8" w:rsidRPr="00433AD0">
        <w:rPr>
          <w:rFonts w:ascii="Arial" w:hAnsi="Arial" w:cs="Arial"/>
          <w:sz w:val="20"/>
          <w:szCs w:val="20"/>
        </w:rPr>
        <w:t xml:space="preserve"> Expression of Gli1 in the mesoderm at E7.25. </w:t>
      </w:r>
      <w:r w:rsidR="009828E8" w:rsidRPr="00433AD0">
        <w:rPr>
          <w:rFonts w:ascii="Arial" w:hAnsi="Arial" w:cs="Arial"/>
          <w:b/>
          <w:bCs/>
          <w:sz w:val="20"/>
          <w:szCs w:val="20"/>
        </w:rPr>
        <w:t xml:space="preserve">(B </w:t>
      </w:r>
      <w:r w:rsidR="009828E8" w:rsidRPr="00433AD0">
        <w:rPr>
          <w:rFonts w:ascii="Arial" w:hAnsi="Arial" w:cs="Arial"/>
          <w:sz w:val="20"/>
          <w:szCs w:val="20"/>
        </w:rPr>
        <w:t>and</w:t>
      </w:r>
      <w:r w:rsidR="009828E8" w:rsidRPr="00433AD0">
        <w:rPr>
          <w:rFonts w:ascii="Arial" w:hAnsi="Arial" w:cs="Arial"/>
          <w:b/>
          <w:bCs/>
          <w:sz w:val="20"/>
          <w:szCs w:val="20"/>
        </w:rPr>
        <w:t xml:space="preserve"> C) </w:t>
      </w:r>
      <w:r w:rsidR="009828E8" w:rsidRPr="00433AD0">
        <w:rPr>
          <w:rFonts w:ascii="Arial" w:hAnsi="Arial" w:cs="Arial"/>
          <w:sz w:val="20"/>
          <w:szCs w:val="20"/>
        </w:rPr>
        <w:t>Expression of Gli2 in the mesoderm at E7.25. (</w:t>
      </w:r>
      <w:r w:rsidR="009828E8" w:rsidRPr="00433AD0">
        <w:rPr>
          <w:rFonts w:ascii="Arial" w:hAnsi="Arial" w:cs="Arial"/>
          <w:b/>
          <w:bCs/>
          <w:sz w:val="20"/>
          <w:szCs w:val="20"/>
        </w:rPr>
        <w:t>D</w:t>
      </w:r>
      <w:r w:rsidR="009828E8" w:rsidRPr="00433AD0">
        <w:rPr>
          <w:rFonts w:ascii="Arial" w:hAnsi="Arial" w:cs="Arial"/>
          <w:sz w:val="20"/>
          <w:szCs w:val="20"/>
        </w:rPr>
        <w:t>-</w:t>
      </w:r>
      <w:r w:rsidR="009828E8" w:rsidRPr="00433AD0">
        <w:rPr>
          <w:rFonts w:ascii="Arial" w:hAnsi="Arial" w:cs="Arial"/>
          <w:b/>
          <w:bCs/>
          <w:sz w:val="20"/>
          <w:szCs w:val="20"/>
        </w:rPr>
        <w:t>D’’</w:t>
      </w:r>
      <w:r w:rsidR="009828E8" w:rsidRPr="00433AD0">
        <w:rPr>
          <w:rFonts w:ascii="Arial" w:hAnsi="Arial" w:cs="Arial"/>
          <w:sz w:val="20"/>
          <w:szCs w:val="20"/>
        </w:rPr>
        <w:t>) A very low level of Smo expression was detected in the primitive heart tube at ~</w:t>
      </w:r>
      <w:r w:rsidR="009828E8">
        <w:rPr>
          <w:rFonts w:ascii="Arial" w:hAnsi="Arial" w:cs="Arial"/>
          <w:sz w:val="20"/>
          <w:szCs w:val="20"/>
        </w:rPr>
        <w:t>E</w:t>
      </w:r>
      <w:r w:rsidR="009828E8" w:rsidRPr="00433AD0">
        <w:rPr>
          <w:rFonts w:ascii="Arial" w:hAnsi="Arial" w:cs="Arial"/>
          <w:sz w:val="20"/>
          <w:szCs w:val="20"/>
        </w:rPr>
        <w:t>8.5. Scale bars: 100 µm</w:t>
      </w:r>
      <w:bookmarkEnd w:id="0"/>
      <w:r w:rsidR="009828E8" w:rsidRPr="00433AD0">
        <w:rPr>
          <w:rFonts w:ascii="Arial" w:hAnsi="Arial" w:cs="Arial"/>
          <w:sz w:val="20"/>
          <w:szCs w:val="20"/>
        </w:rPr>
        <w:t>.</w:t>
      </w:r>
    </w:p>
    <w:p w14:paraId="495C3F58" w14:textId="2A500CDE" w:rsidR="00EF3E24" w:rsidRPr="00152753" w:rsidRDefault="00EF3E24" w:rsidP="00152753">
      <w:pPr>
        <w:spacing w:before="120"/>
      </w:pPr>
      <w:r w:rsidRPr="00433AD0">
        <w:rPr>
          <w:rFonts w:ascii="Arial" w:hAnsi="Arial" w:cs="Arial"/>
          <w:b/>
          <w:bCs/>
          <w:sz w:val="20"/>
          <w:szCs w:val="20"/>
        </w:rPr>
        <w:t>Figure S2.</w:t>
      </w:r>
      <w:r w:rsidRPr="00433AD0">
        <w:rPr>
          <w:rFonts w:ascii="Arial" w:hAnsi="Arial" w:cs="Arial"/>
          <w:sz w:val="20"/>
          <w:szCs w:val="20"/>
        </w:rPr>
        <w:t xml:space="preserve"> </w:t>
      </w:r>
      <w:bookmarkStart w:id="1" w:name="_Hlk68261848"/>
      <w:r w:rsidRPr="00433AD0">
        <w:rPr>
          <w:rFonts w:ascii="Arial" w:hAnsi="Arial" w:cs="Arial"/>
          <w:sz w:val="20"/>
          <w:szCs w:val="20"/>
        </w:rPr>
        <w:t xml:space="preserve">Gross appearance of </w:t>
      </w:r>
      <w:r>
        <w:rPr>
          <w:rFonts w:ascii="Arial" w:hAnsi="Arial" w:cs="Arial"/>
          <w:sz w:val="20"/>
          <w:szCs w:val="20"/>
        </w:rPr>
        <w:t xml:space="preserve">the </w:t>
      </w:r>
      <w:r w:rsidRPr="00433AD0">
        <w:rPr>
          <w:rFonts w:ascii="Arial" w:hAnsi="Arial" w:cs="Arial"/>
          <w:i/>
          <w:iCs/>
          <w:sz w:val="20"/>
          <w:szCs w:val="20"/>
        </w:rPr>
        <w:t>Smo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3AD0">
        <w:rPr>
          <w:rFonts w:ascii="Arial" w:hAnsi="Arial" w:cs="Arial"/>
          <w:sz w:val="20"/>
          <w:szCs w:val="20"/>
        </w:rPr>
        <w:t xml:space="preserve">mKO mutant embryo. </w:t>
      </w:r>
      <w:r w:rsidRPr="00433AD0">
        <w:rPr>
          <w:rFonts w:ascii="Arial" w:hAnsi="Arial" w:cs="Arial"/>
          <w:i/>
          <w:iCs/>
          <w:sz w:val="20"/>
          <w:szCs w:val="20"/>
        </w:rPr>
        <w:t>Smo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3AD0">
        <w:rPr>
          <w:rFonts w:ascii="Arial" w:hAnsi="Arial" w:cs="Arial"/>
          <w:sz w:val="20"/>
          <w:szCs w:val="20"/>
        </w:rPr>
        <w:t xml:space="preserve">mKO </w:t>
      </w:r>
      <w:r>
        <w:rPr>
          <w:rFonts w:ascii="Arial" w:hAnsi="Arial" w:cs="Arial"/>
          <w:sz w:val="20"/>
          <w:szCs w:val="20"/>
        </w:rPr>
        <w:t xml:space="preserve">mutant embryo </w:t>
      </w:r>
      <w:r w:rsidRPr="00433AD0">
        <w:rPr>
          <w:rFonts w:ascii="Arial" w:hAnsi="Arial" w:cs="Arial"/>
          <w:sz w:val="20"/>
          <w:szCs w:val="20"/>
        </w:rPr>
        <w:t>displayed normal turning at E8.75.</w:t>
      </w:r>
      <w:r>
        <w:rPr>
          <w:rFonts w:ascii="Arial" w:hAnsi="Arial" w:cs="Arial"/>
          <w:sz w:val="20"/>
          <w:szCs w:val="20"/>
        </w:rPr>
        <w:t xml:space="preserve"> The d</w:t>
      </w:r>
      <w:r w:rsidRPr="00433AD0">
        <w:rPr>
          <w:rFonts w:ascii="Arial" w:hAnsi="Arial" w:cs="Arial"/>
          <w:sz w:val="20"/>
          <w:szCs w:val="20"/>
        </w:rPr>
        <w:t>ashed circles indicate the heart. Scale bar: 200 µm</w:t>
      </w:r>
      <w:bookmarkEnd w:id="1"/>
      <w:r w:rsidRPr="00433AD0">
        <w:rPr>
          <w:rFonts w:ascii="Arial" w:hAnsi="Arial" w:cs="Arial"/>
          <w:sz w:val="20"/>
          <w:szCs w:val="20"/>
        </w:rPr>
        <w:t>.</w:t>
      </w:r>
    </w:p>
    <w:p w14:paraId="6FB770DE" w14:textId="12FD0516" w:rsidR="00EF3E24" w:rsidRDefault="00197A5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FEA481" wp14:editId="3B26206C">
            <wp:simplePos x="0" y="0"/>
            <wp:positionH relativeFrom="column">
              <wp:posOffset>76200</wp:posOffset>
            </wp:positionH>
            <wp:positionV relativeFrom="paragraph">
              <wp:posOffset>247650</wp:posOffset>
            </wp:positionV>
            <wp:extent cx="5274310" cy="2206625"/>
            <wp:effectExtent l="0" t="0" r="2540" b="317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85539" w14:textId="17664B37" w:rsidR="00197A51" w:rsidRPr="00433AD0" w:rsidRDefault="0073369A" w:rsidP="00197A51">
      <w:pPr>
        <w:spacing w:before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D4A35E" wp14:editId="682924AC">
            <wp:simplePos x="0" y="0"/>
            <wp:positionH relativeFrom="column">
              <wp:posOffset>1371600</wp:posOffset>
            </wp:positionH>
            <wp:positionV relativeFrom="paragraph">
              <wp:posOffset>3478530</wp:posOffset>
            </wp:positionV>
            <wp:extent cx="2628000" cy="904338"/>
            <wp:effectExtent l="0" t="0" r="127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90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51" w:rsidRPr="00433AD0">
        <w:rPr>
          <w:rFonts w:ascii="Arial" w:hAnsi="Arial" w:cs="Arial"/>
          <w:b/>
          <w:bCs/>
          <w:sz w:val="20"/>
          <w:szCs w:val="20"/>
        </w:rPr>
        <w:t>Figure S3.</w:t>
      </w:r>
      <w:r w:rsidR="00197A51" w:rsidRPr="00433AD0">
        <w:rPr>
          <w:rFonts w:ascii="Arial" w:hAnsi="Arial" w:cs="Arial"/>
          <w:sz w:val="20"/>
          <w:szCs w:val="20"/>
        </w:rPr>
        <w:t xml:space="preserve"> </w:t>
      </w:r>
      <w:bookmarkStart w:id="2" w:name="_Hlk68261856"/>
      <w:r w:rsidR="00197A51" w:rsidRPr="00433AD0">
        <w:rPr>
          <w:rFonts w:ascii="Arial" w:hAnsi="Arial" w:cs="Arial"/>
          <w:sz w:val="20"/>
          <w:szCs w:val="20"/>
        </w:rPr>
        <w:t>Impaired outflow tract</w:t>
      </w:r>
      <w:r w:rsidR="00197A51">
        <w:rPr>
          <w:rFonts w:ascii="Arial" w:hAnsi="Arial" w:cs="Arial"/>
          <w:sz w:val="20"/>
          <w:szCs w:val="20"/>
        </w:rPr>
        <w:t xml:space="preserve"> and</w:t>
      </w:r>
      <w:r w:rsidR="00197A51" w:rsidRPr="00433AD0">
        <w:rPr>
          <w:rFonts w:ascii="Arial" w:hAnsi="Arial" w:cs="Arial"/>
          <w:sz w:val="20"/>
          <w:szCs w:val="20"/>
        </w:rPr>
        <w:t xml:space="preserve"> right and left ventricles of </w:t>
      </w:r>
      <w:r w:rsidR="00197A51" w:rsidRPr="00433AD0">
        <w:rPr>
          <w:rFonts w:ascii="Arial" w:hAnsi="Arial" w:cs="Arial"/>
          <w:i/>
          <w:iCs/>
          <w:sz w:val="20"/>
          <w:szCs w:val="20"/>
        </w:rPr>
        <w:t>Smo</w:t>
      </w:r>
      <w:r w:rsidR="00197A51">
        <w:rPr>
          <w:rFonts w:ascii="Arial" w:hAnsi="Arial" w:cs="Arial"/>
          <w:i/>
          <w:iCs/>
          <w:sz w:val="20"/>
          <w:szCs w:val="20"/>
        </w:rPr>
        <w:t xml:space="preserve"> </w:t>
      </w:r>
      <w:r w:rsidR="00197A51" w:rsidRPr="00433AD0">
        <w:rPr>
          <w:rFonts w:ascii="Arial" w:hAnsi="Arial" w:cs="Arial"/>
          <w:sz w:val="20"/>
          <w:szCs w:val="20"/>
        </w:rPr>
        <w:t>mKO mutants. (</w:t>
      </w:r>
      <w:r w:rsidR="00197A51" w:rsidRPr="00433AD0">
        <w:rPr>
          <w:rFonts w:ascii="Arial" w:hAnsi="Arial" w:cs="Arial"/>
          <w:b/>
          <w:bCs/>
          <w:sz w:val="20"/>
          <w:szCs w:val="20"/>
        </w:rPr>
        <w:t>A</w:t>
      </w:r>
      <w:r w:rsidR="00197A51" w:rsidRPr="00433AD0">
        <w:rPr>
          <w:rFonts w:ascii="Arial" w:hAnsi="Arial" w:cs="Arial"/>
          <w:sz w:val="20"/>
          <w:szCs w:val="20"/>
        </w:rPr>
        <w:t>-</w:t>
      </w:r>
      <w:r w:rsidR="00197A51" w:rsidRPr="00433AD0">
        <w:rPr>
          <w:rFonts w:ascii="Arial" w:hAnsi="Arial" w:cs="Arial"/>
          <w:b/>
          <w:bCs/>
          <w:sz w:val="20"/>
          <w:szCs w:val="20"/>
        </w:rPr>
        <w:t>C1</w:t>
      </w:r>
      <w:r w:rsidR="00197A51" w:rsidRPr="00433AD0">
        <w:rPr>
          <w:rFonts w:ascii="Arial" w:hAnsi="Arial" w:cs="Arial"/>
          <w:sz w:val="20"/>
          <w:szCs w:val="20"/>
        </w:rPr>
        <w:t xml:space="preserve">) </w:t>
      </w:r>
      <w:r w:rsidR="00197A51">
        <w:rPr>
          <w:rFonts w:ascii="Arial" w:hAnsi="Arial" w:cs="Arial"/>
          <w:sz w:val="20"/>
          <w:szCs w:val="20"/>
        </w:rPr>
        <w:t>A s</w:t>
      </w:r>
      <w:r w:rsidR="00197A51" w:rsidRPr="00433AD0">
        <w:rPr>
          <w:rFonts w:ascii="Arial" w:hAnsi="Arial" w:cs="Arial"/>
          <w:sz w:val="20"/>
          <w:szCs w:val="20"/>
        </w:rPr>
        <w:t>maller outflow tract</w:t>
      </w:r>
      <w:r w:rsidR="00197A51">
        <w:rPr>
          <w:rFonts w:ascii="Arial" w:hAnsi="Arial" w:cs="Arial"/>
          <w:sz w:val="20"/>
          <w:szCs w:val="20"/>
        </w:rPr>
        <w:t xml:space="preserve"> and</w:t>
      </w:r>
      <w:r w:rsidR="00197A51" w:rsidRPr="00433AD0">
        <w:rPr>
          <w:rFonts w:ascii="Arial" w:hAnsi="Arial" w:cs="Arial"/>
          <w:sz w:val="20"/>
          <w:szCs w:val="20"/>
        </w:rPr>
        <w:t xml:space="preserve"> </w:t>
      </w:r>
      <w:r w:rsidR="00197A51">
        <w:rPr>
          <w:rFonts w:ascii="Arial" w:hAnsi="Arial" w:cs="Arial"/>
          <w:sz w:val="20"/>
          <w:szCs w:val="20"/>
        </w:rPr>
        <w:t xml:space="preserve">reduced </w:t>
      </w:r>
      <w:r w:rsidR="00197A51" w:rsidRPr="00433AD0">
        <w:rPr>
          <w:rFonts w:ascii="Arial" w:hAnsi="Arial" w:cs="Arial"/>
          <w:sz w:val="20"/>
          <w:szCs w:val="20"/>
        </w:rPr>
        <w:t xml:space="preserve">right and left ventricles </w:t>
      </w:r>
      <w:r w:rsidR="00197A51">
        <w:rPr>
          <w:rFonts w:ascii="Arial" w:hAnsi="Arial" w:cs="Arial"/>
          <w:sz w:val="20"/>
          <w:szCs w:val="20"/>
        </w:rPr>
        <w:t>were detected in the</w:t>
      </w:r>
      <w:r w:rsidR="00197A51" w:rsidRPr="00433AD0">
        <w:rPr>
          <w:rFonts w:ascii="Arial" w:hAnsi="Arial" w:cs="Arial"/>
          <w:sz w:val="20"/>
          <w:szCs w:val="20"/>
        </w:rPr>
        <w:t xml:space="preserve"> </w:t>
      </w:r>
      <w:r w:rsidR="00197A51" w:rsidRPr="00433AD0">
        <w:rPr>
          <w:rFonts w:ascii="Arial" w:hAnsi="Arial" w:cs="Arial"/>
          <w:i/>
          <w:iCs/>
          <w:sz w:val="20"/>
          <w:szCs w:val="20"/>
        </w:rPr>
        <w:t>Smo</w:t>
      </w:r>
      <w:r w:rsidR="00197A51">
        <w:rPr>
          <w:rFonts w:ascii="Arial" w:hAnsi="Arial" w:cs="Arial"/>
          <w:i/>
          <w:iCs/>
          <w:sz w:val="20"/>
          <w:szCs w:val="20"/>
        </w:rPr>
        <w:t xml:space="preserve"> </w:t>
      </w:r>
      <w:r w:rsidR="00197A51" w:rsidRPr="00433AD0">
        <w:rPr>
          <w:rFonts w:ascii="Arial" w:hAnsi="Arial" w:cs="Arial"/>
          <w:sz w:val="20"/>
          <w:szCs w:val="20"/>
        </w:rPr>
        <w:t>mKO mutants at ~E8.75. (</w:t>
      </w:r>
      <w:r w:rsidR="00197A51" w:rsidRPr="00433AD0">
        <w:rPr>
          <w:rFonts w:ascii="Arial" w:hAnsi="Arial" w:cs="Arial"/>
          <w:b/>
          <w:bCs/>
          <w:sz w:val="20"/>
          <w:szCs w:val="20"/>
        </w:rPr>
        <w:t>D</w:t>
      </w:r>
      <w:r w:rsidR="00197A51" w:rsidRPr="00433AD0">
        <w:rPr>
          <w:rFonts w:ascii="Arial" w:hAnsi="Arial" w:cs="Arial"/>
          <w:sz w:val="20"/>
          <w:szCs w:val="20"/>
        </w:rPr>
        <w:t>-</w:t>
      </w:r>
      <w:r w:rsidR="00197A51" w:rsidRPr="00433AD0">
        <w:rPr>
          <w:rFonts w:ascii="Arial" w:hAnsi="Arial" w:cs="Arial"/>
          <w:b/>
          <w:bCs/>
          <w:sz w:val="20"/>
          <w:szCs w:val="20"/>
        </w:rPr>
        <w:t>F1</w:t>
      </w:r>
      <w:r w:rsidR="00197A51" w:rsidRPr="00433AD0">
        <w:rPr>
          <w:rFonts w:ascii="Arial" w:hAnsi="Arial" w:cs="Arial"/>
          <w:sz w:val="20"/>
          <w:szCs w:val="20"/>
        </w:rPr>
        <w:t xml:space="preserve">) </w:t>
      </w:r>
      <w:r w:rsidR="00197A51">
        <w:rPr>
          <w:rFonts w:ascii="Arial" w:hAnsi="Arial" w:cs="Arial"/>
          <w:sz w:val="20"/>
          <w:szCs w:val="20"/>
        </w:rPr>
        <w:t>A s</w:t>
      </w:r>
      <w:r w:rsidR="00197A51" w:rsidRPr="00433AD0">
        <w:rPr>
          <w:rFonts w:ascii="Arial" w:hAnsi="Arial" w:cs="Arial"/>
          <w:sz w:val="20"/>
          <w:szCs w:val="20"/>
        </w:rPr>
        <w:t>maller outflow tract</w:t>
      </w:r>
      <w:r w:rsidR="00197A51">
        <w:rPr>
          <w:rFonts w:ascii="Arial" w:hAnsi="Arial" w:cs="Arial"/>
          <w:sz w:val="20"/>
          <w:szCs w:val="20"/>
        </w:rPr>
        <w:t xml:space="preserve"> and reduced</w:t>
      </w:r>
      <w:r w:rsidR="00197A51" w:rsidRPr="00433AD0">
        <w:rPr>
          <w:rFonts w:ascii="Arial" w:hAnsi="Arial" w:cs="Arial"/>
          <w:sz w:val="20"/>
          <w:szCs w:val="20"/>
        </w:rPr>
        <w:t xml:space="preserve"> right and left ventricles </w:t>
      </w:r>
      <w:r w:rsidR="00197A51">
        <w:rPr>
          <w:rFonts w:ascii="Arial" w:hAnsi="Arial" w:cs="Arial"/>
          <w:sz w:val="20"/>
          <w:szCs w:val="20"/>
        </w:rPr>
        <w:t xml:space="preserve">were observed </w:t>
      </w:r>
      <w:r w:rsidR="00197A51" w:rsidRPr="00433AD0">
        <w:rPr>
          <w:rFonts w:ascii="Arial" w:hAnsi="Arial" w:cs="Arial"/>
          <w:sz w:val="20"/>
          <w:szCs w:val="20"/>
        </w:rPr>
        <w:t xml:space="preserve">in </w:t>
      </w:r>
      <w:r w:rsidR="00197A51">
        <w:rPr>
          <w:rFonts w:ascii="Arial" w:hAnsi="Arial" w:cs="Arial"/>
          <w:sz w:val="20"/>
          <w:szCs w:val="20"/>
        </w:rPr>
        <w:t xml:space="preserve">the </w:t>
      </w:r>
      <w:r w:rsidR="00197A51" w:rsidRPr="00433AD0">
        <w:rPr>
          <w:rFonts w:ascii="Arial" w:hAnsi="Arial" w:cs="Arial"/>
          <w:i/>
          <w:iCs/>
          <w:sz w:val="20"/>
          <w:szCs w:val="20"/>
        </w:rPr>
        <w:t>Smo</w:t>
      </w:r>
      <w:r w:rsidR="00197A51">
        <w:rPr>
          <w:rFonts w:ascii="Arial" w:hAnsi="Arial" w:cs="Arial"/>
          <w:sz w:val="20"/>
          <w:szCs w:val="20"/>
        </w:rPr>
        <w:t xml:space="preserve"> </w:t>
      </w:r>
      <w:r w:rsidR="00197A51" w:rsidRPr="00433AD0">
        <w:rPr>
          <w:rFonts w:ascii="Arial" w:hAnsi="Arial" w:cs="Arial"/>
          <w:sz w:val="20"/>
          <w:szCs w:val="20"/>
        </w:rPr>
        <w:t>mKO mutants at ~E9.0. Blue dash</w:t>
      </w:r>
      <w:r w:rsidR="00197A51">
        <w:rPr>
          <w:rFonts w:ascii="Arial" w:hAnsi="Arial" w:cs="Arial"/>
          <w:sz w:val="20"/>
          <w:szCs w:val="20"/>
        </w:rPr>
        <w:t>ed</w:t>
      </w:r>
      <w:r w:rsidR="00197A51" w:rsidRPr="00433AD0">
        <w:rPr>
          <w:rFonts w:ascii="Arial" w:hAnsi="Arial" w:cs="Arial"/>
          <w:sz w:val="20"/>
          <w:szCs w:val="20"/>
        </w:rPr>
        <w:t xml:space="preserve"> lines: outflow tract; red dash</w:t>
      </w:r>
      <w:r w:rsidR="00197A51">
        <w:rPr>
          <w:rFonts w:ascii="Arial" w:hAnsi="Arial" w:cs="Arial"/>
          <w:sz w:val="20"/>
          <w:szCs w:val="20"/>
        </w:rPr>
        <w:t>ed</w:t>
      </w:r>
      <w:r w:rsidR="00197A51" w:rsidRPr="00433AD0">
        <w:rPr>
          <w:rFonts w:ascii="Arial" w:hAnsi="Arial" w:cs="Arial"/>
          <w:sz w:val="20"/>
          <w:szCs w:val="20"/>
        </w:rPr>
        <w:t xml:space="preserve"> lines: right ventricle; black dash</w:t>
      </w:r>
      <w:r w:rsidR="00197A51">
        <w:rPr>
          <w:rFonts w:ascii="Arial" w:hAnsi="Arial" w:cs="Arial"/>
          <w:sz w:val="20"/>
          <w:szCs w:val="20"/>
        </w:rPr>
        <w:t>ed</w:t>
      </w:r>
      <w:r w:rsidR="00197A51" w:rsidRPr="00433AD0">
        <w:rPr>
          <w:rFonts w:ascii="Arial" w:hAnsi="Arial" w:cs="Arial"/>
          <w:sz w:val="20"/>
          <w:szCs w:val="20"/>
        </w:rPr>
        <w:t xml:space="preserve"> lines: left ventricle. Scale bars: 200 µm</w:t>
      </w:r>
      <w:bookmarkEnd w:id="2"/>
      <w:r w:rsidR="00197A51" w:rsidRPr="00433AD0">
        <w:rPr>
          <w:rFonts w:ascii="Arial" w:hAnsi="Arial" w:cs="Arial"/>
          <w:sz w:val="20"/>
          <w:szCs w:val="20"/>
        </w:rPr>
        <w:t>.</w:t>
      </w:r>
    </w:p>
    <w:p w14:paraId="3F0828A6" w14:textId="7DF47863" w:rsidR="0073369A" w:rsidRDefault="0073369A" w:rsidP="0073369A">
      <w:pPr>
        <w:tabs>
          <w:tab w:val="left" w:pos="4253"/>
        </w:tabs>
        <w:spacing w:before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24BE43" wp14:editId="42DADFE4">
            <wp:simplePos x="0" y="0"/>
            <wp:positionH relativeFrom="column">
              <wp:posOffset>1320800</wp:posOffset>
            </wp:positionH>
            <wp:positionV relativeFrom="paragraph">
              <wp:posOffset>1905035</wp:posOffset>
            </wp:positionV>
            <wp:extent cx="2520000" cy="2408826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40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1A" w:rsidRPr="00433AD0">
        <w:rPr>
          <w:rFonts w:ascii="Arial" w:hAnsi="Arial" w:cs="Arial"/>
          <w:b/>
          <w:bCs/>
          <w:sz w:val="20"/>
          <w:szCs w:val="20"/>
        </w:rPr>
        <w:t>Figure S4.</w:t>
      </w:r>
      <w:r w:rsidR="004A7F1A" w:rsidRPr="00433AD0">
        <w:rPr>
          <w:rFonts w:ascii="Arial" w:hAnsi="Arial" w:cs="Arial"/>
          <w:sz w:val="20"/>
          <w:szCs w:val="20"/>
        </w:rPr>
        <w:t xml:space="preserve"> </w:t>
      </w:r>
      <w:bookmarkStart w:id="3" w:name="_Hlk68261866"/>
      <w:r w:rsidR="004A7F1A" w:rsidRPr="00433AD0">
        <w:rPr>
          <w:rFonts w:ascii="Arial" w:hAnsi="Arial" w:cs="Arial"/>
          <w:sz w:val="20"/>
          <w:szCs w:val="20"/>
        </w:rPr>
        <w:t xml:space="preserve">Expression of </w:t>
      </w:r>
      <w:r w:rsidR="004A7F1A" w:rsidRPr="00433AD0">
        <w:rPr>
          <w:rFonts w:ascii="Arial" w:hAnsi="Arial" w:cs="Arial"/>
          <w:i/>
          <w:iCs/>
          <w:sz w:val="20"/>
          <w:szCs w:val="20"/>
        </w:rPr>
        <w:t xml:space="preserve">Nkx2.5 </w:t>
      </w:r>
      <w:r w:rsidR="004A7F1A" w:rsidRPr="00433AD0">
        <w:rPr>
          <w:rFonts w:ascii="Arial" w:hAnsi="Arial" w:cs="Arial"/>
          <w:sz w:val="20"/>
          <w:szCs w:val="20"/>
        </w:rPr>
        <w:t xml:space="preserve">mRNA in the developing heart at E9.5. Whole-mount </w:t>
      </w:r>
      <w:r w:rsidR="004A7F1A" w:rsidRPr="00433AD0">
        <w:rPr>
          <w:rFonts w:ascii="Arial" w:hAnsi="Arial" w:cs="Arial"/>
          <w:i/>
          <w:iCs/>
          <w:sz w:val="20"/>
          <w:szCs w:val="20"/>
        </w:rPr>
        <w:t>in situ</w:t>
      </w:r>
      <w:r w:rsidR="004A7F1A" w:rsidRPr="00433AD0">
        <w:rPr>
          <w:rFonts w:ascii="Arial" w:hAnsi="Arial" w:cs="Arial"/>
          <w:sz w:val="20"/>
          <w:szCs w:val="20"/>
        </w:rPr>
        <w:t xml:space="preserve"> hybridization indicated that the expression of </w:t>
      </w:r>
      <w:r w:rsidR="004A7F1A" w:rsidRPr="00433AD0">
        <w:rPr>
          <w:rFonts w:ascii="Arial" w:hAnsi="Arial" w:cs="Arial"/>
          <w:i/>
          <w:iCs/>
          <w:sz w:val="20"/>
          <w:szCs w:val="20"/>
        </w:rPr>
        <w:t>Nkx2.5</w:t>
      </w:r>
      <w:r w:rsidR="004A7F1A" w:rsidRPr="00433AD0">
        <w:rPr>
          <w:rFonts w:ascii="Arial" w:hAnsi="Arial" w:cs="Arial"/>
          <w:sz w:val="20"/>
          <w:szCs w:val="20"/>
        </w:rPr>
        <w:t xml:space="preserve"> mRNA in the mutant heart returned to </w:t>
      </w:r>
      <w:r w:rsidR="004A7F1A">
        <w:rPr>
          <w:rFonts w:ascii="Arial" w:hAnsi="Arial" w:cs="Arial"/>
          <w:sz w:val="20"/>
          <w:szCs w:val="20"/>
        </w:rPr>
        <w:t xml:space="preserve">a </w:t>
      </w:r>
      <w:r w:rsidR="004A7F1A" w:rsidRPr="00433AD0">
        <w:rPr>
          <w:rFonts w:ascii="Arial" w:hAnsi="Arial" w:cs="Arial"/>
          <w:sz w:val="20"/>
          <w:szCs w:val="20"/>
        </w:rPr>
        <w:t>normal level by E9.5. Scale bar: 200 µm</w:t>
      </w:r>
      <w:bookmarkEnd w:id="3"/>
      <w:r w:rsidR="004A7F1A" w:rsidRPr="00433AD0">
        <w:rPr>
          <w:rFonts w:ascii="Arial" w:hAnsi="Arial" w:cs="Arial"/>
          <w:sz w:val="20"/>
          <w:szCs w:val="20"/>
        </w:rPr>
        <w:t>.</w:t>
      </w:r>
    </w:p>
    <w:p w14:paraId="5BC6A107" w14:textId="7C5E63E6" w:rsidR="0073369A" w:rsidRPr="00433AD0" w:rsidRDefault="0073369A" w:rsidP="0073369A">
      <w:pPr>
        <w:spacing w:before="120"/>
        <w:rPr>
          <w:rFonts w:ascii="Arial" w:hAnsi="Arial" w:cs="Arial"/>
          <w:sz w:val="20"/>
          <w:szCs w:val="20"/>
        </w:rPr>
      </w:pPr>
      <w:r w:rsidRPr="00433AD0">
        <w:rPr>
          <w:rFonts w:ascii="Arial" w:hAnsi="Arial" w:cs="Arial"/>
          <w:b/>
          <w:bCs/>
          <w:sz w:val="20"/>
          <w:szCs w:val="20"/>
        </w:rPr>
        <w:t>Figure S5.</w:t>
      </w:r>
      <w:r w:rsidRPr="00433AD0">
        <w:rPr>
          <w:rFonts w:ascii="Arial" w:hAnsi="Arial" w:cs="Arial"/>
          <w:sz w:val="20"/>
          <w:szCs w:val="20"/>
        </w:rPr>
        <w:t xml:space="preserve"> </w:t>
      </w:r>
      <w:bookmarkStart w:id="4" w:name="_Hlk68261875"/>
      <w:r w:rsidRPr="00433AD0">
        <w:rPr>
          <w:rFonts w:ascii="Arial" w:hAnsi="Arial" w:cs="Arial"/>
          <w:sz w:val="20"/>
          <w:szCs w:val="20"/>
        </w:rPr>
        <w:t>Expression of MF20 in the developing heart tube. Immunostaining o</w:t>
      </w:r>
      <w:r>
        <w:rPr>
          <w:rFonts w:ascii="Arial" w:hAnsi="Arial" w:cs="Arial"/>
          <w:sz w:val="20"/>
          <w:szCs w:val="20"/>
        </w:rPr>
        <w:t>f</w:t>
      </w:r>
      <w:r w:rsidRPr="00433AD0">
        <w:rPr>
          <w:rFonts w:ascii="Arial" w:hAnsi="Arial" w:cs="Arial"/>
          <w:sz w:val="20"/>
          <w:szCs w:val="20"/>
        </w:rPr>
        <w:t xml:space="preserve"> serial sections indicated that the expression of MF20 in </w:t>
      </w:r>
      <w:r>
        <w:rPr>
          <w:rFonts w:ascii="Arial" w:hAnsi="Arial" w:cs="Arial"/>
          <w:sz w:val="20"/>
          <w:szCs w:val="20"/>
        </w:rPr>
        <w:t xml:space="preserve">the </w:t>
      </w:r>
      <w:r w:rsidRPr="00433AD0">
        <w:rPr>
          <w:rFonts w:ascii="Arial" w:hAnsi="Arial" w:cs="Arial"/>
          <w:sz w:val="20"/>
          <w:szCs w:val="20"/>
        </w:rPr>
        <w:t xml:space="preserve">mutant heart was identical to that in </w:t>
      </w:r>
      <w:r>
        <w:rPr>
          <w:rFonts w:ascii="Arial" w:hAnsi="Arial" w:cs="Arial"/>
          <w:sz w:val="20"/>
          <w:szCs w:val="20"/>
        </w:rPr>
        <w:t xml:space="preserve">the </w:t>
      </w:r>
      <w:r w:rsidRPr="00433AD0"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sz w:val="20"/>
          <w:szCs w:val="20"/>
        </w:rPr>
        <w:t xml:space="preserve"> hearts</w:t>
      </w:r>
      <w:r w:rsidRPr="00433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the </w:t>
      </w:r>
      <w:r w:rsidRPr="00433AD0">
        <w:rPr>
          <w:rFonts w:ascii="Arial" w:hAnsi="Arial" w:cs="Arial"/>
          <w:sz w:val="20"/>
          <w:szCs w:val="20"/>
        </w:rPr>
        <w:t>E8.25-8.5 stages. Scale bar: 100 µm</w:t>
      </w:r>
      <w:bookmarkEnd w:id="4"/>
      <w:r w:rsidRPr="00433AD0">
        <w:rPr>
          <w:rFonts w:ascii="Arial" w:hAnsi="Arial" w:cs="Arial"/>
          <w:sz w:val="20"/>
          <w:szCs w:val="20"/>
        </w:rPr>
        <w:t>.</w:t>
      </w:r>
    </w:p>
    <w:p w14:paraId="03678DEF" w14:textId="2BB944A0" w:rsidR="0073369A" w:rsidRDefault="0073369A" w:rsidP="00304862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2F4DA0C2" w14:textId="38A8EC87" w:rsidR="00304862" w:rsidRPr="0073369A" w:rsidRDefault="0073369A" w:rsidP="00304862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875366B" wp14:editId="67B84B8C">
            <wp:simplePos x="0" y="0"/>
            <wp:positionH relativeFrom="column">
              <wp:posOffset>1075094</wp:posOffset>
            </wp:positionH>
            <wp:positionV relativeFrom="paragraph">
              <wp:posOffset>1905</wp:posOffset>
            </wp:positionV>
            <wp:extent cx="2988000" cy="2045584"/>
            <wp:effectExtent l="0" t="0" r="3175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204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62" w:rsidRPr="00433AD0">
        <w:rPr>
          <w:rFonts w:ascii="Arial" w:hAnsi="Arial" w:cs="Arial"/>
          <w:b/>
          <w:bCs/>
          <w:sz w:val="20"/>
          <w:szCs w:val="20"/>
        </w:rPr>
        <w:t>Figure S6.</w:t>
      </w:r>
      <w:r w:rsidR="00304862" w:rsidRPr="00433AD0">
        <w:rPr>
          <w:rFonts w:ascii="Arial" w:hAnsi="Arial" w:cs="Arial"/>
          <w:sz w:val="20"/>
          <w:szCs w:val="20"/>
        </w:rPr>
        <w:t xml:space="preserve"> </w:t>
      </w:r>
      <w:bookmarkStart w:id="5" w:name="_Hlk68261884"/>
      <w:r w:rsidR="00304862" w:rsidRPr="00433AD0">
        <w:rPr>
          <w:rFonts w:ascii="Arial" w:hAnsi="Arial" w:cs="Arial"/>
          <w:sz w:val="20"/>
          <w:szCs w:val="20"/>
        </w:rPr>
        <w:t>Al</w:t>
      </w:r>
      <w:r w:rsidR="00304862">
        <w:rPr>
          <w:rFonts w:ascii="Arial" w:hAnsi="Arial" w:cs="Arial"/>
          <w:sz w:val="20"/>
          <w:szCs w:val="20"/>
        </w:rPr>
        <w:t>t</w:t>
      </w:r>
      <w:r w:rsidR="00304862" w:rsidRPr="00433AD0">
        <w:rPr>
          <w:rFonts w:ascii="Arial" w:hAnsi="Arial" w:cs="Arial"/>
          <w:sz w:val="20"/>
          <w:szCs w:val="20"/>
        </w:rPr>
        <w:t xml:space="preserve">ered expression of genes related to cardiac development in the atrium/IFT of </w:t>
      </w:r>
      <w:r w:rsidR="00304862">
        <w:rPr>
          <w:rFonts w:ascii="Arial" w:hAnsi="Arial" w:cs="Arial"/>
          <w:sz w:val="20"/>
          <w:szCs w:val="20"/>
        </w:rPr>
        <w:t xml:space="preserve">the </w:t>
      </w:r>
      <w:r w:rsidR="00304862" w:rsidRPr="00433AD0">
        <w:rPr>
          <w:rFonts w:ascii="Arial" w:hAnsi="Arial" w:cs="Arial"/>
          <w:i/>
          <w:iCs/>
          <w:sz w:val="20"/>
          <w:szCs w:val="20"/>
        </w:rPr>
        <w:t>Smo</w:t>
      </w:r>
      <w:r w:rsidR="00304862">
        <w:rPr>
          <w:rFonts w:ascii="Arial" w:hAnsi="Arial" w:cs="Arial"/>
          <w:i/>
          <w:iCs/>
          <w:sz w:val="20"/>
          <w:szCs w:val="20"/>
        </w:rPr>
        <w:t xml:space="preserve"> </w:t>
      </w:r>
      <w:r w:rsidR="00304862" w:rsidRPr="00433AD0">
        <w:rPr>
          <w:rFonts w:ascii="Arial" w:hAnsi="Arial" w:cs="Arial"/>
          <w:sz w:val="20"/>
          <w:szCs w:val="20"/>
        </w:rPr>
        <w:t xml:space="preserve">mKO mutants at E9.5. </w:t>
      </w:r>
      <w:r w:rsidR="00304862" w:rsidRPr="00433AD0">
        <w:rPr>
          <w:rFonts w:ascii="Arial" w:hAnsi="Arial" w:cs="Arial"/>
          <w:b/>
          <w:bCs/>
          <w:sz w:val="20"/>
          <w:szCs w:val="20"/>
        </w:rPr>
        <w:t>(A</w:t>
      </w:r>
      <w:r w:rsidR="00304862" w:rsidRPr="00433AD0">
        <w:rPr>
          <w:rFonts w:ascii="Arial" w:hAnsi="Arial" w:cs="Arial"/>
          <w:sz w:val="20"/>
          <w:szCs w:val="20"/>
        </w:rPr>
        <w:t xml:space="preserve"> and </w:t>
      </w:r>
      <w:r w:rsidR="00304862" w:rsidRPr="00433AD0">
        <w:rPr>
          <w:rFonts w:ascii="Arial" w:hAnsi="Arial" w:cs="Arial"/>
          <w:b/>
          <w:bCs/>
          <w:sz w:val="20"/>
          <w:szCs w:val="20"/>
        </w:rPr>
        <w:t>B)</w:t>
      </w:r>
      <w:r w:rsidR="00304862" w:rsidRPr="00433AD0">
        <w:rPr>
          <w:rFonts w:ascii="Arial" w:hAnsi="Arial" w:cs="Arial"/>
          <w:sz w:val="20"/>
          <w:szCs w:val="20"/>
        </w:rPr>
        <w:t xml:space="preserve"> Reduced expression of </w:t>
      </w:r>
      <w:r w:rsidR="00304862" w:rsidRPr="00433AD0">
        <w:rPr>
          <w:rFonts w:ascii="Arial" w:hAnsi="Arial" w:cs="Arial"/>
          <w:i/>
          <w:iCs/>
          <w:sz w:val="20"/>
          <w:szCs w:val="20"/>
        </w:rPr>
        <w:t>Meis1</w:t>
      </w:r>
      <w:r w:rsidR="00304862" w:rsidRPr="00433AD0">
        <w:rPr>
          <w:rFonts w:ascii="Arial" w:hAnsi="Arial" w:cs="Arial"/>
          <w:sz w:val="20"/>
          <w:szCs w:val="20"/>
        </w:rPr>
        <w:t xml:space="preserve"> mRNA in the inflow tract of the mutant (arrows). </w:t>
      </w:r>
      <w:r w:rsidR="00304862" w:rsidRPr="00433AD0">
        <w:rPr>
          <w:rFonts w:ascii="Arial" w:hAnsi="Arial" w:cs="Arial"/>
          <w:b/>
          <w:bCs/>
          <w:sz w:val="20"/>
          <w:szCs w:val="20"/>
        </w:rPr>
        <w:t>(C</w:t>
      </w:r>
      <w:r w:rsidR="00304862" w:rsidRPr="00433AD0">
        <w:rPr>
          <w:rFonts w:ascii="Arial" w:hAnsi="Arial" w:cs="Arial"/>
          <w:sz w:val="20"/>
          <w:szCs w:val="20"/>
        </w:rPr>
        <w:t xml:space="preserve"> and </w:t>
      </w:r>
      <w:r w:rsidR="00304862" w:rsidRPr="00433AD0">
        <w:rPr>
          <w:rFonts w:ascii="Arial" w:hAnsi="Arial" w:cs="Arial"/>
          <w:b/>
          <w:bCs/>
          <w:sz w:val="20"/>
          <w:szCs w:val="20"/>
        </w:rPr>
        <w:t>D)</w:t>
      </w:r>
      <w:r w:rsidR="00304862" w:rsidRPr="00433AD0">
        <w:rPr>
          <w:rFonts w:ascii="Arial" w:hAnsi="Arial" w:cs="Arial"/>
          <w:sz w:val="20"/>
          <w:szCs w:val="20"/>
        </w:rPr>
        <w:t xml:space="preserve"> Reduced expression of </w:t>
      </w:r>
      <w:r w:rsidR="00304862" w:rsidRPr="00433AD0">
        <w:rPr>
          <w:rFonts w:ascii="Arial" w:hAnsi="Arial" w:cs="Arial"/>
          <w:i/>
          <w:iCs/>
          <w:sz w:val="20"/>
          <w:szCs w:val="20"/>
        </w:rPr>
        <w:t>Myl7</w:t>
      </w:r>
      <w:r w:rsidR="00304862" w:rsidRPr="00433AD0">
        <w:rPr>
          <w:rFonts w:ascii="Arial" w:hAnsi="Arial" w:cs="Arial"/>
          <w:sz w:val="20"/>
          <w:szCs w:val="20"/>
        </w:rPr>
        <w:t xml:space="preserve"> mRNA in the atrium/IFT of </w:t>
      </w:r>
      <w:r w:rsidR="00304862">
        <w:rPr>
          <w:rFonts w:ascii="Arial" w:hAnsi="Arial" w:cs="Arial"/>
          <w:sz w:val="20"/>
          <w:szCs w:val="20"/>
        </w:rPr>
        <w:t xml:space="preserve">the </w:t>
      </w:r>
      <w:r w:rsidR="00304862" w:rsidRPr="00433AD0">
        <w:rPr>
          <w:rFonts w:ascii="Arial" w:hAnsi="Arial" w:cs="Arial"/>
          <w:sz w:val="20"/>
          <w:szCs w:val="20"/>
        </w:rPr>
        <w:t xml:space="preserve">mutant (arrows: IFT; arrowheads: atrium). </w:t>
      </w:r>
      <w:r w:rsidR="00304862" w:rsidRPr="00433AD0">
        <w:rPr>
          <w:rFonts w:ascii="Arial" w:hAnsi="Arial" w:cs="Arial"/>
          <w:b/>
          <w:bCs/>
          <w:sz w:val="20"/>
          <w:szCs w:val="20"/>
        </w:rPr>
        <w:t>(E</w:t>
      </w:r>
      <w:r w:rsidR="00304862" w:rsidRPr="00433AD0">
        <w:rPr>
          <w:rFonts w:ascii="Arial" w:hAnsi="Arial" w:cs="Arial"/>
          <w:sz w:val="20"/>
          <w:szCs w:val="20"/>
        </w:rPr>
        <w:t xml:space="preserve"> and </w:t>
      </w:r>
      <w:r w:rsidR="00304862" w:rsidRPr="00433AD0">
        <w:rPr>
          <w:rFonts w:ascii="Arial" w:hAnsi="Arial" w:cs="Arial"/>
          <w:b/>
          <w:bCs/>
          <w:sz w:val="20"/>
          <w:szCs w:val="20"/>
        </w:rPr>
        <w:t>F)</w:t>
      </w:r>
      <w:r w:rsidR="00304862" w:rsidRPr="00433AD0">
        <w:rPr>
          <w:rFonts w:ascii="Arial" w:hAnsi="Arial" w:cs="Arial"/>
          <w:sz w:val="20"/>
          <w:szCs w:val="20"/>
        </w:rPr>
        <w:t xml:space="preserve"> Reduced expression of </w:t>
      </w:r>
      <w:r w:rsidR="00304862" w:rsidRPr="00433AD0">
        <w:rPr>
          <w:rFonts w:ascii="Arial" w:hAnsi="Arial" w:cs="Arial"/>
          <w:i/>
          <w:iCs/>
          <w:sz w:val="20"/>
          <w:szCs w:val="20"/>
        </w:rPr>
        <w:t>Arid3b</w:t>
      </w:r>
      <w:r w:rsidR="00304862" w:rsidRPr="00433AD0">
        <w:rPr>
          <w:rFonts w:ascii="Arial" w:hAnsi="Arial" w:cs="Arial"/>
          <w:sz w:val="20"/>
          <w:szCs w:val="20"/>
        </w:rPr>
        <w:t xml:space="preserve"> mRNA in the IFT of</w:t>
      </w:r>
      <w:r w:rsidR="00304862">
        <w:rPr>
          <w:rFonts w:ascii="Arial" w:hAnsi="Arial" w:cs="Arial"/>
          <w:sz w:val="20"/>
          <w:szCs w:val="20"/>
        </w:rPr>
        <w:t xml:space="preserve"> the</w:t>
      </w:r>
      <w:r w:rsidR="00304862" w:rsidRPr="00433AD0">
        <w:rPr>
          <w:rFonts w:ascii="Arial" w:hAnsi="Arial" w:cs="Arial"/>
          <w:sz w:val="20"/>
          <w:szCs w:val="20"/>
        </w:rPr>
        <w:t xml:space="preserve"> mutant. Scale bars: 200 µm</w:t>
      </w:r>
      <w:bookmarkEnd w:id="5"/>
      <w:r w:rsidR="00304862" w:rsidRPr="00433AD0">
        <w:rPr>
          <w:rFonts w:ascii="Arial" w:hAnsi="Arial" w:cs="Arial"/>
          <w:sz w:val="20"/>
          <w:szCs w:val="20"/>
        </w:rPr>
        <w:t>.</w:t>
      </w:r>
    </w:p>
    <w:p w14:paraId="7E61CA99" w14:textId="71E55D20" w:rsidR="00152753" w:rsidRDefault="0073369A" w:rsidP="0073369A">
      <w:pPr>
        <w:tabs>
          <w:tab w:val="left" w:pos="4253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87FAE6" wp14:editId="702BE487">
            <wp:simplePos x="0" y="0"/>
            <wp:positionH relativeFrom="column">
              <wp:posOffset>1301750</wp:posOffset>
            </wp:positionH>
            <wp:positionV relativeFrom="paragraph">
              <wp:posOffset>213360</wp:posOffset>
            </wp:positionV>
            <wp:extent cx="2843530" cy="1195705"/>
            <wp:effectExtent l="0" t="0" r="0" b="444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E4C16" w14:textId="0B91C2A8" w:rsidR="00152753" w:rsidRDefault="00DD4B52" w:rsidP="00DD4B52">
      <w:pPr>
        <w:tabs>
          <w:tab w:val="left" w:pos="4111"/>
        </w:tabs>
      </w:pPr>
      <w:r w:rsidRPr="00433AD0">
        <w:rPr>
          <w:rFonts w:ascii="Arial" w:hAnsi="Arial" w:cs="Arial"/>
          <w:b/>
          <w:bCs/>
          <w:sz w:val="20"/>
          <w:szCs w:val="20"/>
        </w:rPr>
        <w:t>Figure S7.</w:t>
      </w:r>
      <w:r w:rsidRPr="00433AD0">
        <w:rPr>
          <w:rFonts w:ascii="Arial" w:hAnsi="Arial" w:cs="Arial"/>
          <w:sz w:val="20"/>
          <w:szCs w:val="20"/>
        </w:rPr>
        <w:t xml:space="preserve"> </w:t>
      </w:r>
      <w:bookmarkStart w:id="6" w:name="_Hlk68261894"/>
      <w:r w:rsidRPr="00433AD0">
        <w:rPr>
          <w:rFonts w:ascii="Arial" w:hAnsi="Arial" w:cs="Arial"/>
          <w:sz w:val="20"/>
          <w:szCs w:val="20"/>
        </w:rPr>
        <w:t>Proliferation of</w:t>
      </w:r>
      <w:r w:rsidRPr="00433A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AD0">
        <w:rPr>
          <w:rFonts w:ascii="Arial" w:hAnsi="Arial" w:cs="Arial"/>
          <w:sz w:val="20"/>
          <w:szCs w:val="20"/>
        </w:rPr>
        <w:t xml:space="preserve">cardiac progenitor cells in the developing heart. </w:t>
      </w:r>
      <w:r w:rsidRPr="00433AD0">
        <w:rPr>
          <w:rFonts w:ascii="Arial" w:hAnsi="Arial" w:cs="Arial"/>
          <w:b/>
          <w:bCs/>
          <w:sz w:val="20"/>
          <w:szCs w:val="20"/>
        </w:rPr>
        <w:t xml:space="preserve">(A) </w:t>
      </w:r>
      <w:r w:rsidRPr="00433AD0">
        <w:rPr>
          <w:rFonts w:ascii="Arial" w:hAnsi="Arial" w:cs="Arial"/>
          <w:sz w:val="20"/>
          <w:szCs w:val="20"/>
        </w:rPr>
        <w:t>Phospho-</w:t>
      </w:r>
      <w:r>
        <w:rPr>
          <w:rFonts w:ascii="Arial" w:hAnsi="Arial" w:cs="Arial"/>
          <w:sz w:val="20"/>
          <w:szCs w:val="20"/>
        </w:rPr>
        <w:t>h</w:t>
      </w:r>
      <w:r w:rsidRPr="00433AD0">
        <w:rPr>
          <w:rFonts w:ascii="Arial" w:hAnsi="Arial" w:cs="Arial"/>
          <w:sz w:val="20"/>
          <w:szCs w:val="20"/>
        </w:rPr>
        <w:t>istone H3 immunostaining indicated that the proliferation of cardiac progenitor cells exhibited a decreas</w:t>
      </w:r>
      <w:r>
        <w:rPr>
          <w:rFonts w:ascii="Arial" w:hAnsi="Arial" w:cs="Arial"/>
          <w:sz w:val="20"/>
          <w:szCs w:val="20"/>
        </w:rPr>
        <w:t>ing</w:t>
      </w:r>
      <w:r w:rsidRPr="00433AD0">
        <w:rPr>
          <w:rFonts w:ascii="Arial" w:hAnsi="Arial" w:cs="Arial"/>
          <w:sz w:val="20"/>
          <w:szCs w:val="20"/>
        </w:rPr>
        <w:t xml:space="preserve"> trend in </w:t>
      </w:r>
      <w:r>
        <w:rPr>
          <w:rFonts w:ascii="Arial" w:hAnsi="Arial" w:cs="Arial"/>
          <w:sz w:val="20"/>
          <w:szCs w:val="20"/>
        </w:rPr>
        <w:t xml:space="preserve">the </w:t>
      </w:r>
      <w:r w:rsidRPr="00433AD0">
        <w:rPr>
          <w:rFonts w:ascii="Arial" w:hAnsi="Arial" w:cs="Arial"/>
          <w:i/>
          <w:iCs/>
          <w:sz w:val="20"/>
          <w:szCs w:val="20"/>
        </w:rPr>
        <w:t>Smo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33AD0">
        <w:rPr>
          <w:rFonts w:ascii="Arial" w:hAnsi="Arial" w:cs="Arial"/>
          <w:sz w:val="20"/>
          <w:szCs w:val="20"/>
        </w:rPr>
        <w:t xml:space="preserve">mKO mutants at E8.25. </w:t>
      </w:r>
      <w:r w:rsidRPr="00433AD0">
        <w:rPr>
          <w:rFonts w:ascii="Arial" w:hAnsi="Arial" w:cs="Arial"/>
          <w:b/>
          <w:bCs/>
          <w:sz w:val="20"/>
          <w:szCs w:val="20"/>
        </w:rPr>
        <w:t xml:space="preserve">(B) </w:t>
      </w:r>
      <w:r w:rsidRPr="00433AD0">
        <w:rPr>
          <w:rFonts w:ascii="Arial" w:hAnsi="Arial" w:cs="Arial"/>
          <w:sz w:val="20"/>
          <w:szCs w:val="20"/>
        </w:rPr>
        <w:t>EdU incorporation showed that the proliferation of cardiomyocytes was decreased in the mutants at E9.5</w:t>
      </w:r>
      <w:bookmarkEnd w:id="6"/>
      <w:r w:rsidRPr="00433AD0">
        <w:rPr>
          <w:rFonts w:ascii="Arial" w:hAnsi="Arial" w:cs="Arial"/>
          <w:sz w:val="20"/>
          <w:szCs w:val="20"/>
        </w:rPr>
        <w:t>.</w:t>
      </w:r>
    </w:p>
    <w:p w14:paraId="3A0BCD94" w14:textId="71DA88B2" w:rsidR="00152753" w:rsidRDefault="00152753"/>
    <w:p w14:paraId="67BAFE03" w14:textId="0BAFA1EB" w:rsidR="00152753" w:rsidRDefault="00152753"/>
    <w:p w14:paraId="6BE36C44" w14:textId="0EBD59E1" w:rsidR="00152753" w:rsidRDefault="00152753"/>
    <w:p w14:paraId="112DB2E1" w14:textId="213426AD" w:rsidR="00152753" w:rsidRDefault="00152753"/>
    <w:p w14:paraId="68BC7284" w14:textId="20823096" w:rsidR="00152753" w:rsidRDefault="00152753"/>
    <w:p w14:paraId="3D8E9CEB" w14:textId="3E4F37BB" w:rsidR="00152753" w:rsidRDefault="00152753"/>
    <w:p w14:paraId="219CE220" w14:textId="7E1DF322" w:rsidR="00152753" w:rsidRDefault="00152753"/>
    <w:sectPr w:rsidR="00152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A659" w14:textId="77777777" w:rsidR="00B4723B" w:rsidRDefault="00B4723B" w:rsidP="00997A4B">
      <w:r>
        <w:separator/>
      </w:r>
    </w:p>
  </w:endnote>
  <w:endnote w:type="continuationSeparator" w:id="0">
    <w:p w14:paraId="43B46CED" w14:textId="77777777" w:rsidR="00B4723B" w:rsidRDefault="00B4723B" w:rsidP="0099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5770" w14:textId="77777777" w:rsidR="00B4723B" w:rsidRDefault="00B4723B" w:rsidP="00997A4B">
      <w:r>
        <w:separator/>
      </w:r>
    </w:p>
  </w:footnote>
  <w:footnote w:type="continuationSeparator" w:id="0">
    <w:p w14:paraId="630F5F19" w14:textId="77777777" w:rsidR="00B4723B" w:rsidRDefault="00B4723B" w:rsidP="00997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E8"/>
    <w:rsid w:val="00152753"/>
    <w:rsid w:val="00197A51"/>
    <w:rsid w:val="00232429"/>
    <w:rsid w:val="00304862"/>
    <w:rsid w:val="003F36BD"/>
    <w:rsid w:val="004A7F1A"/>
    <w:rsid w:val="00573471"/>
    <w:rsid w:val="006B2997"/>
    <w:rsid w:val="0073369A"/>
    <w:rsid w:val="009828E8"/>
    <w:rsid w:val="00997A4B"/>
    <w:rsid w:val="00A20DFA"/>
    <w:rsid w:val="00B4723B"/>
    <w:rsid w:val="00DD4B52"/>
    <w:rsid w:val="00E156DD"/>
    <w:rsid w:val="00E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4F4D"/>
  <w15:chartTrackingRefBased/>
  <w15:docId w15:val="{9EDC917E-3F4F-4E7E-B1EF-0DA704FB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4B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997A4B"/>
  </w:style>
  <w:style w:type="paragraph" w:styleId="a5">
    <w:name w:val="footer"/>
    <w:basedOn w:val="a"/>
    <w:link w:val="a6"/>
    <w:uiPriority w:val="99"/>
    <w:unhideWhenUsed/>
    <w:rsid w:val="00997A4B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997A4B"/>
  </w:style>
  <w:style w:type="paragraph" w:styleId="a7">
    <w:name w:val="No Spacing"/>
    <w:uiPriority w:val="1"/>
    <w:qFormat/>
    <w:rsid w:val="00997A4B"/>
    <w:rPr>
      <w:kern w:val="0"/>
      <w:sz w:val="22"/>
    </w:rPr>
  </w:style>
  <w:style w:type="character" w:customStyle="1" w:styleId="st1">
    <w:name w:val="st1"/>
    <w:basedOn w:val="a0"/>
    <w:qFormat/>
    <w:rsid w:val="00997A4B"/>
  </w:style>
  <w:style w:type="table" w:styleId="a8">
    <w:name w:val="Table Grid"/>
    <w:basedOn w:val="a1"/>
    <w:uiPriority w:val="39"/>
    <w:rsid w:val="00997A4B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Jikui</dc:creator>
  <cp:keywords/>
  <dc:description/>
  <cp:lastModifiedBy>Wang Jikui</cp:lastModifiedBy>
  <cp:revision>13</cp:revision>
  <dcterms:created xsi:type="dcterms:W3CDTF">2021-04-11T21:04:00Z</dcterms:created>
  <dcterms:modified xsi:type="dcterms:W3CDTF">2021-04-13T13:55:00Z</dcterms:modified>
</cp:coreProperties>
</file>