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27430" w14:textId="2C5429D7" w:rsidR="006C423D" w:rsidRPr="00A73EBD" w:rsidRDefault="00A73EBD" w:rsidP="00191C5D">
      <w:pPr>
        <w:pStyle w:val="Heading1"/>
        <w:spacing w:after="0" w:line="360" w:lineRule="auto"/>
      </w:pPr>
      <w:r w:rsidRPr="00A73EBD">
        <w:t>S1 Methods</w:t>
      </w:r>
      <w:r>
        <w:t xml:space="preserve"> </w:t>
      </w:r>
      <w:r w:rsidR="001A14C5">
        <w:t>–</w:t>
      </w:r>
      <w:r w:rsidRPr="00A73EBD">
        <w:t xml:space="preserve"> </w:t>
      </w:r>
      <w:r w:rsidR="001A14C5">
        <w:t>Experiment 1</w:t>
      </w:r>
      <w:r w:rsidR="00C975CF">
        <w:t xml:space="preserve">: </w:t>
      </w:r>
      <w:r w:rsidR="005622A2">
        <w:t xml:space="preserve">Adjusted </w:t>
      </w:r>
      <w:r w:rsidR="006C3A40">
        <w:t>p</w:t>
      </w:r>
      <w:r w:rsidR="00C975CF">
        <w:t xml:space="preserve">ower </w:t>
      </w:r>
      <w:r w:rsidR="006C3A40">
        <w:t>c</w:t>
      </w:r>
      <w:r w:rsidR="00C975CF">
        <w:t>alculation</w:t>
      </w:r>
      <w:r w:rsidR="005622A2">
        <w:t>s</w:t>
      </w:r>
    </w:p>
    <w:p w14:paraId="10590BCD" w14:textId="6371D3E2" w:rsidR="00C975CF" w:rsidRDefault="00C975CF" w:rsidP="00436008">
      <w:r>
        <w:t xml:space="preserve">The sample size for the first experiment was determined by an </w:t>
      </w:r>
      <w:r>
        <w:rPr>
          <w:i/>
          <w:iCs/>
        </w:rPr>
        <w:t>a priori</w:t>
      </w:r>
      <w:r>
        <w:t xml:space="preserve"> power analysis conducted on an initial pilot experiment</w:t>
      </w:r>
      <w:r w:rsidR="007750A7">
        <w:t xml:space="preserve"> (see</w:t>
      </w:r>
      <w:r w:rsidR="00EE4A82">
        <w:t xml:space="preserve"> main text;</w:t>
      </w:r>
      <w:r w:rsidR="007750A7">
        <w:t xml:space="preserve"> </w:t>
      </w:r>
      <w:r w:rsidR="007750A7" w:rsidRPr="007750A7">
        <w:rPr>
          <w:i/>
          <w:iCs/>
        </w:rPr>
        <w:t>Experiment</w:t>
      </w:r>
      <w:r w:rsidR="007750A7">
        <w:rPr>
          <w:i/>
          <w:iCs/>
        </w:rPr>
        <w:t xml:space="preserve"> </w:t>
      </w:r>
      <w:r w:rsidR="007750A7" w:rsidRPr="007750A7">
        <w:rPr>
          <w:i/>
          <w:iCs/>
        </w:rPr>
        <w:t>1 – Methods</w:t>
      </w:r>
      <w:r w:rsidR="007750A7">
        <w:rPr>
          <w:i/>
          <w:iCs/>
        </w:rPr>
        <w:t>:</w:t>
      </w:r>
      <w:r w:rsidR="00EE4A82">
        <w:rPr>
          <w:i/>
          <w:iCs/>
        </w:rPr>
        <w:t xml:space="preserve"> </w:t>
      </w:r>
      <w:r w:rsidR="007750A7" w:rsidRPr="007750A7">
        <w:rPr>
          <w:i/>
          <w:iCs/>
        </w:rPr>
        <w:t>Participants</w:t>
      </w:r>
      <w:r w:rsidR="007750A7">
        <w:t>)</w:t>
      </w:r>
      <w:r>
        <w:t xml:space="preserve">. </w:t>
      </w:r>
      <w:r w:rsidR="007750A7">
        <w:t>The power analysis and resulting sample size</w:t>
      </w:r>
      <w:r>
        <w:t xml:space="preserve"> </w:t>
      </w:r>
      <w:r w:rsidR="007750A7">
        <w:t>determination were included in our pre-registered design plan. However, the effect size estimate included in this calculation was based on</w:t>
      </w:r>
      <w:r w:rsidR="006054E4">
        <w:t xml:space="preserve"> employing</w:t>
      </w:r>
      <w:r w:rsidR="007750A7">
        <w:t xml:space="preserve"> </w:t>
      </w:r>
      <w:r w:rsidR="001B5A6D">
        <w:t xml:space="preserve">a mixed-effects approach </w:t>
      </w:r>
      <w:r w:rsidR="006054E4">
        <w:t>for</w:t>
      </w:r>
      <w:r w:rsidR="001B5A6D">
        <w:t xml:space="preserve"> the first-level analyses (regressing participants’ responses against stimulus azimuth). As detailed in the </w:t>
      </w:r>
      <w:r w:rsidR="006054E4">
        <w:t>main text</w:t>
      </w:r>
      <w:r w:rsidR="001B5A6D">
        <w:t xml:space="preserve"> (see </w:t>
      </w:r>
      <w:r w:rsidR="001B5A6D">
        <w:rPr>
          <w:i/>
          <w:iCs/>
        </w:rPr>
        <w:t>Experiment 1 – Methods: Deviations from pre-registration</w:t>
      </w:r>
      <w:r w:rsidR="001B5A6D">
        <w:t xml:space="preserve">), we </w:t>
      </w:r>
      <w:r w:rsidR="00D84AD5">
        <w:t xml:space="preserve">have </w:t>
      </w:r>
      <w:r w:rsidR="006054E4">
        <w:t xml:space="preserve">since </w:t>
      </w:r>
      <w:r w:rsidR="001B5A6D">
        <w:t>adjusted this procedure to instead employ simple regression models in each individual subject. This was necessary as the per-participant mixed-effects parameters produced by the mixed models are biased towards the mean and hence are suboptimal as inputs</w:t>
      </w:r>
      <w:r w:rsidR="00D84AD5">
        <w:t xml:space="preserve"> for further</w:t>
      </w:r>
      <w:r w:rsidR="001B5A6D">
        <w:t xml:space="preserve"> statistical analyses</w:t>
      </w:r>
      <w:r w:rsidR="00EE4A82">
        <w:t>, particularly for the between-subjects comparisons to be made between the first and second experiments</w:t>
      </w:r>
      <w:r w:rsidR="001B5A6D">
        <w:t xml:space="preserve">. To quantify how this </w:t>
      </w:r>
      <w:r w:rsidR="00EE4A82">
        <w:t xml:space="preserve">design </w:t>
      </w:r>
      <w:r w:rsidR="001B5A6D">
        <w:t>change might affect our statistical power, we reanalysed the pilot data using the updated regression method and then recomputed our power calculation. We provide full details of this calculation below.</w:t>
      </w:r>
    </w:p>
    <w:p w14:paraId="507E6BF7" w14:textId="5C392728" w:rsidR="00D852A2" w:rsidRPr="00D852A2" w:rsidRDefault="001B5A6D" w:rsidP="00436008">
      <w:pPr>
        <w:rPr>
          <w:rFonts w:eastAsiaTheme="minorEastAsia"/>
        </w:rPr>
      </w:pPr>
      <w:r>
        <w:t xml:space="preserve">The power calculation critically depends </w:t>
      </w:r>
      <w:r w:rsidR="00236B87">
        <w:t xml:space="preserve">on </w:t>
      </w:r>
      <w:r>
        <w:t xml:space="preserve">the fixation-condition by adaptation-duration interaction </w:t>
      </w:r>
      <w:r w:rsidR="00D84AD5">
        <w:t xml:space="preserve">within the second-level ANOVA </w:t>
      </w:r>
      <w:r w:rsidR="00EE4A82">
        <w:t>of the</w:t>
      </w:r>
      <w:r w:rsidR="00D84AD5">
        <w:t xml:space="preserve"> </w:t>
      </w:r>
      <w:r w:rsidR="00C900C0">
        <w:t>Ventriloquism Aftereffect (VAE) magnitude</w:t>
      </w:r>
      <w:r w:rsidR="00EE4A82">
        <w:t xml:space="preserve"> </w:t>
      </w:r>
      <w:r w:rsidR="00382E11">
        <w:t>estimates</w:t>
      </w:r>
      <w:r w:rsidR="00D84AD5">
        <w:t xml:space="preserve">. </w:t>
      </w:r>
      <w:r w:rsidR="00E854D5">
        <w:t xml:space="preserve">We estimated </w:t>
      </w:r>
      <w:r w:rsidR="001D1DFB">
        <w:t>an</w:t>
      </w:r>
      <w:r w:rsidR="006054E4">
        <w:t xml:space="preserve"> </w:t>
      </w:r>
      <w:r w:rsidR="00444457">
        <w:t>effect size</w:t>
      </w:r>
      <w:r w:rsidR="00E854D5">
        <w:t xml:space="preserve"> for this interaction</w:t>
      </w:r>
      <w:r w:rsidR="00444457">
        <w:t xml:space="preserve"> </w:t>
      </w:r>
      <w:r w:rsidR="001D1DFB">
        <w:t>from</w:t>
      </w:r>
      <w:r w:rsidR="006054E4">
        <w:t xml:space="preserve"> the pilot study</w:t>
      </w:r>
      <w:r w:rsidR="001D1DFB">
        <w:t xml:space="preserve"> data</w:t>
      </w:r>
      <w:r w:rsidR="006054E4">
        <w:t xml:space="preserve">, and entered it </w:t>
      </w:r>
      <w:r w:rsidR="00444457">
        <w:t xml:space="preserve">into a power analysis using G*Power (v3.1; </w:t>
      </w:r>
      <w:r w:rsidR="00444457">
        <w:fldChar w:fldCharType="begin" w:fldLock="1"/>
      </w:r>
      <w:r w:rsidR="00BB3B76">
        <w:instrText>ADDIN CSL_CITATION {"citationItems":[{"id":"ITEM-1","itemData":{"DOI":"10.3758/BF03193146","ISBN":"1554-351X (Print)\\n1554-351X (Linking)","ISSN":"1554-351X","PMID":"17695343","abstract":"G*Power (Erdfelder, Faul, &amp; Buchner, 1996) was designed as a general stand-alone power analysis program for statistical tests commonly used in social and behavioral research. G*Power 3 is a major extension of, and improvement over, the previous versions. It runs on widely used computer platforms (i.e., Windows XP, Windows Vista, and Mac OS X 10.4) and covers many different statistical tests of the t, F, and c2 test families. In addition, it includes power analyses for z tests and some exact tests. G*Power 3 provides improved effect size calculators and graphic options, supports both distribution-based and design-based input modes, and offers all types of power analyses in which users might be interested. Like its predecessors, G*Power 3 is free.","author":[{"dropping-particle":"","family":"Faul","given":"Franz","non-dropping-particle":"","parse-names":false,"suffix":""},{"dropping-particle":"","family":"Erdfelder","given":"Edgar","non-dropping-particle":"","parse-names":false,"suffix":""},{"dropping-particle":"","family":"Lang","given":"A.-G.","non-dropping-particle":"","parse-names":false,"suffix":""},{"dropping-particle":"","family":"Buchner","given":"Axel","non-dropping-particle":"","parse-names":false,"suffix":""}],"container-title":"Behavior Research Methods","id":"ITEM-1","issue":"2","issued":{"date-parts":[["2007"]]},"page":"175-191","title":"G*Power: A flexible statistical power analysis program for the social, behavioral, and biomedical sciences.","type":"article-journal","volume":"39"},"uris":["http://www.mendeley.com/documents/?uuid=ededa57d-c611-4ed8-8241-6e4a77ea549d"]}],"mendeley":{"formattedCitation":"[1]","plainTextFormattedCitation":"[1]","previouslyFormattedCitation":"(1)"},"properties":{"noteIndex":0},"schema":"https://github.com/citation-style-language/schema/raw/master/csl-citation.json"}</w:instrText>
      </w:r>
      <w:r w:rsidR="00444457">
        <w:fldChar w:fldCharType="separate"/>
      </w:r>
      <w:r w:rsidR="00BB3B76" w:rsidRPr="00BB3B76">
        <w:rPr>
          <w:noProof/>
        </w:rPr>
        <w:t>[1]</w:t>
      </w:r>
      <w:r w:rsidR="00444457">
        <w:fldChar w:fldCharType="end"/>
      </w:r>
      <w:r w:rsidR="00444457">
        <w:t xml:space="preserve">). We selected the </w:t>
      </w:r>
      <w:r w:rsidR="00444457">
        <w:rPr>
          <w:i/>
          <w:iCs/>
        </w:rPr>
        <w:t>ANOVA: Repeated measures, within factors</w:t>
      </w:r>
      <w:r w:rsidR="00444457">
        <w:t xml:space="preserve"> option from the </w:t>
      </w:r>
      <w:r w:rsidR="00444457">
        <w:rPr>
          <w:i/>
          <w:iCs/>
        </w:rPr>
        <w:t>F tests</w:t>
      </w:r>
      <w:r w:rsidR="00444457">
        <w:t xml:space="preserve"> family. G*Power does not directly support interactions within repeated measures designs, but </w:t>
      </w:r>
      <w:r w:rsidR="00C900C0">
        <w:t>they</w:t>
      </w:r>
      <w:r w:rsidR="00444457">
        <w:t xml:space="preserve"> can be emulated by setting the </w:t>
      </w:r>
      <w:r w:rsidR="00444457">
        <w:rPr>
          <w:i/>
          <w:iCs/>
        </w:rPr>
        <w:t>number of measurements</w:t>
      </w:r>
      <w:r w:rsidR="00444457">
        <w:t xml:space="preserve"> (</w:t>
      </w:r>
      <w:r w:rsidR="00D84AD5">
        <w:t xml:space="preserve">denoting the </w:t>
      </w:r>
      <w:r w:rsidR="006054E4">
        <w:t xml:space="preserve">number of repeated-measures </w:t>
      </w:r>
      <w:r w:rsidR="00D84AD5">
        <w:t xml:space="preserve">factor levels) as </w:t>
      </w:r>
      <m:oMath>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-1</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-1</m:t>
            </m:r>
          </m:e>
        </m:d>
        <m:r>
          <w:rPr>
            <w:rFonts w:ascii="Cambria Math" w:hAnsi="Cambria Math"/>
          </w:rPr>
          <m:t>+1</m:t>
        </m:r>
      </m:oMath>
      <w:r w:rsidR="00D84AD5">
        <w:rPr>
          <w:rFonts w:eastAsiaTheme="minorEastAsia"/>
        </w:rPr>
        <w:t xml:space="preserve">, where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2</m:t>
            </m:r>
          </m:sub>
        </m:sSub>
      </m:oMath>
      <w:r w:rsidR="00D84AD5">
        <w:rPr>
          <w:rFonts w:eastAsiaTheme="minorEastAsia"/>
        </w:rPr>
        <w:t xml:space="preserve"> give the number of levels within each factor. For </w:t>
      </w:r>
      <w:r w:rsidR="006054E4">
        <w:rPr>
          <w:rFonts w:eastAsiaTheme="minorEastAsia"/>
        </w:rPr>
        <w:t>the main experiment’s</w:t>
      </w:r>
      <w:r w:rsidR="00D84AD5">
        <w:rPr>
          <w:rFonts w:eastAsiaTheme="minorEastAsia"/>
        </w:rPr>
        <w:t xml:space="preserve"> 3</w:t>
      </w:r>
      <w:r w:rsidR="00D84AD5">
        <w:rPr>
          <w:rFonts w:eastAsiaTheme="minorEastAsia" w:cstheme="minorHAnsi"/>
        </w:rPr>
        <w:t>×</w:t>
      </w:r>
      <w:r w:rsidR="00D84AD5">
        <w:rPr>
          <w:rFonts w:eastAsiaTheme="minorEastAsia"/>
        </w:rPr>
        <w:t xml:space="preserve">4 design this gives the </w:t>
      </w:r>
      <w:r w:rsidR="00D84AD5">
        <w:rPr>
          <w:rFonts w:eastAsiaTheme="minorEastAsia"/>
          <w:i/>
          <w:iCs/>
        </w:rPr>
        <w:t xml:space="preserve">number of measurements </w:t>
      </w:r>
      <w:r w:rsidR="00D84AD5">
        <w:rPr>
          <w:rFonts w:eastAsiaTheme="minorEastAsia"/>
        </w:rPr>
        <w:t xml:space="preserve">as </w:t>
      </w:r>
      <m:oMath>
        <m:d>
          <m:dPr>
            <m:ctrlPr>
              <w:rPr>
                <w:rFonts w:ascii="Cambria Math" w:eastAsiaTheme="minorEastAsia" w:hAnsi="Cambria Math"/>
                <w:i/>
              </w:rPr>
            </m:ctrlPr>
          </m:dPr>
          <m:e>
            <m:r>
              <w:rPr>
                <w:rFonts w:ascii="Cambria Math" w:eastAsiaTheme="minorEastAsia" w:hAnsi="Cambria Math"/>
              </w:rPr>
              <m:t>3-1</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4-1</m:t>
            </m:r>
          </m:e>
        </m:d>
        <m:r>
          <w:rPr>
            <w:rFonts w:ascii="Cambria Math" w:eastAsiaTheme="minorEastAsia" w:hAnsi="Cambria Math"/>
          </w:rPr>
          <m:t>+1=7</m:t>
        </m:r>
      </m:oMath>
      <w:r w:rsidR="00D84AD5">
        <w:rPr>
          <w:rFonts w:eastAsiaTheme="minorEastAsia"/>
        </w:rPr>
        <w:t xml:space="preserve">. We additionally set the </w:t>
      </w:r>
      <w:r w:rsidR="00D84AD5" w:rsidRPr="00C900C0">
        <w:rPr>
          <w:rFonts w:eastAsiaTheme="minorEastAsia"/>
          <w:i/>
          <w:iCs/>
        </w:rPr>
        <w:t>alpha</w:t>
      </w:r>
      <w:r w:rsidR="00D84AD5" w:rsidRPr="00D84AD5">
        <w:rPr>
          <w:rFonts w:eastAsiaTheme="minorEastAsia"/>
        </w:rPr>
        <w:t xml:space="preserve"> criterion</w:t>
      </w:r>
      <w:r w:rsidR="00D84AD5">
        <w:rPr>
          <w:rFonts w:eastAsiaTheme="minorEastAsia"/>
        </w:rPr>
        <w:t xml:space="preserve"> to 0.05, the desired </w:t>
      </w:r>
      <w:r w:rsidR="00D84AD5" w:rsidRPr="00C900C0">
        <w:rPr>
          <w:rFonts w:eastAsiaTheme="minorEastAsia"/>
          <w:i/>
          <w:iCs/>
        </w:rPr>
        <w:t>power</w:t>
      </w:r>
      <w:r w:rsidR="00D84AD5">
        <w:rPr>
          <w:rFonts w:eastAsiaTheme="minorEastAsia"/>
        </w:rPr>
        <w:t xml:space="preserve"> to 0.8, and the </w:t>
      </w:r>
      <w:r w:rsidR="00D84AD5">
        <w:rPr>
          <w:rFonts w:eastAsiaTheme="minorEastAsia"/>
          <w:i/>
          <w:iCs/>
        </w:rPr>
        <w:t>number of groups</w:t>
      </w:r>
      <w:r w:rsidR="00D84AD5">
        <w:rPr>
          <w:rFonts w:eastAsiaTheme="minorEastAsia"/>
        </w:rPr>
        <w:t xml:space="preserve"> to 1</w:t>
      </w:r>
      <w:r w:rsidR="006054E4">
        <w:rPr>
          <w:rFonts w:eastAsiaTheme="minorEastAsia"/>
        </w:rPr>
        <w:t xml:space="preserve"> (as the design is fully within-subjects)</w:t>
      </w:r>
      <w:r w:rsidR="00D84AD5">
        <w:rPr>
          <w:rFonts w:eastAsiaTheme="minorEastAsia"/>
        </w:rPr>
        <w:t xml:space="preserve">. Finally, we must choose an appropriate effect size specification from the </w:t>
      </w:r>
      <w:r w:rsidR="00D84AD5">
        <w:rPr>
          <w:rFonts w:eastAsiaTheme="minorEastAsia"/>
          <w:i/>
          <w:iCs/>
        </w:rPr>
        <w:t>Options</w:t>
      </w:r>
      <w:r w:rsidR="00D84AD5">
        <w:rPr>
          <w:rFonts w:eastAsiaTheme="minorEastAsia"/>
        </w:rPr>
        <w:t xml:space="preserve"> menu. G*Power offers four </w:t>
      </w:r>
      <w:r w:rsidR="006054E4">
        <w:rPr>
          <w:rFonts w:eastAsiaTheme="minorEastAsia"/>
        </w:rPr>
        <w:t>options</w:t>
      </w:r>
      <w:r w:rsidR="00D84AD5">
        <w:rPr>
          <w:rFonts w:eastAsiaTheme="minorEastAsia"/>
        </w:rPr>
        <w:t xml:space="preserve"> here: “</w:t>
      </w:r>
      <w:r w:rsidR="00D84AD5">
        <w:rPr>
          <w:rFonts w:eastAsiaTheme="minorEastAsia"/>
          <w:i/>
          <w:iCs/>
        </w:rPr>
        <w:t>as in GPower 3.0”</w:t>
      </w:r>
      <w:r w:rsidR="00D84AD5">
        <w:rPr>
          <w:rFonts w:eastAsiaTheme="minorEastAsia"/>
        </w:rPr>
        <w:t>, “</w:t>
      </w:r>
      <w:r w:rsidR="00D84AD5" w:rsidRPr="00D84AD5">
        <w:rPr>
          <w:rFonts w:eastAsiaTheme="minorEastAsia"/>
          <w:i/>
          <w:iCs/>
        </w:rPr>
        <w:t>as in GPower</w:t>
      </w:r>
      <w:r w:rsidR="00EE4A82">
        <w:rPr>
          <w:rFonts w:eastAsiaTheme="minorEastAsia"/>
          <w:i/>
          <w:iCs/>
        </w:rPr>
        <w:t xml:space="preserve"> </w:t>
      </w:r>
      <w:r w:rsidR="00D84AD5" w:rsidRPr="00D84AD5">
        <w:rPr>
          <w:rFonts w:eastAsiaTheme="minorEastAsia"/>
          <w:i/>
          <w:iCs/>
        </w:rPr>
        <w:t>3.0 with implicit rho</w:t>
      </w:r>
      <w:r w:rsidR="00D84AD5">
        <w:rPr>
          <w:rFonts w:eastAsiaTheme="minorEastAsia"/>
        </w:rPr>
        <w:t>”, “</w:t>
      </w:r>
      <w:r w:rsidR="00D84AD5" w:rsidRPr="00D84AD5">
        <w:rPr>
          <w:rFonts w:eastAsiaTheme="minorEastAsia"/>
          <w:i/>
          <w:iCs/>
        </w:rPr>
        <w:t>as in SPSS</w:t>
      </w:r>
      <w:r w:rsidR="00D84AD5">
        <w:rPr>
          <w:rFonts w:eastAsiaTheme="minorEastAsia"/>
        </w:rPr>
        <w:t>”, or “</w:t>
      </w:r>
      <w:r w:rsidR="00D84AD5" w:rsidRPr="00D84AD5">
        <w:rPr>
          <w:rFonts w:eastAsiaTheme="minorEastAsia"/>
          <w:i/>
          <w:iCs/>
        </w:rPr>
        <w:t>as in Cohen (1988) – recommended</w:t>
      </w:r>
      <w:r w:rsidR="00D84AD5">
        <w:rPr>
          <w:rFonts w:eastAsiaTheme="minorEastAsia"/>
        </w:rPr>
        <w:t>”.</w:t>
      </w:r>
      <w:r w:rsidR="00191C5D">
        <w:rPr>
          <w:rFonts w:eastAsiaTheme="minorEastAsia"/>
        </w:rPr>
        <w:t xml:space="preserve"> The effects of each of these options are described in </w:t>
      </w:r>
      <w:r w:rsidR="00191C5D">
        <w:rPr>
          <w:rFonts w:eastAsiaTheme="minorEastAsia"/>
        </w:rPr>
        <w:fldChar w:fldCharType="begin" w:fldLock="1"/>
      </w:r>
      <w:r w:rsidR="00BB3B76">
        <w:rPr>
          <w:rFonts w:eastAsiaTheme="minorEastAsia"/>
        </w:rPr>
        <w:instrText>ADDIN CSL_CITATION {"citationItems":[{"id":"ITEM-1","itemData":{"DOI":"10.3389/fpsyg.2013.00863","ISBN":"1664-1078 (Print)","ISSN":"1664-1078","PMID":"24324449","abstract":"Effect sizes are the most important outcome of empirical studies. Most articles on effect sizes highlight their importance to communicate the practical significance of results. For scientists themselves, effect sizes are most useful because they facilitate cumulative science. Effect sizes can be used to determine the sample size for follow-up studies, or examining effects across studies. This article aims to provide a practical primer on how to calculate and report effect sizes for t-tests and ANOVA's such that effect sizes can be used in a-priori power analyses and meta-analyses. Whereas many articles about effect sizes focus on between-subjects designs and address within-subjects designs only briefly, I provide a detailed overview of the similarities and differences between within- and between-subjects designs. I suggest that some research questions in experimental psychology examine inherently intra-individual effects, which makes effect sizes that incorporate the correlation between measures the best summary of the results. Finally, a supplementary spreadsheet is provided to make it as easy as possible for researchers to incorporate effect size calculations into their workflow.","author":[{"dropping-particle":"","family":"Lakens","given":"Daniël","non-dropping-particle":"","parse-names":false,"suffix":""}],"container-title":"Frontiers in Psychology","id":"ITEM-1","issue":"NOV","issued":{"date-parts":[["2013"]]},"page":"1-12","title":"Calculating and reporting effect sizes to facilitate cumulative science: a practical primer for t-tests and ANOVAs","type":"article-journal","volume":"4"},"uris":["http://www.mendeley.com/documents/?uuid=a16a8419-f664-41c3-a385-1e612cbdb1ac"]}],"mendeley":{"formattedCitation":"[2]","plainTextFormattedCitation":"[2]","previouslyFormattedCitation":"(2)"},"properties":{"noteIndex":0},"schema":"https://github.com/citation-style-language/schema/raw/master/csl-citation.json"}</w:instrText>
      </w:r>
      <w:r w:rsidR="00191C5D">
        <w:rPr>
          <w:rFonts w:eastAsiaTheme="minorEastAsia"/>
        </w:rPr>
        <w:fldChar w:fldCharType="separate"/>
      </w:r>
      <w:r w:rsidR="00BB3B76" w:rsidRPr="00BB3B76">
        <w:rPr>
          <w:rFonts w:eastAsiaTheme="minorEastAsia"/>
          <w:noProof/>
        </w:rPr>
        <w:t>[2]</w:t>
      </w:r>
      <w:r w:rsidR="00191C5D">
        <w:rPr>
          <w:rFonts w:eastAsiaTheme="minorEastAsia"/>
        </w:rPr>
        <w:fldChar w:fldCharType="end"/>
      </w:r>
      <w:r w:rsidR="00E854D5">
        <w:rPr>
          <w:rFonts w:eastAsiaTheme="minorEastAsia"/>
        </w:rPr>
        <w:t>. The default “</w:t>
      </w:r>
      <w:r w:rsidR="00E854D5">
        <w:rPr>
          <w:rFonts w:eastAsiaTheme="minorEastAsia"/>
          <w:i/>
          <w:iCs/>
        </w:rPr>
        <w:t>as in GPower 3.0”</w:t>
      </w:r>
      <w:r w:rsidR="00E854D5">
        <w:rPr>
          <w:rFonts w:eastAsiaTheme="minorEastAsia"/>
        </w:rPr>
        <w:t xml:space="preserve"> option assumes a calculation of the effect size that </w:t>
      </w:r>
      <w:r w:rsidR="00E854D5">
        <w:rPr>
          <w:rFonts w:eastAsiaTheme="minorEastAsia"/>
          <w:i/>
          <w:iCs/>
        </w:rPr>
        <w:t>doesn’t</w:t>
      </w:r>
      <w:r w:rsidR="00E854D5">
        <w:rPr>
          <w:rFonts w:eastAsiaTheme="minorEastAsia"/>
        </w:rPr>
        <w:t xml:space="preserve"> take into </w:t>
      </w:r>
      <w:r w:rsidR="00E854D5">
        <w:rPr>
          <w:rFonts w:eastAsiaTheme="minorEastAsia"/>
        </w:rPr>
        <w:lastRenderedPageBreak/>
        <w:t>account the correlation between</w:t>
      </w:r>
      <w:r w:rsidR="00C900C0">
        <w:rPr>
          <w:rFonts w:eastAsiaTheme="minorEastAsia"/>
        </w:rPr>
        <w:t xml:space="preserve"> repeated-measures</w:t>
      </w:r>
      <w:r w:rsidR="00E854D5">
        <w:rPr>
          <w:rFonts w:eastAsiaTheme="minorEastAsia"/>
        </w:rPr>
        <w:t xml:space="preserve"> factors. The effect sizes provided by many statistical software packages in fact </w:t>
      </w:r>
      <w:r w:rsidR="00E854D5">
        <w:rPr>
          <w:rFonts w:eastAsiaTheme="minorEastAsia"/>
          <w:i/>
          <w:iCs/>
        </w:rPr>
        <w:t>do</w:t>
      </w:r>
      <w:r w:rsidR="00E854D5">
        <w:rPr>
          <w:rFonts w:eastAsiaTheme="minorEastAsia"/>
        </w:rPr>
        <w:t xml:space="preserve"> account for th</w:t>
      </w:r>
      <w:r w:rsidR="00C900C0">
        <w:rPr>
          <w:rFonts w:eastAsiaTheme="minorEastAsia"/>
        </w:rPr>
        <w:t>is</w:t>
      </w:r>
      <w:r w:rsidR="00E854D5">
        <w:rPr>
          <w:rFonts w:eastAsiaTheme="minorEastAsia"/>
        </w:rPr>
        <w:t xml:space="preserve"> correlation, and hence this option will be inappropriate in many cases</w:t>
      </w:r>
      <w:r w:rsidR="00C900C0">
        <w:rPr>
          <w:rFonts w:eastAsiaTheme="minorEastAsia"/>
        </w:rPr>
        <w:t xml:space="preserve"> </w:t>
      </w:r>
      <w:r w:rsidR="00C900C0">
        <w:rPr>
          <w:rFonts w:eastAsiaTheme="minorEastAsia" w:cstheme="minorHAnsi"/>
        </w:rPr>
        <w:t>(</w:t>
      </w:r>
      <w:r w:rsidR="00C900C0">
        <w:rPr>
          <w:rFonts w:eastAsiaTheme="minorEastAsia"/>
        </w:rPr>
        <w:t>including our own)</w:t>
      </w:r>
      <w:r w:rsidR="00E854D5">
        <w:rPr>
          <w:rFonts w:eastAsiaTheme="minorEastAsia"/>
        </w:rPr>
        <w:t>. For our purposes, the “</w:t>
      </w:r>
      <w:r w:rsidR="00E854D5">
        <w:rPr>
          <w:rFonts w:eastAsiaTheme="minorEastAsia"/>
          <w:i/>
          <w:iCs/>
        </w:rPr>
        <w:t xml:space="preserve">as in GPower 3.0 with </w:t>
      </w:r>
      <w:r w:rsidR="00C900C0">
        <w:rPr>
          <w:rFonts w:eastAsiaTheme="minorEastAsia"/>
          <w:i/>
          <w:iCs/>
        </w:rPr>
        <w:t>implicit</w:t>
      </w:r>
      <w:r w:rsidR="00E854D5">
        <w:rPr>
          <w:rFonts w:eastAsiaTheme="minorEastAsia"/>
          <w:i/>
          <w:iCs/>
        </w:rPr>
        <w:t xml:space="preserve"> rho”</w:t>
      </w:r>
      <w:r w:rsidR="00E854D5">
        <w:rPr>
          <w:rFonts w:eastAsiaTheme="minorEastAsia"/>
        </w:rPr>
        <w:t xml:space="preserve"> </w:t>
      </w:r>
      <w:r w:rsidR="00C900C0">
        <w:rPr>
          <w:rFonts w:eastAsiaTheme="minorEastAsia"/>
        </w:rPr>
        <w:t xml:space="preserve">option </w:t>
      </w:r>
      <w:r w:rsidR="00E854D5">
        <w:rPr>
          <w:rFonts w:eastAsiaTheme="minorEastAsia"/>
        </w:rPr>
        <w:t>is functionally equivalent to the “</w:t>
      </w:r>
      <w:r w:rsidR="00E854D5">
        <w:rPr>
          <w:rFonts w:eastAsiaTheme="minorEastAsia"/>
          <w:i/>
          <w:iCs/>
        </w:rPr>
        <w:t>as in Cohen”</w:t>
      </w:r>
      <w:r w:rsidR="00E854D5">
        <w:rPr>
          <w:rFonts w:eastAsiaTheme="minorEastAsia"/>
        </w:rPr>
        <w:t xml:space="preserve"> option and so can also be disregarded. The remaining “</w:t>
      </w:r>
      <w:r w:rsidR="00E854D5">
        <w:rPr>
          <w:rFonts w:eastAsiaTheme="minorEastAsia"/>
          <w:i/>
          <w:iCs/>
        </w:rPr>
        <w:t>as in SPSS”</w:t>
      </w:r>
      <w:r w:rsidR="00E854D5">
        <w:rPr>
          <w:rFonts w:eastAsiaTheme="minorEastAsia"/>
        </w:rPr>
        <w:t xml:space="preserve"> and </w:t>
      </w:r>
      <w:r w:rsidR="00E854D5">
        <w:rPr>
          <w:rFonts w:eastAsiaTheme="minorEastAsia"/>
          <w:i/>
          <w:iCs/>
        </w:rPr>
        <w:t>“as in Cohen”</w:t>
      </w:r>
      <w:r w:rsidR="00E854D5">
        <w:rPr>
          <w:rFonts w:eastAsiaTheme="minorEastAsia"/>
        </w:rPr>
        <w:t xml:space="preserve"> options are both appropriate for our effect size calculation, and differ </w:t>
      </w:r>
      <w:r w:rsidR="00EE4A82">
        <w:rPr>
          <w:rFonts w:eastAsiaTheme="minorEastAsia"/>
        </w:rPr>
        <w:t>in terms of</w:t>
      </w:r>
      <w:r w:rsidR="00E854D5">
        <w:rPr>
          <w:rFonts w:eastAsiaTheme="minorEastAsia"/>
        </w:rPr>
        <w:t xml:space="preserve"> whether the non</w:t>
      </w:r>
      <w:r w:rsidR="001D1DFB">
        <w:rPr>
          <w:rFonts w:eastAsiaTheme="minorEastAsia"/>
        </w:rPr>
        <w:noBreakHyphen/>
      </w:r>
      <w:r w:rsidR="00E854D5">
        <w:rPr>
          <w:rFonts w:eastAsiaTheme="minorEastAsia"/>
        </w:rPr>
        <w:t>centrality parameter is calculated based on the degrees of freedom (</w:t>
      </w:r>
      <w:r w:rsidR="00E854D5">
        <w:rPr>
          <w:rFonts w:eastAsiaTheme="minorEastAsia"/>
          <w:i/>
          <w:iCs/>
        </w:rPr>
        <w:t>“as in SPSS”</w:t>
      </w:r>
      <w:r w:rsidR="00E854D5">
        <w:rPr>
          <w:rFonts w:eastAsiaTheme="minorEastAsia"/>
        </w:rPr>
        <w:t>) or the sample size (</w:t>
      </w:r>
      <w:r w:rsidR="00E854D5">
        <w:rPr>
          <w:rFonts w:eastAsiaTheme="minorEastAsia"/>
          <w:i/>
          <w:iCs/>
        </w:rPr>
        <w:t>“as in Cohen”</w:t>
      </w:r>
      <w:r w:rsidR="00E854D5">
        <w:rPr>
          <w:rFonts w:eastAsiaTheme="minorEastAsia"/>
        </w:rPr>
        <w:t xml:space="preserve">). The </w:t>
      </w:r>
      <w:r w:rsidR="00D852A2">
        <w:rPr>
          <w:rFonts w:eastAsiaTheme="minorEastAsia"/>
        </w:rPr>
        <w:t>“</w:t>
      </w:r>
      <w:r w:rsidR="00D852A2">
        <w:rPr>
          <w:rFonts w:eastAsiaTheme="minorEastAsia"/>
          <w:i/>
          <w:iCs/>
        </w:rPr>
        <w:t>as in Cohen”</w:t>
      </w:r>
      <w:r w:rsidR="00D852A2">
        <w:rPr>
          <w:rFonts w:eastAsiaTheme="minorEastAsia"/>
        </w:rPr>
        <w:t xml:space="preserve"> option</w:t>
      </w:r>
      <w:r w:rsidR="00E854D5">
        <w:rPr>
          <w:rFonts w:eastAsiaTheme="minorEastAsia"/>
        </w:rPr>
        <w:t xml:space="preserve"> is more stringent and will produce (potentially quite substantially) larger estimates for the required sample size. Th</w:t>
      </w:r>
      <w:r w:rsidR="00D852A2">
        <w:rPr>
          <w:rFonts w:eastAsiaTheme="minorEastAsia"/>
        </w:rPr>
        <w:t xml:space="preserve">is option is </w:t>
      </w:r>
      <w:r w:rsidR="00EE4A82">
        <w:rPr>
          <w:rFonts w:eastAsiaTheme="minorEastAsia"/>
        </w:rPr>
        <w:t xml:space="preserve">also </w:t>
      </w:r>
      <w:r w:rsidR="00D852A2">
        <w:rPr>
          <w:rFonts w:eastAsiaTheme="minorEastAsia"/>
        </w:rPr>
        <w:t xml:space="preserve">recommended by G*Power, but the </w:t>
      </w:r>
      <w:r w:rsidR="00D852A2">
        <w:rPr>
          <w:rFonts w:eastAsiaTheme="minorEastAsia"/>
          <w:i/>
          <w:iCs/>
        </w:rPr>
        <w:t>“as in SPSS”</w:t>
      </w:r>
      <w:r w:rsidR="00D852A2">
        <w:rPr>
          <w:rFonts w:eastAsiaTheme="minorEastAsia"/>
        </w:rPr>
        <w:t xml:space="preserve"> is by no means “incorrect” and is also common</w:t>
      </w:r>
      <w:r w:rsidR="00EE4A82">
        <w:rPr>
          <w:rFonts w:eastAsiaTheme="minorEastAsia"/>
        </w:rPr>
        <w:t>ly</w:t>
      </w:r>
      <w:r w:rsidR="00D852A2">
        <w:rPr>
          <w:rFonts w:eastAsiaTheme="minorEastAsia"/>
        </w:rPr>
        <w:t xml:space="preserve"> us</w:t>
      </w:r>
      <w:r w:rsidR="00EE4A82">
        <w:rPr>
          <w:rFonts w:eastAsiaTheme="minorEastAsia"/>
        </w:rPr>
        <w:t>ed</w:t>
      </w:r>
      <w:r w:rsidR="00D852A2">
        <w:rPr>
          <w:rFonts w:eastAsiaTheme="minorEastAsia"/>
        </w:rPr>
        <w:t xml:space="preserve">. Note </w:t>
      </w:r>
      <w:r w:rsidR="002604C0">
        <w:rPr>
          <w:rFonts w:eastAsiaTheme="minorEastAsia"/>
        </w:rPr>
        <w:t xml:space="preserve">that </w:t>
      </w:r>
      <w:r w:rsidR="00D852A2">
        <w:rPr>
          <w:rFonts w:eastAsiaTheme="minorEastAsia"/>
        </w:rPr>
        <w:t xml:space="preserve">the </w:t>
      </w:r>
      <w:r w:rsidR="00D852A2">
        <w:rPr>
          <w:rFonts w:eastAsiaTheme="minorEastAsia"/>
          <w:i/>
          <w:iCs/>
        </w:rPr>
        <w:t>“as in SPSS”</w:t>
      </w:r>
      <w:r w:rsidR="00D852A2">
        <w:rPr>
          <w:rFonts w:eastAsiaTheme="minorEastAsia"/>
        </w:rPr>
        <w:t xml:space="preserve"> option refers to the type of effect size specification, and may be used irrespective of whether</w:t>
      </w:r>
      <w:r w:rsidR="00C900C0">
        <w:rPr>
          <w:rFonts w:eastAsiaTheme="minorEastAsia"/>
        </w:rPr>
        <w:t xml:space="preserve"> effect sizes were </w:t>
      </w:r>
      <w:r w:rsidR="001D1DFB">
        <w:rPr>
          <w:rFonts w:eastAsiaTheme="minorEastAsia"/>
        </w:rPr>
        <w:t xml:space="preserve">actually </w:t>
      </w:r>
      <w:r w:rsidR="00C900C0">
        <w:rPr>
          <w:rFonts w:eastAsiaTheme="minorEastAsia"/>
        </w:rPr>
        <w:t xml:space="preserve">calculated </w:t>
      </w:r>
      <w:r w:rsidR="00191C5D">
        <w:rPr>
          <w:rFonts w:eastAsiaTheme="minorEastAsia"/>
        </w:rPr>
        <w:t>in</w:t>
      </w:r>
      <w:r w:rsidR="00D852A2">
        <w:rPr>
          <w:rFonts w:eastAsiaTheme="minorEastAsia"/>
        </w:rPr>
        <w:t xml:space="preserve"> SPSS.</w:t>
      </w:r>
    </w:p>
    <w:p w14:paraId="7FFA0557" w14:textId="1F859674" w:rsidR="00E854D5" w:rsidRDefault="00E854D5" w:rsidP="00436008">
      <w:r>
        <w:t xml:space="preserve">Using the original mixed-model approach, we obtained an effect size of Cohen’s </w:t>
      </w:r>
      <w:r>
        <w:rPr>
          <w:i/>
          <w:iCs/>
        </w:rPr>
        <w:t>f</w:t>
      </w:r>
      <w:r>
        <w:t xml:space="preserve"> = 0.91 for th</w:t>
      </w:r>
      <w:r w:rsidR="00D852A2">
        <w:t>e</w:t>
      </w:r>
      <w:r>
        <w:t xml:space="preserve"> </w:t>
      </w:r>
      <w:r w:rsidR="00D852A2">
        <w:t xml:space="preserve">fixation-condition by adaptation-duration interaction. Entering this into G*Power as described above indicates a required sample size of </w:t>
      </w:r>
      <w:r w:rsidR="00D852A2">
        <w:rPr>
          <w:i/>
          <w:iCs/>
        </w:rPr>
        <w:t>N</w:t>
      </w:r>
      <w:r w:rsidR="00D852A2">
        <w:t xml:space="preserve"> = 18 using the “</w:t>
      </w:r>
      <w:r w:rsidR="00D852A2">
        <w:rPr>
          <w:i/>
          <w:iCs/>
        </w:rPr>
        <w:t>as in Cohen”</w:t>
      </w:r>
      <w:r w:rsidR="00D852A2">
        <w:t xml:space="preserve"> option, or </w:t>
      </w:r>
      <w:r w:rsidR="00D852A2">
        <w:rPr>
          <w:i/>
          <w:iCs/>
        </w:rPr>
        <w:t>N</w:t>
      </w:r>
      <w:r w:rsidR="00D852A2">
        <w:t xml:space="preserve"> = </w:t>
      </w:r>
      <w:r w:rsidR="001D1DFB">
        <w:t>5</w:t>
      </w:r>
      <w:r w:rsidR="00D852A2">
        <w:t xml:space="preserve"> using the “</w:t>
      </w:r>
      <w:r w:rsidR="00D852A2">
        <w:rPr>
          <w:i/>
          <w:iCs/>
        </w:rPr>
        <w:t xml:space="preserve">as in SPSS” </w:t>
      </w:r>
      <w:r w:rsidR="00D852A2" w:rsidRPr="00D852A2">
        <w:t>option.</w:t>
      </w:r>
      <w:r w:rsidR="00D852A2">
        <w:t xml:space="preserve"> There is therefore a substantial discrepancy </w:t>
      </w:r>
      <w:r w:rsidR="00C900C0">
        <w:t>between the outputs of the two</w:t>
      </w:r>
      <w:r w:rsidR="00D852A2">
        <w:t xml:space="preserve"> options, with neither being necessarily more “correct” than the other. </w:t>
      </w:r>
      <w:r w:rsidR="00C900C0">
        <w:t>For</w:t>
      </w:r>
      <w:r w:rsidR="00D852A2">
        <w:t xml:space="preserve"> our pre-registration we chose the more stringent </w:t>
      </w:r>
      <w:r w:rsidR="00D852A2">
        <w:rPr>
          <w:i/>
          <w:iCs/>
        </w:rPr>
        <w:t>“as in Cohen”</w:t>
      </w:r>
      <w:r w:rsidR="00D852A2">
        <w:t xml:space="preserve"> option and aimed for a slightly larger sample size of </w:t>
      </w:r>
      <w:r w:rsidR="00D852A2">
        <w:rPr>
          <w:i/>
          <w:iCs/>
        </w:rPr>
        <w:t>N</w:t>
      </w:r>
      <w:r w:rsidR="00D852A2">
        <w:t xml:space="preserve"> = 20. However, sufficient power likely could have been achieved </w:t>
      </w:r>
      <w:r w:rsidR="00EE4A82">
        <w:t xml:space="preserve">even </w:t>
      </w:r>
      <w:r w:rsidR="00D852A2">
        <w:t xml:space="preserve">with a </w:t>
      </w:r>
      <w:r w:rsidR="00EE4A82">
        <w:t xml:space="preserve">much </w:t>
      </w:r>
      <w:r w:rsidR="00D852A2">
        <w:t xml:space="preserve">smaller sample size more in line with the </w:t>
      </w:r>
      <w:r w:rsidR="00D852A2">
        <w:rPr>
          <w:i/>
          <w:iCs/>
        </w:rPr>
        <w:t>“as in SPSS”</w:t>
      </w:r>
      <w:r w:rsidR="00D852A2">
        <w:t xml:space="preserve"> option outputs.</w:t>
      </w:r>
    </w:p>
    <w:p w14:paraId="638CA07B" w14:textId="4D03CC92" w:rsidR="00B82A26" w:rsidRDefault="00B82A26" w:rsidP="00436008">
      <w:r>
        <w:t xml:space="preserve">Turning now to the updated simple regression approach, we find the interaction effect size is reduced slightly to Cohen’s </w:t>
      </w:r>
      <w:r>
        <w:rPr>
          <w:i/>
          <w:iCs/>
        </w:rPr>
        <w:t>f</w:t>
      </w:r>
      <w:r>
        <w:t xml:space="preserve"> = 0.7</w:t>
      </w:r>
      <w:r w:rsidR="00191611">
        <w:t>2</w:t>
      </w:r>
      <w:r>
        <w:t xml:space="preserve">. This is due to </w:t>
      </w:r>
      <w:r w:rsidR="00C900C0">
        <w:t xml:space="preserve">a slight </w:t>
      </w:r>
      <w:r>
        <w:t>increase</w:t>
      </w:r>
      <w:r w:rsidR="00382E11">
        <w:t xml:space="preserve"> in the</w:t>
      </w:r>
      <w:r>
        <w:t xml:space="preserve"> variance of </w:t>
      </w:r>
      <w:r w:rsidR="00C900C0">
        <w:t xml:space="preserve">the VAE magnitude </w:t>
      </w:r>
      <w:r>
        <w:t xml:space="preserve">estimates, in line with the previous mixed-model approach </w:t>
      </w:r>
      <w:r w:rsidR="00C900C0">
        <w:t>having yielded</w:t>
      </w:r>
      <w:r>
        <w:t xml:space="preserve"> bias</w:t>
      </w:r>
      <w:r w:rsidR="00C900C0">
        <w:t>ed parameter estimates</w:t>
      </w:r>
      <w:r>
        <w:t xml:space="preserve">. If we now repeat our power analysis in G*Power, we obtain a recommended sample size of </w:t>
      </w:r>
      <w:r>
        <w:rPr>
          <w:i/>
          <w:iCs/>
        </w:rPr>
        <w:t>N = 2</w:t>
      </w:r>
      <w:r w:rsidR="00191611">
        <w:rPr>
          <w:i/>
          <w:iCs/>
        </w:rPr>
        <w:t>8</w:t>
      </w:r>
      <w:r>
        <w:t xml:space="preserve"> if using the “</w:t>
      </w:r>
      <w:r>
        <w:rPr>
          <w:i/>
          <w:iCs/>
        </w:rPr>
        <w:t>as in Cohen”</w:t>
      </w:r>
      <w:r>
        <w:t xml:space="preserve"> option, or </w:t>
      </w:r>
      <w:r>
        <w:rPr>
          <w:i/>
          <w:iCs/>
        </w:rPr>
        <w:t>N</w:t>
      </w:r>
      <w:r>
        <w:t xml:space="preserve"> = </w:t>
      </w:r>
      <w:r w:rsidR="00191611">
        <w:t>7</w:t>
      </w:r>
      <w:r>
        <w:t xml:space="preserve"> if using the </w:t>
      </w:r>
      <w:r>
        <w:rPr>
          <w:i/>
          <w:iCs/>
        </w:rPr>
        <w:t>“as in SPSS”</w:t>
      </w:r>
      <w:r>
        <w:t xml:space="preserve"> option. Thus, if we exactly follow our pre</w:t>
      </w:r>
      <w:r>
        <w:noBreakHyphen/>
        <w:t>registered protocol using the “</w:t>
      </w:r>
      <w:r>
        <w:rPr>
          <w:i/>
          <w:iCs/>
        </w:rPr>
        <w:t>as in Cohen”</w:t>
      </w:r>
      <w:r>
        <w:t xml:space="preserve"> option then it appears our </w:t>
      </w:r>
      <w:r w:rsidR="00382E11">
        <w:t xml:space="preserve">selected </w:t>
      </w:r>
      <w:r>
        <w:t xml:space="preserve">sample size of </w:t>
      </w:r>
      <w:r>
        <w:rPr>
          <w:i/>
          <w:iCs/>
        </w:rPr>
        <w:t>N</w:t>
      </w:r>
      <w:r>
        <w:t xml:space="preserve"> = 20 may leave us underpowered for the </w:t>
      </w:r>
      <w:r w:rsidR="00A01624">
        <w:t>updated regression approach</w:t>
      </w:r>
      <w:r>
        <w:t xml:space="preserve">. However, </w:t>
      </w:r>
      <w:r w:rsidR="00A01624">
        <w:t xml:space="preserve">if we </w:t>
      </w:r>
      <w:r>
        <w:t xml:space="preserve">instead use the </w:t>
      </w:r>
      <w:r>
        <w:rPr>
          <w:i/>
          <w:iCs/>
        </w:rPr>
        <w:t>“as in SPSS”</w:t>
      </w:r>
      <w:r>
        <w:t xml:space="preserve"> option</w:t>
      </w:r>
      <w:r w:rsidR="00A01624">
        <w:t xml:space="preserve"> then our existing sample size appear</w:t>
      </w:r>
      <w:r w:rsidR="00AB30EE">
        <w:t>s</w:t>
      </w:r>
      <w:r w:rsidR="00A01624">
        <w:t xml:space="preserve"> more than sufficient</w:t>
      </w:r>
      <w:r>
        <w:t xml:space="preserve">. </w:t>
      </w:r>
      <w:r w:rsidR="00A01624">
        <w:t>Clearly t</w:t>
      </w:r>
      <w:r>
        <w:t>here is some substantial ambiguity in the outputs of G</w:t>
      </w:r>
      <w:r w:rsidR="00382E11">
        <w:t>*</w:t>
      </w:r>
      <w:r>
        <w:t xml:space="preserve">Power’s power calculation, with a four-fold difference in the sample size estimates between the two options, </w:t>
      </w:r>
      <w:r w:rsidR="00AB30EE">
        <w:t xml:space="preserve">and </w:t>
      </w:r>
      <w:r>
        <w:t xml:space="preserve">neither being </w:t>
      </w:r>
      <w:r w:rsidR="005C07C4">
        <w:t>necessarily</w:t>
      </w:r>
      <w:r w:rsidR="00A01624">
        <w:t xml:space="preserve"> more or less </w:t>
      </w:r>
      <w:r w:rsidR="00191C5D">
        <w:t>“correct”</w:t>
      </w:r>
      <w:r w:rsidR="00A01624">
        <w:t xml:space="preserve"> than </w:t>
      </w:r>
      <w:r w:rsidR="00A01624">
        <w:lastRenderedPageBreak/>
        <w:t>the other</w:t>
      </w:r>
      <w:r>
        <w:t xml:space="preserve">. To help resolve this ambiguity, we repeated our calculations using two further popular software packages for </w:t>
      </w:r>
      <w:r w:rsidR="00A01624">
        <w:t xml:space="preserve">performing </w:t>
      </w:r>
      <w:r>
        <w:t>power analys</w:t>
      </w:r>
      <w:r w:rsidR="00A01624">
        <w:t>e</w:t>
      </w:r>
      <w:r>
        <w:t xml:space="preserve">s within repeated measures designs: MorePower (v6.0.4; </w:t>
      </w:r>
      <w:r>
        <w:fldChar w:fldCharType="begin" w:fldLock="1"/>
      </w:r>
      <w:r w:rsidR="00BB3B76">
        <w:instrText>ADDIN CSL_CITATION {"citationItems":[{"id":"ITEM-1","itemData":{"DOI":"10.3758/s13428-012-0186-0","ISSN":"1554-3528","PMID":"22437511","abstract":"MorePower 6. 0 is a flexible freeware statistical calculator that computes sample size, effect size, and power statistics for factorial ANOVA designs. It also calculates relational confidence intervals for ANOVA effects based on formulas from Jarmasz and Hollands (Canadian Journal of Experimental Psychology 63:124-138, 2009), as well as Bayesian posterior probabilities for the null and alternative hypotheses based on formulas in Masson (Behavior Research Methods 43:679-690, 2011). The program is unique in affording direct comparison of these three approaches to the interpretation of ANOVA tests. Its high numerical precision and ability to work with complex ANOVA designs could facilitate researchers' attention to issues of statistical power, Bayesian analysis, and the use of confidence intervals for data interpretation. MorePower 6. 0 is available at https://wiki.usask.ca/pages/viewpageattachments.action?pageId0420413544. © 2012 Psychonomic Society, Inc.","author":[{"dropping-particle":"","family":"Campbell","given":"Jamie I. D.","non-dropping-particle":"","parse-names":false,"suffix":""},{"dropping-particle":"","family":"Thompson","given":"Valerie A.","non-dropping-particle":"","parse-names":false,"suffix":""}],"container-title":"Behavior Research Methods","id":"ITEM-1","issue":"4","issued":{"date-parts":[["2012","12","22"]]},"note":"https://wiki.usask.ca/pages/viewpageattachments.action?pageId=420413544","page":"1255-1265","title":"MorePower 6.0 for ANOVA with relational confidence intervals and Bayesian analysis","type":"article-journal","volume":"44"},"uris":["http://www.mendeley.com/documents/?uuid=2e8222de-d321-4e30-9cdd-3b1413fa861f"]}],"mendeley":{"formattedCitation":"[3]","plainTextFormattedCitation":"[3]","previouslyFormattedCitation":"(3)"},"properties":{"noteIndex":0},"schema":"https://github.com/citation-style-language/schema/raw/master/csl-citation.json"}</w:instrText>
      </w:r>
      <w:r>
        <w:fldChar w:fldCharType="separate"/>
      </w:r>
      <w:r w:rsidR="00BB3B76" w:rsidRPr="00BB3B76">
        <w:rPr>
          <w:noProof/>
        </w:rPr>
        <w:t>[3]</w:t>
      </w:r>
      <w:r>
        <w:fldChar w:fldCharType="end"/>
      </w:r>
      <w:r>
        <w:t xml:space="preserve">) and PANGEA </w:t>
      </w:r>
      <w:r w:rsidR="00A01624">
        <w:t>(</w:t>
      </w:r>
      <w:hyperlink r:id="rId11" w:history="1">
        <w:r w:rsidR="00A01624" w:rsidRPr="004E7080">
          <w:rPr>
            <w:rStyle w:val="Hyperlink"/>
          </w:rPr>
          <w:t>http://jakewestfall.org/pangea/</w:t>
        </w:r>
      </w:hyperlink>
      <w:r w:rsidR="00A01624">
        <w:t xml:space="preserve">; </w:t>
      </w:r>
      <w:r>
        <w:fldChar w:fldCharType="begin" w:fldLock="1"/>
      </w:r>
      <w:r w:rsidR="00BB3B76">
        <w:instrText>ADDIN CSL_CITATION {"citationItems":[{"id":"ITEM-1","itemData":{"author":[{"dropping-particle":"","family":"Westfall","given":"Jacob","non-dropping-particle":"","parse-names":false,"suffix":""}],"id":"ITEM-1","issued":{"date-parts":[["2016","2"]]},"note":"Technical paper for PANGEA power analysis app\n\nhttp://jakewestfall.org/pangea/\nhttps://github.com/jake-westfall/pangea","title":"PANGEA: Power analysis for general anova designs","type":"report"},"uris":["http://www.mendeley.com/documents/?uuid=73377934-c919-47b1-bd07-b59fff82943f"]}],"mendeley":{"formattedCitation":"[4]","plainTextFormattedCitation":"[4]","previouslyFormattedCitation":"(4)"},"properties":{"noteIndex":0},"schema":"https://github.com/citation-style-language/schema/raw/master/csl-citation.json"}</w:instrText>
      </w:r>
      <w:r>
        <w:fldChar w:fldCharType="separate"/>
      </w:r>
      <w:r w:rsidR="00BB3B76" w:rsidRPr="00BB3B76">
        <w:rPr>
          <w:noProof/>
        </w:rPr>
        <w:t>[4]</w:t>
      </w:r>
      <w:r>
        <w:fldChar w:fldCharType="end"/>
      </w:r>
      <w:r w:rsidR="00A01624">
        <w:t>)</w:t>
      </w:r>
      <w:r>
        <w:t>.</w:t>
      </w:r>
      <w:r w:rsidR="00A01624">
        <w:t xml:space="preserve"> MorePower </w:t>
      </w:r>
      <w:r w:rsidR="00C900C0">
        <w:t xml:space="preserve">and PANGEA </w:t>
      </w:r>
      <w:r w:rsidR="00A01624">
        <w:t>indicated required sample size</w:t>
      </w:r>
      <w:r w:rsidR="00C900C0">
        <w:t>s</w:t>
      </w:r>
      <w:r w:rsidR="00A01624">
        <w:t xml:space="preserve"> of </w:t>
      </w:r>
      <w:r w:rsidR="00A01624">
        <w:rPr>
          <w:i/>
          <w:iCs/>
        </w:rPr>
        <w:t>N</w:t>
      </w:r>
      <w:r w:rsidR="00A01624">
        <w:t xml:space="preserve"> = 6</w:t>
      </w:r>
      <w:r w:rsidR="00C900C0">
        <w:t xml:space="preserve"> and </w:t>
      </w:r>
      <w:r w:rsidR="00C900C0">
        <w:rPr>
          <w:i/>
          <w:iCs/>
        </w:rPr>
        <w:t>N</w:t>
      </w:r>
      <w:r w:rsidR="00C900C0">
        <w:t xml:space="preserve"> = </w:t>
      </w:r>
      <w:r w:rsidR="00191611">
        <w:t>7</w:t>
      </w:r>
      <w:r w:rsidR="00C900C0">
        <w:t xml:space="preserve"> respectively</w:t>
      </w:r>
      <w:r w:rsidR="00A01624">
        <w:t xml:space="preserve">. These estimates are </w:t>
      </w:r>
      <w:r w:rsidR="00191611">
        <w:t>therefore</w:t>
      </w:r>
      <w:r w:rsidR="00A01624">
        <w:t xml:space="preserve"> more in line with those </w:t>
      </w:r>
      <w:r w:rsidR="00AB30EE">
        <w:t>produced by</w:t>
      </w:r>
      <w:r w:rsidR="00A01624">
        <w:t xml:space="preserve"> G*Power using the </w:t>
      </w:r>
      <w:r w:rsidR="00A01624">
        <w:rPr>
          <w:i/>
          <w:iCs/>
        </w:rPr>
        <w:t>“as in SPSS”</w:t>
      </w:r>
      <w:r w:rsidR="00A01624">
        <w:t xml:space="preserve"> option, while those </w:t>
      </w:r>
      <w:r w:rsidR="00AB30EE">
        <w:t>produced with</w:t>
      </w:r>
      <w:r w:rsidR="00A01624">
        <w:t xml:space="preserve"> the </w:t>
      </w:r>
      <w:r w:rsidR="00A01624">
        <w:rPr>
          <w:i/>
          <w:iCs/>
        </w:rPr>
        <w:t>“as in Cohen”</w:t>
      </w:r>
      <w:r w:rsidR="00A01624">
        <w:t xml:space="preserve"> option appear somewhat excessive by comparison.</w:t>
      </w:r>
      <w:r w:rsidR="00191611">
        <w:t xml:space="preserve"> </w:t>
      </w:r>
      <w:r w:rsidR="00191C5D">
        <w:t>Overall</w:t>
      </w:r>
      <w:r w:rsidR="00924D28">
        <w:t>, the weight of evidence i</w:t>
      </w:r>
      <w:r w:rsidR="00EE4A82">
        <w:t>ndicates</w:t>
      </w:r>
      <w:r w:rsidR="00191611">
        <w:t xml:space="preserve"> our selected sample size </w:t>
      </w:r>
      <w:r w:rsidR="00191C5D">
        <w:t>will</w:t>
      </w:r>
      <w:r w:rsidR="00EE4A82">
        <w:t xml:space="preserve"> still</w:t>
      </w:r>
      <w:r w:rsidR="00191611">
        <w:t xml:space="preserve"> provide </w:t>
      </w:r>
      <w:r w:rsidR="00EE4A82">
        <w:t>sufficient</w:t>
      </w:r>
      <w:r w:rsidR="00191611">
        <w:t xml:space="preserve"> statistical power.</w:t>
      </w:r>
    </w:p>
    <w:p w14:paraId="5824DD3C" w14:textId="094B9C75" w:rsidR="00C900C0" w:rsidRDefault="00C900C0" w:rsidP="00436008">
      <w:r>
        <w:t xml:space="preserve">Ultimately, the interaction effect obtained </w:t>
      </w:r>
      <w:r w:rsidR="00EE4A82">
        <w:t>in</w:t>
      </w:r>
      <w:r>
        <w:t xml:space="preserve"> the main experiment was not significant. Inspecting the </w:t>
      </w:r>
      <w:r w:rsidR="00AB30EE">
        <w:t>VAE estimates (Fig 2b)</w:t>
      </w:r>
      <w:r w:rsidR="007A6C72">
        <w:t>,</w:t>
      </w:r>
      <w:r w:rsidR="00AB30EE">
        <w:t xml:space="preserve"> it is clear that there is little </w:t>
      </w:r>
      <w:r w:rsidR="006054E4">
        <w:t>difference between the eye- and head-</w:t>
      </w:r>
      <w:r w:rsidR="002604C0">
        <w:t>consistent</w:t>
      </w:r>
      <w:r w:rsidR="006054E4">
        <w:t xml:space="preserve"> conditions over adaptation durations, and hence there is not a</w:t>
      </w:r>
      <w:r w:rsidR="009D3B70">
        <w:t xml:space="preserve"> significant</w:t>
      </w:r>
      <w:r w:rsidR="006054E4">
        <w:t xml:space="preserve"> interaction between </w:t>
      </w:r>
      <w:r w:rsidR="009D3B70">
        <w:t xml:space="preserve">the </w:t>
      </w:r>
      <w:r w:rsidR="006054E4">
        <w:t>fixation-condition and adaptation-duration</w:t>
      </w:r>
      <w:r w:rsidR="009D3B70">
        <w:t xml:space="preserve"> factors</w:t>
      </w:r>
      <w:r w:rsidR="006054E4">
        <w:t>.</w:t>
      </w:r>
      <w:r w:rsidR="00AB30EE">
        <w:t xml:space="preserve"> This is further supported by the corresponding Bayes factors which indicate substantial support </w:t>
      </w:r>
      <w:r w:rsidR="00382E11">
        <w:t xml:space="preserve">for </w:t>
      </w:r>
      <w:r w:rsidR="00AB30EE">
        <w:t>the null hypothesis, both when including (BF</w:t>
      </w:r>
      <w:r w:rsidR="00AB30EE" w:rsidRPr="00AB30EE">
        <w:rPr>
          <w:vertAlign w:val="subscript"/>
        </w:rPr>
        <w:t>10</w:t>
      </w:r>
      <w:r w:rsidR="00AB30EE">
        <w:t xml:space="preserve"> = 0.06; see main text) and excluding the eye+head</w:t>
      </w:r>
      <w:r w:rsidR="001D1DFB">
        <w:noBreakHyphen/>
      </w:r>
      <w:r w:rsidR="00AB30EE">
        <w:t>co</w:t>
      </w:r>
      <w:r w:rsidR="002604C0">
        <w:t>nsistent</w:t>
      </w:r>
      <w:r w:rsidR="00AB30EE">
        <w:t xml:space="preserve"> condition (BF</w:t>
      </w:r>
      <w:r w:rsidR="00AB30EE" w:rsidRPr="00AB30EE">
        <w:rPr>
          <w:vertAlign w:val="subscript"/>
        </w:rPr>
        <w:t>10</w:t>
      </w:r>
      <w:r w:rsidR="00AB30EE">
        <w:t xml:space="preserve"> = 0.0</w:t>
      </w:r>
      <w:r w:rsidR="004246C7">
        <w:t>8</w:t>
      </w:r>
      <w:r w:rsidR="00AB30EE">
        <w:t xml:space="preserve">; see </w:t>
      </w:r>
      <w:r w:rsidR="00AB30EE">
        <w:rPr>
          <w:i/>
          <w:iCs/>
        </w:rPr>
        <w:t>S2 Methods</w:t>
      </w:r>
      <w:r w:rsidR="00AB30EE">
        <w:t xml:space="preserve">). It is unlikely that </w:t>
      </w:r>
      <w:r w:rsidR="00191C5D">
        <w:t xml:space="preserve">simply </w:t>
      </w:r>
      <w:r w:rsidR="00AB30EE">
        <w:t xml:space="preserve">acquiring a larger sample size would </w:t>
      </w:r>
      <w:r w:rsidR="00191C5D">
        <w:t>alter</w:t>
      </w:r>
      <w:r w:rsidR="00AB30EE">
        <w:t xml:space="preserve"> this conclusion. </w:t>
      </w:r>
      <w:r w:rsidR="00EE4A82">
        <w:t>Thus, i</w:t>
      </w:r>
      <w:r w:rsidR="00AB30EE">
        <w:t xml:space="preserve">rrespective of any ambiguity surrounding the </w:t>
      </w:r>
      <w:r w:rsidR="00AB30EE">
        <w:rPr>
          <w:i/>
          <w:iCs/>
        </w:rPr>
        <w:t>a priori</w:t>
      </w:r>
      <w:r w:rsidR="00AB30EE">
        <w:t xml:space="preserve"> power analyses, </w:t>
      </w:r>
      <w:r w:rsidR="00382E11">
        <w:t xml:space="preserve">in the main experiment </w:t>
      </w:r>
      <w:r w:rsidR="00AB30EE">
        <w:t>we find clear evidence against an interaction effect</w:t>
      </w:r>
      <w:r w:rsidR="00382E11">
        <w:t>,</w:t>
      </w:r>
      <w:r w:rsidR="006054E4">
        <w:t xml:space="preserve"> and there is </w:t>
      </w:r>
      <w:r w:rsidR="00EE4A82">
        <w:t>little</w:t>
      </w:r>
      <w:r w:rsidR="006054E4">
        <w:t xml:space="preserve"> indication </w:t>
      </w:r>
      <w:r w:rsidR="00382E11">
        <w:t>of</w:t>
      </w:r>
      <w:r w:rsidR="006054E4">
        <w:t xml:space="preserve"> our experiment </w:t>
      </w:r>
      <w:r w:rsidR="00382E11">
        <w:t>being</w:t>
      </w:r>
      <w:r w:rsidR="006054E4">
        <w:t xml:space="preserve"> insufficiently powered </w:t>
      </w:r>
      <w:r w:rsidR="00191C5D">
        <w:t>to</w:t>
      </w:r>
      <w:r w:rsidR="006054E4">
        <w:t xml:space="preserve"> mak</w:t>
      </w:r>
      <w:r w:rsidR="00191C5D">
        <w:t>e</w:t>
      </w:r>
      <w:r w:rsidR="006054E4">
        <w:t xml:space="preserve"> this determination.</w:t>
      </w:r>
    </w:p>
    <w:p w14:paraId="64EBB79E" w14:textId="2E99071A" w:rsidR="00436008" w:rsidRDefault="006054E4" w:rsidP="00436008">
      <w:r>
        <w:t>To summarise, the power calculation reported in our pre-registered design plan was based on an effect size estimate obtained following a mixed-effects modelling approach. This has since been updated to instead employ a simple regression modelling approach, which in turn slightly reduces this effect size estimate. The power calculation described in our pre</w:t>
      </w:r>
      <w:r w:rsidR="007A6C72">
        <w:noBreakHyphen/>
      </w:r>
      <w:r>
        <w:t xml:space="preserve">registration is thus no longer strictly appropriate. Repeating the power calculation as originally described </w:t>
      </w:r>
      <w:r w:rsidR="00191C5D">
        <w:t xml:space="preserve">but with the updated effect size estimate </w:t>
      </w:r>
      <w:r>
        <w:t xml:space="preserve">now suggests our selected sample size </w:t>
      </w:r>
      <w:r w:rsidR="00436008">
        <w:t xml:space="preserve">of </w:t>
      </w:r>
      <w:r w:rsidR="00436008" w:rsidRPr="00436008">
        <w:rPr>
          <w:i/>
          <w:iCs/>
        </w:rPr>
        <w:t>N</w:t>
      </w:r>
      <w:r w:rsidR="00436008">
        <w:t xml:space="preserve"> = 20 might</w:t>
      </w:r>
      <w:r>
        <w:t xml:space="preserve"> leave us </w:t>
      </w:r>
      <w:r w:rsidR="00436008">
        <w:t xml:space="preserve">slightly </w:t>
      </w:r>
      <w:r>
        <w:t>underpowere</w:t>
      </w:r>
      <w:r w:rsidR="00436008">
        <w:t>d. However, t</w:t>
      </w:r>
      <w:r>
        <w:t xml:space="preserve">here is substantial ambiguity </w:t>
      </w:r>
      <w:r w:rsidR="00436008">
        <w:t xml:space="preserve">around these </w:t>
      </w:r>
      <w:r w:rsidR="00191C5D">
        <w:t>sample size estimates</w:t>
      </w:r>
      <w:r w:rsidR="00436008">
        <w:t>, and</w:t>
      </w:r>
      <w:r w:rsidR="00EE4A82">
        <w:t xml:space="preserve"> </w:t>
      </w:r>
      <w:r w:rsidR="00191C5D">
        <w:t>alternative calculations yield</w:t>
      </w:r>
      <w:r w:rsidR="00436008">
        <w:t xml:space="preserve"> much smaller estimates </w:t>
      </w:r>
      <w:r w:rsidR="00191C5D">
        <w:t>that</w:t>
      </w:r>
      <w:r w:rsidR="00436008">
        <w:t xml:space="preserve"> indicate our selected sample size is still more than sufficient. Ultimately, the critical interaction effect in our experiment was not significant, and instead </w:t>
      </w:r>
      <w:r w:rsidR="00EE4A82">
        <w:t xml:space="preserve">the </w:t>
      </w:r>
      <w:r w:rsidR="00436008">
        <w:t xml:space="preserve">Bayes factors indicated substantial support for the null hypothesis. </w:t>
      </w:r>
      <w:r w:rsidR="007A6C72">
        <w:t>Thus, t</w:t>
      </w:r>
      <w:r w:rsidR="00436008">
        <w:t xml:space="preserve">here is no indication </w:t>
      </w:r>
      <w:r w:rsidR="007A6C72">
        <w:t>of</w:t>
      </w:r>
      <w:r w:rsidR="00436008">
        <w:t xml:space="preserve"> our study </w:t>
      </w:r>
      <w:r w:rsidR="007A6C72">
        <w:t>being</w:t>
      </w:r>
      <w:r w:rsidR="00436008">
        <w:t xml:space="preserve"> underpowered</w:t>
      </w:r>
      <w:r w:rsidR="007A6C72">
        <w:t xml:space="preserve"> in practice</w:t>
      </w:r>
      <w:r w:rsidR="00436008">
        <w:t>.</w:t>
      </w:r>
      <w:r w:rsidR="00436008">
        <w:br w:type="page"/>
      </w:r>
    </w:p>
    <w:p w14:paraId="25AD7697" w14:textId="515FB744" w:rsidR="00444457" w:rsidRDefault="00444457" w:rsidP="00436008">
      <w:pPr>
        <w:pStyle w:val="Heading2"/>
      </w:pPr>
      <w:r>
        <w:lastRenderedPageBreak/>
        <w:t>References</w:t>
      </w:r>
    </w:p>
    <w:p w14:paraId="6B3E14FE" w14:textId="7198C056" w:rsidR="00234FB5" w:rsidRPr="00234FB5" w:rsidRDefault="00234FB5" w:rsidP="00234FB5">
      <w:pPr>
        <w:widowControl w:val="0"/>
        <w:autoSpaceDE w:val="0"/>
        <w:autoSpaceDN w:val="0"/>
        <w:adjustRightInd w:val="0"/>
        <w:ind w:left="640" w:hanging="640"/>
        <w:rPr>
          <w:rFonts w:ascii="Calibri" w:hAnsi="Calibri" w:cs="Calibri"/>
          <w:noProof/>
          <w:szCs w:val="24"/>
        </w:rPr>
      </w:pPr>
      <w:r w:rsidRPr="00234FB5">
        <w:rPr>
          <w:rFonts w:ascii="Calibri" w:hAnsi="Calibri" w:cs="Calibri"/>
          <w:noProof/>
          <w:szCs w:val="24"/>
        </w:rPr>
        <w:t xml:space="preserve">1. </w:t>
      </w:r>
      <w:r w:rsidRPr="00234FB5">
        <w:rPr>
          <w:rFonts w:ascii="Calibri" w:hAnsi="Calibri" w:cs="Calibri"/>
          <w:noProof/>
          <w:szCs w:val="24"/>
        </w:rPr>
        <w:tab/>
        <w:t>Faul F, Erdfelder E, Lang A-G, Buchner A. G*Power: A flexible statistical power analysis program for the social, behavioral, and biomedical sciences. Behav Res Methods. 2007;39(2):175–91. doi: 10.3758/BF03193146.</w:t>
      </w:r>
    </w:p>
    <w:p w14:paraId="47B853BA" w14:textId="7DCCED70" w:rsidR="00234FB5" w:rsidRPr="00234FB5" w:rsidRDefault="00234FB5" w:rsidP="00234FB5">
      <w:pPr>
        <w:widowControl w:val="0"/>
        <w:autoSpaceDE w:val="0"/>
        <w:autoSpaceDN w:val="0"/>
        <w:adjustRightInd w:val="0"/>
        <w:ind w:left="640" w:hanging="640"/>
        <w:rPr>
          <w:rFonts w:ascii="Calibri" w:hAnsi="Calibri" w:cs="Calibri"/>
          <w:noProof/>
          <w:szCs w:val="24"/>
        </w:rPr>
      </w:pPr>
      <w:r w:rsidRPr="00234FB5">
        <w:rPr>
          <w:rFonts w:ascii="Calibri" w:hAnsi="Calibri" w:cs="Calibri"/>
          <w:noProof/>
          <w:szCs w:val="24"/>
        </w:rPr>
        <w:t xml:space="preserve">2. </w:t>
      </w:r>
      <w:r w:rsidRPr="00234FB5">
        <w:rPr>
          <w:rFonts w:ascii="Calibri" w:hAnsi="Calibri" w:cs="Calibri"/>
          <w:noProof/>
          <w:szCs w:val="24"/>
        </w:rPr>
        <w:tab/>
        <w:t>Lakens D. Calculating and reporting effect sizes to facilitate cumulative science: a practical primer for t-tests and ANOVAs. Front Psychol. 2013;4(NOV):1–12. doi:</w:t>
      </w:r>
      <w:r>
        <w:rPr>
          <w:rFonts w:ascii="Calibri" w:hAnsi="Calibri" w:cs="Calibri"/>
          <w:noProof/>
          <w:szCs w:val="24"/>
        </w:rPr>
        <w:t> </w:t>
      </w:r>
      <w:r w:rsidRPr="00234FB5">
        <w:rPr>
          <w:rFonts w:ascii="Calibri" w:hAnsi="Calibri" w:cs="Calibri"/>
          <w:noProof/>
          <w:szCs w:val="24"/>
        </w:rPr>
        <w:t>10.3389/fpsyg.2013.00863.</w:t>
      </w:r>
    </w:p>
    <w:p w14:paraId="5635AFA0" w14:textId="0D0AE91A" w:rsidR="00234FB5" w:rsidRPr="00234FB5" w:rsidRDefault="00191C5D" w:rsidP="00234FB5">
      <w:pPr>
        <w:widowControl w:val="0"/>
        <w:autoSpaceDE w:val="0"/>
        <w:autoSpaceDN w:val="0"/>
        <w:adjustRightInd w:val="0"/>
        <w:ind w:left="640" w:hanging="640"/>
        <w:rPr>
          <w:rFonts w:ascii="Calibri" w:hAnsi="Calibri" w:cs="Calibri"/>
          <w:noProof/>
          <w:szCs w:val="24"/>
        </w:rPr>
      </w:pPr>
      <w:r>
        <w:rPr>
          <w:rFonts w:ascii="Calibri" w:hAnsi="Calibri" w:cs="Calibri"/>
          <w:noProof/>
          <w:szCs w:val="24"/>
        </w:rPr>
        <w:t>3</w:t>
      </w:r>
      <w:r w:rsidR="00234FB5" w:rsidRPr="00234FB5">
        <w:rPr>
          <w:rFonts w:ascii="Calibri" w:hAnsi="Calibri" w:cs="Calibri"/>
          <w:noProof/>
          <w:szCs w:val="24"/>
        </w:rPr>
        <w:t xml:space="preserve">. </w:t>
      </w:r>
      <w:r w:rsidR="00234FB5" w:rsidRPr="00234FB5">
        <w:rPr>
          <w:rFonts w:ascii="Calibri" w:hAnsi="Calibri" w:cs="Calibri"/>
          <w:noProof/>
          <w:szCs w:val="24"/>
        </w:rPr>
        <w:tab/>
        <w:t>Campbell JID, Thompson VA. MorePower 6.0 for ANOVA with relational confidence intervals and Bayesian analysis. Behav Res Methods. 2012;44(4):1255–65. doi:</w:t>
      </w:r>
      <w:r w:rsidR="00234FB5">
        <w:rPr>
          <w:rFonts w:ascii="Calibri" w:hAnsi="Calibri" w:cs="Calibri"/>
          <w:noProof/>
          <w:szCs w:val="24"/>
        </w:rPr>
        <w:t> </w:t>
      </w:r>
      <w:r w:rsidR="00234FB5" w:rsidRPr="00234FB5">
        <w:rPr>
          <w:rFonts w:ascii="Calibri" w:hAnsi="Calibri" w:cs="Calibri"/>
          <w:noProof/>
          <w:szCs w:val="24"/>
        </w:rPr>
        <w:t>10.3758/s13428-012-0186-0.</w:t>
      </w:r>
    </w:p>
    <w:p w14:paraId="649F79D8" w14:textId="0C55A634" w:rsidR="00234FB5" w:rsidRPr="00234FB5" w:rsidRDefault="00191C5D" w:rsidP="00234FB5">
      <w:pPr>
        <w:widowControl w:val="0"/>
        <w:autoSpaceDE w:val="0"/>
        <w:autoSpaceDN w:val="0"/>
        <w:adjustRightInd w:val="0"/>
        <w:ind w:left="640" w:hanging="640"/>
        <w:rPr>
          <w:rFonts w:ascii="Calibri" w:hAnsi="Calibri" w:cs="Calibri"/>
          <w:noProof/>
        </w:rPr>
      </w:pPr>
      <w:r>
        <w:rPr>
          <w:rFonts w:ascii="Calibri" w:hAnsi="Calibri" w:cs="Calibri"/>
          <w:noProof/>
          <w:szCs w:val="24"/>
        </w:rPr>
        <w:t>4</w:t>
      </w:r>
      <w:r w:rsidR="00234FB5" w:rsidRPr="00234FB5">
        <w:rPr>
          <w:rFonts w:ascii="Calibri" w:hAnsi="Calibri" w:cs="Calibri"/>
          <w:noProof/>
          <w:szCs w:val="24"/>
        </w:rPr>
        <w:t xml:space="preserve">. </w:t>
      </w:r>
      <w:r w:rsidR="00234FB5" w:rsidRPr="00234FB5">
        <w:rPr>
          <w:rFonts w:ascii="Calibri" w:hAnsi="Calibri" w:cs="Calibri"/>
          <w:noProof/>
          <w:szCs w:val="24"/>
        </w:rPr>
        <w:tab/>
        <w:t xml:space="preserve">Westfall J. PANGEA: Power analysis for general anova designs. 2016 Feb. </w:t>
      </w:r>
    </w:p>
    <w:p w14:paraId="5D4D89C8" w14:textId="066F2986" w:rsidR="00CB4F21" w:rsidRPr="00CB4F21" w:rsidRDefault="00A01624" w:rsidP="00436008">
      <w:pPr>
        <w:widowControl w:val="0"/>
        <w:autoSpaceDE w:val="0"/>
        <w:autoSpaceDN w:val="0"/>
        <w:adjustRightInd w:val="0"/>
        <w:ind w:left="640" w:hanging="640"/>
        <w:jc w:val="left"/>
      </w:pPr>
      <w:r w:rsidRPr="00A01624">
        <w:rPr>
          <w:rFonts w:ascii="Calibri" w:hAnsi="Calibri" w:cs="Calibri"/>
          <w:noProof/>
          <w:szCs w:val="24"/>
        </w:rPr>
        <w:t xml:space="preserve"> </w:t>
      </w:r>
    </w:p>
    <w:sectPr w:rsidR="00CB4F21" w:rsidRPr="00CB4F21" w:rsidSect="0043600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3FC6C" w14:textId="77777777" w:rsidR="0073716A" w:rsidRDefault="0073716A" w:rsidP="007779E0">
      <w:pPr>
        <w:spacing w:after="0" w:line="240" w:lineRule="auto"/>
      </w:pPr>
      <w:r>
        <w:separator/>
      </w:r>
    </w:p>
  </w:endnote>
  <w:endnote w:type="continuationSeparator" w:id="0">
    <w:p w14:paraId="03F4E6AA" w14:textId="77777777" w:rsidR="0073716A" w:rsidRDefault="0073716A" w:rsidP="00777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181215"/>
      <w:docPartObj>
        <w:docPartGallery w:val="Page Numbers (Bottom of Page)"/>
        <w:docPartUnique/>
      </w:docPartObj>
    </w:sdtPr>
    <w:sdtEndPr>
      <w:rPr>
        <w:noProof/>
      </w:rPr>
    </w:sdtEndPr>
    <w:sdtContent>
      <w:p w14:paraId="33610AF7" w14:textId="000CCA92" w:rsidR="00BC4D7B" w:rsidRDefault="00BC4D7B">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0069A9B6" w14:textId="77777777" w:rsidR="00BC4D7B" w:rsidRDefault="00BC4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15699" w14:textId="77777777" w:rsidR="0073716A" w:rsidRDefault="0073716A" w:rsidP="007779E0">
      <w:pPr>
        <w:spacing w:after="0" w:line="240" w:lineRule="auto"/>
      </w:pPr>
      <w:r>
        <w:separator/>
      </w:r>
    </w:p>
  </w:footnote>
  <w:footnote w:type="continuationSeparator" w:id="0">
    <w:p w14:paraId="199779DB" w14:textId="77777777" w:rsidR="0073716A" w:rsidRDefault="0073716A" w:rsidP="007779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4D9"/>
    <w:multiLevelType w:val="hybridMultilevel"/>
    <w:tmpl w:val="AAB46B20"/>
    <w:lvl w:ilvl="0" w:tplc="C5C00E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D90B9B"/>
    <w:multiLevelType w:val="hybridMultilevel"/>
    <w:tmpl w:val="67803862"/>
    <w:lvl w:ilvl="0" w:tplc="0C882E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2C3E02"/>
    <w:multiLevelType w:val="hybridMultilevel"/>
    <w:tmpl w:val="A8F0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1F2409"/>
    <w:multiLevelType w:val="hybridMultilevel"/>
    <w:tmpl w:val="4FDC22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D71"/>
    <w:rsid w:val="00005F97"/>
    <w:rsid w:val="0001011B"/>
    <w:rsid w:val="00013F8F"/>
    <w:rsid w:val="00014580"/>
    <w:rsid w:val="000145B7"/>
    <w:rsid w:val="00021228"/>
    <w:rsid w:val="00027D7D"/>
    <w:rsid w:val="00031CEF"/>
    <w:rsid w:val="00040091"/>
    <w:rsid w:val="00041318"/>
    <w:rsid w:val="00042107"/>
    <w:rsid w:val="00043D12"/>
    <w:rsid w:val="000440B1"/>
    <w:rsid w:val="00044379"/>
    <w:rsid w:val="00046780"/>
    <w:rsid w:val="00050E81"/>
    <w:rsid w:val="00056562"/>
    <w:rsid w:val="0005786C"/>
    <w:rsid w:val="000605A0"/>
    <w:rsid w:val="000612BB"/>
    <w:rsid w:val="00062F31"/>
    <w:rsid w:val="00066C9B"/>
    <w:rsid w:val="00071668"/>
    <w:rsid w:val="000748C3"/>
    <w:rsid w:val="00075154"/>
    <w:rsid w:val="000753B1"/>
    <w:rsid w:val="0008118C"/>
    <w:rsid w:val="00082708"/>
    <w:rsid w:val="00082ED0"/>
    <w:rsid w:val="00084429"/>
    <w:rsid w:val="00090CEA"/>
    <w:rsid w:val="00091B73"/>
    <w:rsid w:val="000921A8"/>
    <w:rsid w:val="000959D3"/>
    <w:rsid w:val="000A0B05"/>
    <w:rsid w:val="000A206E"/>
    <w:rsid w:val="000A4513"/>
    <w:rsid w:val="000A5212"/>
    <w:rsid w:val="000A6BEA"/>
    <w:rsid w:val="000A6FB6"/>
    <w:rsid w:val="000B012F"/>
    <w:rsid w:val="000B5319"/>
    <w:rsid w:val="000B7719"/>
    <w:rsid w:val="000C05C7"/>
    <w:rsid w:val="000C10D5"/>
    <w:rsid w:val="000C3E70"/>
    <w:rsid w:val="000C6570"/>
    <w:rsid w:val="000C663D"/>
    <w:rsid w:val="000C6775"/>
    <w:rsid w:val="000C7A03"/>
    <w:rsid w:val="000D04A5"/>
    <w:rsid w:val="000D1E80"/>
    <w:rsid w:val="000D33C3"/>
    <w:rsid w:val="000D4460"/>
    <w:rsid w:val="000D5581"/>
    <w:rsid w:val="000D7533"/>
    <w:rsid w:val="000E2853"/>
    <w:rsid w:val="000E57AA"/>
    <w:rsid w:val="000F1B77"/>
    <w:rsid w:val="000F582E"/>
    <w:rsid w:val="000F7F63"/>
    <w:rsid w:val="001021A1"/>
    <w:rsid w:val="0010588C"/>
    <w:rsid w:val="00107D2B"/>
    <w:rsid w:val="00110337"/>
    <w:rsid w:val="00111B35"/>
    <w:rsid w:val="00117AC9"/>
    <w:rsid w:val="0012171A"/>
    <w:rsid w:val="001235F8"/>
    <w:rsid w:val="0012427A"/>
    <w:rsid w:val="00125E2F"/>
    <w:rsid w:val="00133248"/>
    <w:rsid w:val="00137C6F"/>
    <w:rsid w:val="00140B19"/>
    <w:rsid w:val="0014781A"/>
    <w:rsid w:val="00151AF8"/>
    <w:rsid w:val="00151E62"/>
    <w:rsid w:val="001520D1"/>
    <w:rsid w:val="0015541E"/>
    <w:rsid w:val="00155D5C"/>
    <w:rsid w:val="00156DBA"/>
    <w:rsid w:val="00161728"/>
    <w:rsid w:val="00164083"/>
    <w:rsid w:val="00165FF3"/>
    <w:rsid w:val="00166D33"/>
    <w:rsid w:val="0017306A"/>
    <w:rsid w:val="00175351"/>
    <w:rsid w:val="0017706F"/>
    <w:rsid w:val="001806AE"/>
    <w:rsid w:val="00183578"/>
    <w:rsid w:val="001873D4"/>
    <w:rsid w:val="0018780F"/>
    <w:rsid w:val="00187C5F"/>
    <w:rsid w:val="001903BE"/>
    <w:rsid w:val="00191611"/>
    <w:rsid w:val="00191C5D"/>
    <w:rsid w:val="00197EB4"/>
    <w:rsid w:val="001A14C5"/>
    <w:rsid w:val="001A153C"/>
    <w:rsid w:val="001A4A5F"/>
    <w:rsid w:val="001A58A5"/>
    <w:rsid w:val="001A64A8"/>
    <w:rsid w:val="001B1B4C"/>
    <w:rsid w:val="001B2308"/>
    <w:rsid w:val="001B5A6D"/>
    <w:rsid w:val="001C19C9"/>
    <w:rsid w:val="001C4D24"/>
    <w:rsid w:val="001C5311"/>
    <w:rsid w:val="001D1DFB"/>
    <w:rsid w:val="001D5EDA"/>
    <w:rsid w:val="001E12DA"/>
    <w:rsid w:val="001E646B"/>
    <w:rsid w:val="001E6D93"/>
    <w:rsid w:val="001E6F8F"/>
    <w:rsid w:val="001E77B7"/>
    <w:rsid w:val="001E7C45"/>
    <w:rsid w:val="001F4FFB"/>
    <w:rsid w:val="001F74EB"/>
    <w:rsid w:val="0020104B"/>
    <w:rsid w:val="00201167"/>
    <w:rsid w:val="00201948"/>
    <w:rsid w:val="00210F47"/>
    <w:rsid w:val="002110EB"/>
    <w:rsid w:val="0021229B"/>
    <w:rsid w:val="002141DF"/>
    <w:rsid w:val="00216F43"/>
    <w:rsid w:val="00217163"/>
    <w:rsid w:val="00220DD3"/>
    <w:rsid w:val="00222C29"/>
    <w:rsid w:val="002300A4"/>
    <w:rsid w:val="002319D6"/>
    <w:rsid w:val="00233013"/>
    <w:rsid w:val="00233D82"/>
    <w:rsid w:val="00234FB5"/>
    <w:rsid w:val="00236B87"/>
    <w:rsid w:val="00240C6F"/>
    <w:rsid w:val="00244999"/>
    <w:rsid w:val="00244F9E"/>
    <w:rsid w:val="00245BE1"/>
    <w:rsid w:val="002465A5"/>
    <w:rsid w:val="00250C75"/>
    <w:rsid w:val="002524EB"/>
    <w:rsid w:val="002533AD"/>
    <w:rsid w:val="00256A4B"/>
    <w:rsid w:val="002570DF"/>
    <w:rsid w:val="00257EB6"/>
    <w:rsid w:val="002604C0"/>
    <w:rsid w:val="0026233F"/>
    <w:rsid w:val="00264291"/>
    <w:rsid w:val="0027070B"/>
    <w:rsid w:val="00271514"/>
    <w:rsid w:val="0027494B"/>
    <w:rsid w:val="0028016D"/>
    <w:rsid w:val="00280906"/>
    <w:rsid w:val="00284C03"/>
    <w:rsid w:val="00290C02"/>
    <w:rsid w:val="00290E7E"/>
    <w:rsid w:val="0029152F"/>
    <w:rsid w:val="00292212"/>
    <w:rsid w:val="002953F7"/>
    <w:rsid w:val="002A061E"/>
    <w:rsid w:val="002A11A2"/>
    <w:rsid w:val="002A1439"/>
    <w:rsid w:val="002A1F3A"/>
    <w:rsid w:val="002A3C6E"/>
    <w:rsid w:val="002A7BC3"/>
    <w:rsid w:val="002B5972"/>
    <w:rsid w:val="002C18B0"/>
    <w:rsid w:val="002C4698"/>
    <w:rsid w:val="002C5390"/>
    <w:rsid w:val="002C5D05"/>
    <w:rsid w:val="002C6C44"/>
    <w:rsid w:val="002C6FCD"/>
    <w:rsid w:val="002D16DA"/>
    <w:rsid w:val="002D24FB"/>
    <w:rsid w:val="002D334D"/>
    <w:rsid w:val="002D426E"/>
    <w:rsid w:val="002D50A9"/>
    <w:rsid w:val="002D5FF5"/>
    <w:rsid w:val="002E051D"/>
    <w:rsid w:val="002E1821"/>
    <w:rsid w:val="002E3538"/>
    <w:rsid w:val="002E3FEC"/>
    <w:rsid w:val="002E4D15"/>
    <w:rsid w:val="002E66F9"/>
    <w:rsid w:val="002F1DA5"/>
    <w:rsid w:val="002F6464"/>
    <w:rsid w:val="002F6FA1"/>
    <w:rsid w:val="003025E7"/>
    <w:rsid w:val="003049AF"/>
    <w:rsid w:val="0031158B"/>
    <w:rsid w:val="003129F9"/>
    <w:rsid w:val="00313E20"/>
    <w:rsid w:val="00313FE4"/>
    <w:rsid w:val="00316983"/>
    <w:rsid w:val="003172DC"/>
    <w:rsid w:val="00321082"/>
    <w:rsid w:val="00327F69"/>
    <w:rsid w:val="003322C7"/>
    <w:rsid w:val="00333F3D"/>
    <w:rsid w:val="003342B1"/>
    <w:rsid w:val="003348CB"/>
    <w:rsid w:val="0033574B"/>
    <w:rsid w:val="003407CF"/>
    <w:rsid w:val="00340A22"/>
    <w:rsid w:val="00342051"/>
    <w:rsid w:val="00342377"/>
    <w:rsid w:val="00344114"/>
    <w:rsid w:val="003459B0"/>
    <w:rsid w:val="00345F3B"/>
    <w:rsid w:val="00346D53"/>
    <w:rsid w:val="00347567"/>
    <w:rsid w:val="0035456F"/>
    <w:rsid w:val="00354844"/>
    <w:rsid w:val="00356898"/>
    <w:rsid w:val="00356913"/>
    <w:rsid w:val="003605C2"/>
    <w:rsid w:val="00361E70"/>
    <w:rsid w:val="00363126"/>
    <w:rsid w:val="00366F9F"/>
    <w:rsid w:val="00371B08"/>
    <w:rsid w:val="003741E7"/>
    <w:rsid w:val="00374438"/>
    <w:rsid w:val="00377334"/>
    <w:rsid w:val="00382659"/>
    <w:rsid w:val="00382D53"/>
    <w:rsid w:val="00382E11"/>
    <w:rsid w:val="003851A8"/>
    <w:rsid w:val="00385779"/>
    <w:rsid w:val="0039132F"/>
    <w:rsid w:val="0039257B"/>
    <w:rsid w:val="003A04A5"/>
    <w:rsid w:val="003A07BB"/>
    <w:rsid w:val="003A2172"/>
    <w:rsid w:val="003A2ECB"/>
    <w:rsid w:val="003A316B"/>
    <w:rsid w:val="003A4DA6"/>
    <w:rsid w:val="003B2827"/>
    <w:rsid w:val="003B48DC"/>
    <w:rsid w:val="003B715E"/>
    <w:rsid w:val="003C0F5E"/>
    <w:rsid w:val="003C2E7C"/>
    <w:rsid w:val="003C5C5C"/>
    <w:rsid w:val="003C6948"/>
    <w:rsid w:val="003D289B"/>
    <w:rsid w:val="003D64A1"/>
    <w:rsid w:val="003D7DE6"/>
    <w:rsid w:val="003E394C"/>
    <w:rsid w:val="003E4B09"/>
    <w:rsid w:val="003E4D77"/>
    <w:rsid w:val="003F0A27"/>
    <w:rsid w:val="003F37F5"/>
    <w:rsid w:val="003F3BF7"/>
    <w:rsid w:val="004023C1"/>
    <w:rsid w:val="004046EA"/>
    <w:rsid w:val="0040632B"/>
    <w:rsid w:val="004073C5"/>
    <w:rsid w:val="00411A9A"/>
    <w:rsid w:val="00417D06"/>
    <w:rsid w:val="00417D67"/>
    <w:rsid w:val="00420C67"/>
    <w:rsid w:val="004213C6"/>
    <w:rsid w:val="00421DCB"/>
    <w:rsid w:val="004246C7"/>
    <w:rsid w:val="00424FB6"/>
    <w:rsid w:val="00425651"/>
    <w:rsid w:val="00425FA7"/>
    <w:rsid w:val="004324CD"/>
    <w:rsid w:val="00434016"/>
    <w:rsid w:val="0043588E"/>
    <w:rsid w:val="00435AF1"/>
    <w:rsid w:val="00436008"/>
    <w:rsid w:val="004370D9"/>
    <w:rsid w:val="00444457"/>
    <w:rsid w:val="00455B8C"/>
    <w:rsid w:val="00457F6D"/>
    <w:rsid w:val="00460A71"/>
    <w:rsid w:val="00461646"/>
    <w:rsid w:val="0046438C"/>
    <w:rsid w:val="004718ED"/>
    <w:rsid w:val="00473FBA"/>
    <w:rsid w:val="00474B14"/>
    <w:rsid w:val="00476D75"/>
    <w:rsid w:val="004776B8"/>
    <w:rsid w:val="00482E88"/>
    <w:rsid w:val="004832F2"/>
    <w:rsid w:val="004841FB"/>
    <w:rsid w:val="004857BA"/>
    <w:rsid w:val="00487FD1"/>
    <w:rsid w:val="00490CFE"/>
    <w:rsid w:val="00490ECA"/>
    <w:rsid w:val="00491E2D"/>
    <w:rsid w:val="00491F71"/>
    <w:rsid w:val="00491F9C"/>
    <w:rsid w:val="0049321B"/>
    <w:rsid w:val="00494AF0"/>
    <w:rsid w:val="00497A67"/>
    <w:rsid w:val="004A08AD"/>
    <w:rsid w:val="004A2AE6"/>
    <w:rsid w:val="004A5588"/>
    <w:rsid w:val="004B4E10"/>
    <w:rsid w:val="004B7779"/>
    <w:rsid w:val="004C0FED"/>
    <w:rsid w:val="004C3CA0"/>
    <w:rsid w:val="004C7F17"/>
    <w:rsid w:val="004D0526"/>
    <w:rsid w:val="004D0B50"/>
    <w:rsid w:val="004D3D5D"/>
    <w:rsid w:val="004D4570"/>
    <w:rsid w:val="004E2665"/>
    <w:rsid w:val="004E4691"/>
    <w:rsid w:val="004E7F31"/>
    <w:rsid w:val="004F441A"/>
    <w:rsid w:val="004F5B94"/>
    <w:rsid w:val="00500049"/>
    <w:rsid w:val="00500ECA"/>
    <w:rsid w:val="00501A70"/>
    <w:rsid w:val="005027AA"/>
    <w:rsid w:val="00505001"/>
    <w:rsid w:val="00506371"/>
    <w:rsid w:val="00506DCB"/>
    <w:rsid w:val="0050792E"/>
    <w:rsid w:val="00510B86"/>
    <w:rsid w:val="00512187"/>
    <w:rsid w:val="00513A76"/>
    <w:rsid w:val="00513C7F"/>
    <w:rsid w:val="005162F9"/>
    <w:rsid w:val="00520354"/>
    <w:rsid w:val="0052115A"/>
    <w:rsid w:val="0052282E"/>
    <w:rsid w:val="00525239"/>
    <w:rsid w:val="005332ED"/>
    <w:rsid w:val="005342F3"/>
    <w:rsid w:val="00536FFD"/>
    <w:rsid w:val="005456B6"/>
    <w:rsid w:val="0055022F"/>
    <w:rsid w:val="005517E9"/>
    <w:rsid w:val="00553F63"/>
    <w:rsid w:val="005551DA"/>
    <w:rsid w:val="0055581F"/>
    <w:rsid w:val="005622A2"/>
    <w:rsid w:val="00562BCB"/>
    <w:rsid w:val="00565270"/>
    <w:rsid w:val="00567A6B"/>
    <w:rsid w:val="00570DAB"/>
    <w:rsid w:val="00574838"/>
    <w:rsid w:val="0057555D"/>
    <w:rsid w:val="0057616C"/>
    <w:rsid w:val="00580B65"/>
    <w:rsid w:val="00581E2A"/>
    <w:rsid w:val="00584247"/>
    <w:rsid w:val="005869BA"/>
    <w:rsid w:val="0058715F"/>
    <w:rsid w:val="00591E8E"/>
    <w:rsid w:val="00595053"/>
    <w:rsid w:val="00596B3B"/>
    <w:rsid w:val="00597CDF"/>
    <w:rsid w:val="005A01AF"/>
    <w:rsid w:val="005A0283"/>
    <w:rsid w:val="005A0347"/>
    <w:rsid w:val="005A04D0"/>
    <w:rsid w:val="005A239D"/>
    <w:rsid w:val="005A2957"/>
    <w:rsid w:val="005A4B45"/>
    <w:rsid w:val="005B0EA8"/>
    <w:rsid w:val="005B2877"/>
    <w:rsid w:val="005B2E24"/>
    <w:rsid w:val="005B5AA3"/>
    <w:rsid w:val="005B5D1E"/>
    <w:rsid w:val="005B699E"/>
    <w:rsid w:val="005C07C4"/>
    <w:rsid w:val="005C0CE7"/>
    <w:rsid w:val="005C116D"/>
    <w:rsid w:val="005C4023"/>
    <w:rsid w:val="005C4765"/>
    <w:rsid w:val="005D078C"/>
    <w:rsid w:val="005D0A1C"/>
    <w:rsid w:val="005D4B1F"/>
    <w:rsid w:val="005D53A7"/>
    <w:rsid w:val="005D6262"/>
    <w:rsid w:val="005D73F2"/>
    <w:rsid w:val="005E1AB6"/>
    <w:rsid w:val="005E2BB1"/>
    <w:rsid w:val="005E4F34"/>
    <w:rsid w:val="005F08CD"/>
    <w:rsid w:val="005F2F02"/>
    <w:rsid w:val="005F3979"/>
    <w:rsid w:val="005F4526"/>
    <w:rsid w:val="005F5363"/>
    <w:rsid w:val="005F67C6"/>
    <w:rsid w:val="005F6BF5"/>
    <w:rsid w:val="005F7107"/>
    <w:rsid w:val="005F7D5C"/>
    <w:rsid w:val="005F7EA2"/>
    <w:rsid w:val="00600421"/>
    <w:rsid w:val="00602995"/>
    <w:rsid w:val="006054E4"/>
    <w:rsid w:val="00611E6D"/>
    <w:rsid w:val="00612312"/>
    <w:rsid w:val="00615C8D"/>
    <w:rsid w:val="006215F8"/>
    <w:rsid w:val="00622861"/>
    <w:rsid w:val="00625BAD"/>
    <w:rsid w:val="0063037A"/>
    <w:rsid w:val="00631051"/>
    <w:rsid w:val="00631C66"/>
    <w:rsid w:val="00633BC4"/>
    <w:rsid w:val="00637C55"/>
    <w:rsid w:val="006415FC"/>
    <w:rsid w:val="00642852"/>
    <w:rsid w:val="006453BF"/>
    <w:rsid w:val="0065043E"/>
    <w:rsid w:val="006565E5"/>
    <w:rsid w:val="00657A57"/>
    <w:rsid w:val="00662CB4"/>
    <w:rsid w:val="00663061"/>
    <w:rsid w:val="0066504C"/>
    <w:rsid w:val="00666BE5"/>
    <w:rsid w:val="00670749"/>
    <w:rsid w:val="006739E6"/>
    <w:rsid w:val="0067484F"/>
    <w:rsid w:val="00677030"/>
    <w:rsid w:val="006808EF"/>
    <w:rsid w:val="00691EA0"/>
    <w:rsid w:val="006921DF"/>
    <w:rsid w:val="0069482C"/>
    <w:rsid w:val="006A1AD6"/>
    <w:rsid w:val="006A2007"/>
    <w:rsid w:val="006A4658"/>
    <w:rsid w:val="006B06ED"/>
    <w:rsid w:val="006B17FA"/>
    <w:rsid w:val="006B1BF9"/>
    <w:rsid w:val="006B4243"/>
    <w:rsid w:val="006B5BD9"/>
    <w:rsid w:val="006B62B9"/>
    <w:rsid w:val="006B764D"/>
    <w:rsid w:val="006C06D2"/>
    <w:rsid w:val="006C2393"/>
    <w:rsid w:val="006C265C"/>
    <w:rsid w:val="006C3A40"/>
    <w:rsid w:val="006C423D"/>
    <w:rsid w:val="006C5D51"/>
    <w:rsid w:val="006C6A67"/>
    <w:rsid w:val="006D16AD"/>
    <w:rsid w:val="006D2916"/>
    <w:rsid w:val="006D5E86"/>
    <w:rsid w:val="006E1B78"/>
    <w:rsid w:val="006E1C8C"/>
    <w:rsid w:val="006E6AB8"/>
    <w:rsid w:val="006E6D84"/>
    <w:rsid w:val="006E7F10"/>
    <w:rsid w:val="006F00DC"/>
    <w:rsid w:val="006F17F7"/>
    <w:rsid w:val="006F1AA6"/>
    <w:rsid w:val="006F4765"/>
    <w:rsid w:val="006F5823"/>
    <w:rsid w:val="006F6F8F"/>
    <w:rsid w:val="006F729B"/>
    <w:rsid w:val="00700639"/>
    <w:rsid w:val="0070085E"/>
    <w:rsid w:val="00701929"/>
    <w:rsid w:val="00703BD2"/>
    <w:rsid w:val="00707671"/>
    <w:rsid w:val="00711AA7"/>
    <w:rsid w:val="007129CB"/>
    <w:rsid w:val="00713880"/>
    <w:rsid w:val="007161F2"/>
    <w:rsid w:val="007177A1"/>
    <w:rsid w:val="00727A1D"/>
    <w:rsid w:val="007303EB"/>
    <w:rsid w:val="007308F6"/>
    <w:rsid w:val="00730B98"/>
    <w:rsid w:val="00734134"/>
    <w:rsid w:val="00736F60"/>
    <w:rsid w:val="0073716A"/>
    <w:rsid w:val="007372D9"/>
    <w:rsid w:val="00737760"/>
    <w:rsid w:val="007427C2"/>
    <w:rsid w:val="00742CC4"/>
    <w:rsid w:val="00747269"/>
    <w:rsid w:val="00753F29"/>
    <w:rsid w:val="0075444D"/>
    <w:rsid w:val="00756F01"/>
    <w:rsid w:val="00761372"/>
    <w:rsid w:val="00762F51"/>
    <w:rsid w:val="00763DE4"/>
    <w:rsid w:val="007656F9"/>
    <w:rsid w:val="007723FF"/>
    <w:rsid w:val="00772C7E"/>
    <w:rsid w:val="00774557"/>
    <w:rsid w:val="0077477D"/>
    <w:rsid w:val="007750A7"/>
    <w:rsid w:val="007768DA"/>
    <w:rsid w:val="007779E0"/>
    <w:rsid w:val="007833F4"/>
    <w:rsid w:val="007848C6"/>
    <w:rsid w:val="007856F9"/>
    <w:rsid w:val="00785919"/>
    <w:rsid w:val="00785E20"/>
    <w:rsid w:val="007902FA"/>
    <w:rsid w:val="0079056D"/>
    <w:rsid w:val="00790598"/>
    <w:rsid w:val="007950E5"/>
    <w:rsid w:val="007A3369"/>
    <w:rsid w:val="007A35CB"/>
    <w:rsid w:val="007A410C"/>
    <w:rsid w:val="007A61B4"/>
    <w:rsid w:val="007A6C72"/>
    <w:rsid w:val="007B081D"/>
    <w:rsid w:val="007B1969"/>
    <w:rsid w:val="007B3498"/>
    <w:rsid w:val="007B6B2A"/>
    <w:rsid w:val="007B7A51"/>
    <w:rsid w:val="007C26AB"/>
    <w:rsid w:val="007C405F"/>
    <w:rsid w:val="007D1D93"/>
    <w:rsid w:val="007D4817"/>
    <w:rsid w:val="007D69B0"/>
    <w:rsid w:val="007E0717"/>
    <w:rsid w:val="007E3C07"/>
    <w:rsid w:val="007E669C"/>
    <w:rsid w:val="007F06CE"/>
    <w:rsid w:val="007F1D9A"/>
    <w:rsid w:val="007F3CEE"/>
    <w:rsid w:val="00805B2B"/>
    <w:rsid w:val="00810273"/>
    <w:rsid w:val="008141DC"/>
    <w:rsid w:val="00816385"/>
    <w:rsid w:val="008213FC"/>
    <w:rsid w:val="00821F03"/>
    <w:rsid w:val="00822B5E"/>
    <w:rsid w:val="00825576"/>
    <w:rsid w:val="00826634"/>
    <w:rsid w:val="008267C2"/>
    <w:rsid w:val="008268E8"/>
    <w:rsid w:val="00834ED1"/>
    <w:rsid w:val="00835DA4"/>
    <w:rsid w:val="00836EA0"/>
    <w:rsid w:val="008377E7"/>
    <w:rsid w:val="00840DCD"/>
    <w:rsid w:val="008437AF"/>
    <w:rsid w:val="00843A5F"/>
    <w:rsid w:val="00845798"/>
    <w:rsid w:val="0085130C"/>
    <w:rsid w:val="008567F1"/>
    <w:rsid w:val="00856AC2"/>
    <w:rsid w:val="00865708"/>
    <w:rsid w:val="00866693"/>
    <w:rsid w:val="00870F4A"/>
    <w:rsid w:val="0087286F"/>
    <w:rsid w:val="00874CD9"/>
    <w:rsid w:val="00880167"/>
    <w:rsid w:val="008837CF"/>
    <w:rsid w:val="00884AB7"/>
    <w:rsid w:val="008917D7"/>
    <w:rsid w:val="00892763"/>
    <w:rsid w:val="0089493C"/>
    <w:rsid w:val="00895757"/>
    <w:rsid w:val="008A1C4D"/>
    <w:rsid w:val="008A3E50"/>
    <w:rsid w:val="008A4F8C"/>
    <w:rsid w:val="008A54ED"/>
    <w:rsid w:val="008A5710"/>
    <w:rsid w:val="008B68D4"/>
    <w:rsid w:val="008C32CF"/>
    <w:rsid w:val="008C33EF"/>
    <w:rsid w:val="008D368A"/>
    <w:rsid w:val="008D478B"/>
    <w:rsid w:val="008D6C22"/>
    <w:rsid w:val="008E0D80"/>
    <w:rsid w:val="008E1ECC"/>
    <w:rsid w:val="008E24BF"/>
    <w:rsid w:val="008E2E83"/>
    <w:rsid w:val="008E3B1C"/>
    <w:rsid w:val="008E7E6C"/>
    <w:rsid w:val="008F15ED"/>
    <w:rsid w:val="008F3453"/>
    <w:rsid w:val="0090002E"/>
    <w:rsid w:val="00900681"/>
    <w:rsid w:val="0090116B"/>
    <w:rsid w:val="009024BA"/>
    <w:rsid w:val="0090471C"/>
    <w:rsid w:val="009067FF"/>
    <w:rsid w:val="00910BDC"/>
    <w:rsid w:val="00913CEB"/>
    <w:rsid w:val="0091409A"/>
    <w:rsid w:val="00915A55"/>
    <w:rsid w:val="009205FD"/>
    <w:rsid w:val="009237FD"/>
    <w:rsid w:val="00924D28"/>
    <w:rsid w:val="0092530E"/>
    <w:rsid w:val="00925623"/>
    <w:rsid w:val="00930C75"/>
    <w:rsid w:val="00931A28"/>
    <w:rsid w:val="00933A9E"/>
    <w:rsid w:val="009347E7"/>
    <w:rsid w:val="00940D68"/>
    <w:rsid w:val="0094157D"/>
    <w:rsid w:val="00945EDC"/>
    <w:rsid w:val="009552F8"/>
    <w:rsid w:val="0096009A"/>
    <w:rsid w:val="00960959"/>
    <w:rsid w:val="00961A4B"/>
    <w:rsid w:val="009632F5"/>
    <w:rsid w:val="00966C9F"/>
    <w:rsid w:val="00967608"/>
    <w:rsid w:val="0096787A"/>
    <w:rsid w:val="0097063A"/>
    <w:rsid w:val="00972988"/>
    <w:rsid w:val="0097761C"/>
    <w:rsid w:val="009803D5"/>
    <w:rsid w:val="00990973"/>
    <w:rsid w:val="009909C3"/>
    <w:rsid w:val="0099146D"/>
    <w:rsid w:val="009918A2"/>
    <w:rsid w:val="009935DF"/>
    <w:rsid w:val="009941EA"/>
    <w:rsid w:val="00994411"/>
    <w:rsid w:val="00995964"/>
    <w:rsid w:val="00995D21"/>
    <w:rsid w:val="00996151"/>
    <w:rsid w:val="009A2A38"/>
    <w:rsid w:val="009A52A5"/>
    <w:rsid w:val="009A6F31"/>
    <w:rsid w:val="009A73CE"/>
    <w:rsid w:val="009A751C"/>
    <w:rsid w:val="009B502C"/>
    <w:rsid w:val="009B7B6F"/>
    <w:rsid w:val="009C09D4"/>
    <w:rsid w:val="009C1A2E"/>
    <w:rsid w:val="009C2B68"/>
    <w:rsid w:val="009C305E"/>
    <w:rsid w:val="009C60F5"/>
    <w:rsid w:val="009C7026"/>
    <w:rsid w:val="009D2716"/>
    <w:rsid w:val="009D3B70"/>
    <w:rsid w:val="009D5F90"/>
    <w:rsid w:val="009D5FD1"/>
    <w:rsid w:val="009D7F67"/>
    <w:rsid w:val="009E046B"/>
    <w:rsid w:val="009E0D73"/>
    <w:rsid w:val="009E1E08"/>
    <w:rsid w:val="009E7804"/>
    <w:rsid w:val="009F1A58"/>
    <w:rsid w:val="009F34E5"/>
    <w:rsid w:val="009F3729"/>
    <w:rsid w:val="009F67C9"/>
    <w:rsid w:val="00A01624"/>
    <w:rsid w:val="00A017A1"/>
    <w:rsid w:val="00A03373"/>
    <w:rsid w:val="00A04E9D"/>
    <w:rsid w:val="00A128B1"/>
    <w:rsid w:val="00A17404"/>
    <w:rsid w:val="00A21863"/>
    <w:rsid w:val="00A21D71"/>
    <w:rsid w:val="00A23F0C"/>
    <w:rsid w:val="00A2550B"/>
    <w:rsid w:val="00A259A7"/>
    <w:rsid w:val="00A30A7B"/>
    <w:rsid w:val="00A3237F"/>
    <w:rsid w:val="00A32B17"/>
    <w:rsid w:val="00A33FAC"/>
    <w:rsid w:val="00A33FC7"/>
    <w:rsid w:val="00A3620A"/>
    <w:rsid w:val="00A41214"/>
    <w:rsid w:val="00A42409"/>
    <w:rsid w:val="00A43C41"/>
    <w:rsid w:val="00A43C6F"/>
    <w:rsid w:val="00A517E3"/>
    <w:rsid w:val="00A547C7"/>
    <w:rsid w:val="00A54D0D"/>
    <w:rsid w:val="00A56D22"/>
    <w:rsid w:val="00A57CEC"/>
    <w:rsid w:val="00A57EDD"/>
    <w:rsid w:val="00A6191C"/>
    <w:rsid w:val="00A6242D"/>
    <w:rsid w:val="00A64977"/>
    <w:rsid w:val="00A6550C"/>
    <w:rsid w:val="00A66FF9"/>
    <w:rsid w:val="00A676EC"/>
    <w:rsid w:val="00A70281"/>
    <w:rsid w:val="00A70D96"/>
    <w:rsid w:val="00A73EBD"/>
    <w:rsid w:val="00A81973"/>
    <w:rsid w:val="00AA1EAD"/>
    <w:rsid w:val="00AA207B"/>
    <w:rsid w:val="00AA2179"/>
    <w:rsid w:val="00AB30EE"/>
    <w:rsid w:val="00AB3C7E"/>
    <w:rsid w:val="00AB3DF7"/>
    <w:rsid w:val="00AC170C"/>
    <w:rsid w:val="00AC6791"/>
    <w:rsid w:val="00AD02BC"/>
    <w:rsid w:val="00AD5657"/>
    <w:rsid w:val="00AD5EB5"/>
    <w:rsid w:val="00AE07FE"/>
    <w:rsid w:val="00AE45C2"/>
    <w:rsid w:val="00AE6FC6"/>
    <w:rsid w:val="00AF019C"/>
    <w:rsid w:val="00AF0448"/>
    <w:rsid w:val="00AF470D"/>
    <w:rsid w:val="00AF4EEB"/>
    <w:rsid w:val="00B033FB"/>
    <w:rsid w:val="00B03AEB"/>
    <w:rsid w:val="00B041B7"/>
    <w:rsid w:val="00B0473A"/>
    <w:rsid w:val="00B04A53"/>
    <w:rsid w:val="00B04AEC"/>
    <w:rsid w:val="00B05224"/>
    <w:rsid w:val="00B0744C"/>
    <w:rsid w:val="00B079CD"/>
    <w:rsid w:val="00B1092B"/>
    <w:rsid w:val="00B109D7"/>
    <w:rsid w:val="00B10B8C"/>
    <w:rsid w:val="00B200F9"/>
    <w:rsid w:val="00B21C5A"/>
    <w:rsid w:val="00B22962"/>
    <w:rsid w:val="00B23E10"/>
    <w:rsid w:val="00B264F3"/>
    <w:rsid w:val="00B30D9E"/>
    <w:rsid w:val="00B32978"/>
    <w:rsid w:val="00B35742"/>
    <w:rsid w:val="00B41DFE"/>
    <w:rsid w:val="00B42748"/>
    <w:rsid w:val="00B47822"/>
    <w:rsid w:val="00B47C70"/>
    <w:rsid w:val="00B47F94"/>
    <w:rsid w:val="00B5037A"/>
    <w:rsid w:val="00B51D9F"/>
    <w:rsid w:val="00B522B1"/>
    <w:rsid w:val="00B542E5"/>
    <w:rsid w:val="00B54B17"/>
    <w:rsid w:val="00B5618A"/>
    <w:rsid w:val="00B56B50"/>
    <w:rsid w:val="00B57AE4"/>
    <w:rsid w:val="00B60FF1"/>
    <w:rsid w:val="00B6186C"/>
    <w:rsid w:val="00B633F4"/>
    <w:rsid w:val="00B63965"/>
    <w:rsid w:val="00B65F8E"/>
    <w:rsid w:val="00B73608"/>
    <w:rsid w:val="00B73684"/>
    <w:rsid w:val="00B73C5E"/>
    <w:rsid w:val="00B74098"/>
    <w:rsid w:val="00B770D0"/>
    <w:rsid w:val="00B8081C"/>
    <w:rsid w:val="00B82A26"/>
    <w:rsid w:val="00B837B7"/>
    <w:rsid w:val="00B84D44"/>
    <w:rsid w:val="00B8577E"/>
    <w:rsid w:val="00B91333"/>
    <w:rsid w:val="00B94B80"/>
    <w:rsid w:val="00B96D3A"/>
    <w:rsid w:val="00B97B33"/>
    <w:rsid w:val="00BA40BB"/>
    <w:rsid w:val="00BB16F4"/>
    <w:rsid w:val="00BB1809"/>
    <w:rsid w:val="00BB360D"/>
    <w:rsid w:val="00BB3B76"/>
    <w:rsid w:val="00BB6A37"/>
    <w:rsid w:val="00BB7A7E"/>
    <w:rsid w:val="00BC0B40"/>
    <w:rsid w:val="00BC12B6"/>
    <w:rsid w:val="00BC15AC"/>
    <w:rsid w:val="00BC4D7B"/>
    <w:rsid w:val="00BC4DFC"/>
    <w:rsid w:val="00BC51D4"/>
    <w:rsid w:val="00BC63E9"/>
    <w:rsid w:val="00BC6E6E"/>
    <w:rsid w:val="00BD2C43"/>
    <w:rsid w:val="00BD50BA"/>
    <w:rsid w:val="00BD79B4"/>
    <w:rsid w:val="00BE23C6"/>
    <w:rsid w:val="00BE3451"/>
    <w:rsid w:val="00BE355F"/>
    <w:rsid w:val="00BE659B"/>
    <w:rsid w:val="00BE7507"/>
    <w:rsid w:val="00BE7FFE"/>
    <w:rsid w:val="00BF0269"/>
    <w:rsid w:val="00BF2294"/>
    <w:rsid w:val="00BF6F7E"/>
    <w:rsid w:val="00C04744"/>
    <w:rsid w:val="00C04CBA"/>
    <w:rsid w:val="00C115A2"/>
    <w:rsid w:val="00C13B92"/>
    <w:rsid w:val="00C14110"/>
    <w:rsid w:val="00C20C71"/>
    <w:rsid w:val="00C2134F"/>
    <w:rsid w:val="00C22D39"/>
    <w:rsid w:val="00C23BE0"/>
    <w:rsid w:val="00C24ED8"/>
    <w:rsid w:val="00C269AA"/>
    <w:rsid w:val="00C27C39"/>
    <w:rsid w:val="00C30A58"/>
    <w:rsid w:val="00C328C5"/>
    <w:rsid w:val="00C34ECE"/>
    <w:rsid w:val="00C46DB8"/>
    <w:rsid w:val="00C4715B"/>
    <w:rsid w:val="00C475D2"/>
    <w:rsid w:val="00C50BA2"/>
    <w:rsid w:val="00C51956"/>
    <w:rsid w:val="00C5569B"/>
    <w:rsid w:val="00C61F29"/>
    <w:rsid w:val="00C638A5"/>
    <w:rsid w:val="00C63B30"/>
    <w:rsid w:val="00C65A24"/>
    <w:rsid w:val="00C6665A"/>
    <w:rsid w:val="00C675DC"/>
    <w:rsid w:val="00C7179C"/>
    <w:rsid w:val="00C71E8D"/>
    <w:rsid w:val="00C763B7"/>
    <w:rsid w:val="00C765AC"/>
    <w:rsid w:val="00C77A81"/>
    <w:rsid w:val="00C8164C"/>
    <w:rsid w:val="00C82493"/>
    <w:rsid w:val="00C82EA6"/>
    <w:rsid w:val="00C900C0"/>
    <w:rsid w:val="00C902BE"/>
    <w:rsid w:val="00C93167"/>
    <w:rsid w:val="00C95BED"/>
    <w:rsid w:val="00C95D4F"/>
    <w:rsid w:val="00C96545"/>
    <w:rsid w:val="00C96E1C"/>
    <w:rsid w:val="00C975CF"/>
    <w:rsid w:val="00CA19D1"/>
    <w:rsid w:val="00CB0B94"/>
    <w:rsid w:val="00CB43FB"/>
    <w:rsid w:val="00CB47FD"/>
    <w:rsid w:val="00CB4F21"/>
    <w:rsid w:val="00CB7090"/>
    <w:rsid w:val="00CB795B"/>
    <w:rsid w:val="00CC27F4"/>
    <w:rsid w:val="00CC3726"/>
    <w:rsid w:val="00CC6133"/>
    <w:rsid w:val="00CC7B31"/>
    <w:rsid w:val="00CD038F"/>
    <w:rsid w:val="00CD1310"/>
    <w:rsid w:val="00CD4F70"/>
    <w:rsid w:val="00CE64C4"/>
    <w:rsid w:val="00CE64DA"/>
    <w:rsid w:val="00CF02C3"/>
    <w:rsid w:val="00CF55AC"/>
    <w:rsid w:val="00CF71AA"/>
    <w:rsid w:val="00D04981"/>
    <w:rsid w:val="00D06AD7"/>
    <w:rsid w:val="00D06CB4"/>
    <w:rsid w:val="00D07940"/>
    <w:rsid w:val="00D12596"/>
    <w:rsid w:val="00D1528A"/>
    <w:rsid w:val="00D166B5"/>
    <w:rsid w:val="00D17C84"/>
    <w:rsid w:val="00D17E03"/>
    <w:rsid w:val="00D20BE4"/>
    <w:rsid w:val="00D24BF7"/>
    <w:rsid w:val="00D305E1"/>
    <w:rsid w:val="00D32D5C"/>
    <w:rsid w:val="00D33DB2"/>
    <w:rsid w:val="00D3662D"/>
    <w:rsid w:val="00D37DC4"/>
    <w:rsid w:val="00D4019B"/>
    <w:rsid w:val="00D41719"/>
    <w:rsid w:val="00D43205"/>
    <w:rsid w:val="00D445B2"/>
    <w:rsid w:val="00D50B29"/>
    <w:rsid w:val="00D53A2D"/>
    <w:rsid w:val="00D53F2F"/>
    <w:rsid w:val="00D61055"/>
    <w:rsid w:val="00D6277B"/>
    <w:rsid w:val="00D638A8"/>
    <w:rsid w:val="00D6468F"/>
    <w:rsid w:val="00D72067"/>
    <w:rsid w:val="00D735BB"/>
    <w:rsid w:val="00D744F3"/>
    <w:rsid w:val="00D7596A"/>
    <w:rsid w:val="00D76055"/>
    <w:rsid w:val="00D819EA"/>
    <w:rsid w:val="00D84AD5"/>
    <w:rsid w:val="00D84F78"/>
    <w:rsid w:val="00D8500C"/>
    <w:rsid w:val="00D852A2"/>
    <w:rsid w:val="00D85E21"/>
    <w:rsid w:val="00D8622D"/>
    <w:rsid w:val="00D96EC4"/>
    <w:rsid w:val="00DA0D34"/>
    <w:rsid w:val="00DA6B49"/>
    <w:rsid w:val="00DB0C7A"/>
    <w:rsid w:val="00DB39A2"/>
    <w:rsid w:val="00DB4AF0"/>
    <w:rsid w:val="00DB75A7"/>
    <w:rsid w:val="00DB7922"/>
    <w:rsid w:val="00DC2221"/>
    <w:rsid w:val="00DC476C"/>
    <w:rsid w:val="00DC492A"/>
    <w:rsid w:val="00DC5B25"/>
    <w:rsid w:val="00DC5BCD"/>
    <w:rsid w:val="00DC716B"/>
    <w:rsid w:val="00DD0659"/>
    <w:rsid w:val="00DD3DC6"/>
    <w:rsid w:val="00DD6D54"/>
    <w:rsid w:val="00DE1583"/>
    <w:rsid w:val="00DE2AC5"/>
    <w:rsid w:val="00DE2B1A"/>
    <w:rsid w:val="00DE2EFA"/>
    <w:rsid w:val="00DE61D0"/>
    <w:rsid w:val="00DE7336"/>
    <w:rsid w:val="00DF0E9B"/>
    <w:rsid w:val="00DF2E5F"/>
    <w:rsid w:val="00DF4B22"/>
    <w:rsid w:val="00DF56F0"/>
    <w:rsid w:val="00DF68A6"/>
    <w:rsid w:val="00DF71DA"/>
    <w:rsid w:val="00E01F96"/>
    <w:rsid w:val="00E036B3"/>
    <w:rsid w:val="00E03EA0"/>
    <w:rsid w:val="00E04A70"/>
    <w:rsid w:val="00E106AF"/>
    <w:rsid w:val="00E11792"/>
    <w:rsid w:val="00E14485"/>
    <w:rsid w:val="00E17F01"/>
    <w:rsid w:val="00E2389D"/>
    <w:rsid w:val="00E27297"/>
    <w:rsid w:val="00E27707"/>
    <w:rsid w:val="00E31D6C"/>
    <w:rsid w:val="00E33EC4"/>
    <w:rsid w:val="00E35C5D"/>
    <w:rsid w:val="00E42D50"/>
    <w:rsid w:val="00E43021"/>
    <w:rsid w:val="00E46054"/>
    <w:rsid w:val="00E460F2"/>
    <w:rsid w:val="00E521AC"/>
    <w:rsid w:val="00E5367A"/>
    <w:rsid w:val="00E54593"/>
    <w:rsid w:val="00E547DD"/>
    <w:rsid w:val="00E616C6"/>
    <w:rsid w:val="00E64628"/>
    <w:rsid w:val="00E6475B"/>
    <w:rsid w:val="00E64BBD"/>
    <w:rsid w:val="00E65D4D"/>
    <w:rsid w:val="00E664A6"/>
    <w:rsid w:val="00E66742"/>
    <w:rsid w:val="00E670B8"/>
    <w:rsid w:val="00E678D2"/>
    <w:rsid w:val="00E7128D"/>
    <w:rsid w:val="00E73CFB"/>
    <w:rsid w:val="00E73FAB"/>
    <w:rsid w:val="00E74343"/>
    <w:rsid w:val="00E8335D"/>
    <w:rsid w:val="00E84310"/>
    <w:rsid w:val="00E854D5"/>
    <w:rsid w:val="00E85653"/>
    <w:rsid w:val="00E859B2"/>
    <w:rsid w:val="00E87693"/>
    <w:rsid w:val="00E94104"/>
    <w:rsid w:val="00E94219"/>
    <w:rsid w:val="00E9426E"/>
    <w:rsid w:val="00E978CB"/>
    <w:rsid w:val="00EA0E92"/>
    <w:rsid w:val="00EA2C8B"/>
    <w:rsid w:val="00EA4B47"/>
    <w:rsid w:val="00EA5E37"/>
    <w:rsid w:val="00EA6278"/>
    <w:rsid w:val="00EA6D1D"/>
    <w:rsid w:val="00EA7A3D"/>
    <w:rsid w:val="00EB272C"/>
    <w:rsid w:val="00EB6F83"/>
    <w:rsid w:val="00EC36CC"/>
    <w:rsid w:val="00ED253C"/>
    <w:rsid w:val="00ED3492"/>
    <w:rsid w:val="00ED553D"/>
    <w:rsid w:val="00EE12C2"/>
    <w:rsid w:val="00EE2344"/>
    <w:rsid w:val="00EE4A82"/>
    <w:rsid w:val="00EE7298"/>
    <w:rsid w:val="00EE7DC1"/>
    <w:rsid w:val="00EF3FD8"/>
    <w:rsid w:val="00EF7622"/>
    <w:rsid w:val="00F016FF"/>
    <w:rsid w:val="00F02CDE"/>
    <w:rsid w:val="00F1339E"/>
    <w:rsid w:val="00F15373"/>
    <w:rsid w:val="00F17F0F"/>
    <w:rsid w:val="00F25B99"/>
    <w:rsid w:val="00F25D4D"/>
    <w:rsid w:val="00F30EEE"/>
    <w:rsid w:val="00F33E02"/>
    <w:rsid w:val="00F33F33"/>
    <w:rsid w:val="00F35D8C"/>
    <w:rsid w:val="00F400FB"/>
    <w:rsid w:val="00F53853"/>
    <w:rsid w:val="00F629FA"/>
    <w:rsid w:val="00F63EF1"/>
    <w:rsid w:val="00F6767B"/>
    <w:rsid w:val="00F70D5B"/>
    <w:rsid w:val="00F71DE4"/>
    <w:rsid w:val="00F774E0"/>
    <w:rsid w:val="00F829FD"/>
    <w:rsid w:val="00F837EC"/>
    <w:rsid w:val="00F9067B"/>
    <w:rsid w:val="00F9267B"/>
    <w:rsid w:val="00F931A1"/>
    <w:rsid w:val="00FA0E49"/>
    <w:rsid w:val="00FA4A78"/>
    <w:rsid w:val="00FA6F38"/>
    <w:rsid w:val="00FB2B9C"/>
    <w:rsid w:val="00FB433F"/>
    <w:rsid w:val="00FB52F5"/>
    <w:rsid w:val="00FC25C8"/>
    <w:rsid w:val="00FC4813"/>
    <w:rsid w:val="00FC4A57"/>
    <w:rsid w:val="00FC644F"/>
    <w:rsid w:val="00FC6DFA"/>
    <w:rsid w:val="00FC726D"/>
    <w:rsid w:val="00FC7B93"/>
    <w:rsid w:val="00FD0540"/>
    <w:rsid w:val="00FD087C"/>
    <w:rsid w:val="00FD0C56"/>
    <w:rsid w:val="00FD3D2F"/>
    <w:rsid w:val="00FE2133"/>
    <w:rsid w:val="00FE2C09"/>
    <w:rsid w:val="00FE46F1"/>
    <w:rsid w:val="00FF3907"/>
    <w:rsid w:val="00FF4942"/>
    <w:rsid w:val="00FF7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13C62"/>
  <w15:docId w15:val="{627A531C-E230-4A13-9FEE-A70B68C3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2A2"/>
    <w:pPr>
      <w:spacing w:after="240" w:line="360" w:lineRule="auto"/>
      <w:jc w:val="both"/>
    </w:pPr>
    <w:rPr>
      <w:sz w:val="24"/>
    </w:rPr>
  </w:style>
  <w:style w:type="paragraph" w:styleId="Heading1">
    <w:name w:val="heading 1"/>
    <w:basedOn w:val="Normal"/>
    <w:next w:val="Normal"/>
    <w:link w:val="Heading1Char"/>
    <w:uiPriority w:val="9"/>
    <w:qFormat/>
    <w:rsid w:val="00C30A58"/>
    <w:pPr>
      <w:keepNext/>
      <w:keepLines/>
      <w:spacing w:before="240" w:line="259" w:lineRule="auto"/>
      <w:jc w:val="left"/>
      <w:outlineLvl w:val="0"/>
    </w:pPr>
    <w:rPr>
      <w:rFonts w:ascii="Calibri" w:eastAsiaTheme="majorEastAsia" w:hAnsi="Calibri" w:cstheme="majorBidi"/>
      <w:b/>
      <w:sz w:val="28"/>
      <w:szCs w:val="32"/>
    </w:rPr>
  </w:style>
  <w:style w:type="paragraph" w:styleId="Heading2">
    <w:name w:val="heading 2"/>
    <w:basedOn w:val="Normal"/>
    <w:next w:val="Normal"/>
    <w:link w:val="Heading2Char"/>
    <w:uiPriority w:val="9"/>
    <w:unhideWhenUsed/>
    <w:qFormat/>
    <w:rsid w:val="000F1B77"/>
    <w:pPr>
      <w:keepNext/>
      <w:keepLines/>
      <w:spacing w:before="40" w:after="0"/>
      <w:outlineLvl w:val="1"/>
    </w:pPr>
    <w:rPr>
      <w:rFonts w:ascii="Calibri" w:eastAsiaTheme="majorEastAsia" w:hAnsi="Calibri" w:cstheme="majorBidi"/>
      <w:b/>
      <w:i/>
      <w:szCs w:val="26"/>
    </w:rPr>
  </w:style>
  <w:style w:type="paragraph" w:styleId="Heading3">
    <w:name w:val="heading 3"/>
    <w:basedOn w:val="Normal"/>
    <w:next w:val="Normal"/>
    <w:link w:val="Heading3Char"/>
    <w:uiPriority w:val="9"/>
    <w:unhideWhenUsed/>
    <w:qFormat/>
    <w:rsid w:val="000F1B77"/>
    <w:pPr>
      <w:keepNext/>
      <w:keepLines/>
      <w:spacing w:before="40" w:after="0"/>
      <w:outlineLvl w:val="2"/>
    </w:pPr>
    <w:rPr>
      <w:rFonts w:ascii="Calibri" w:eastAsiaTheme="majorEastAsia" w:hAnsi="Calibr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A58"/>
    <w:rPr>
      <w:rFonts w:ascii="Calibri" w:eastAsiaTheme="majorEastAsia" w:hAnsi="Calibri" w:cstheme="majorBidi"/>
      <w:b/>
      <w:sz w:val="28"/>
      <w:szCs w:val="32"/>
    </w:rPr>
  </w:style>
  <w:style w:type="paragraph" w:customStyle="1" w:styleId="Style1">
    <w:name w:val="Style1"/>
    <w:basedOn w:val="Normal"/>
    <w:link w:val="Style1Char"/>
    <w:rsid w:val="00420C67"/>
    <w:pPr>
      <w:spacing w:line="259" w:lineRule="auto"/>
      <w:jc w:val="left"/>
    </w:pPr>
  </w:style>
  <w:style w:type="character" w:styleId="Hyperlink">
    <w:name w:val="Hyperlink"/>
    <w:basedOn w:val="DefaultParagraphFont"/>
    <w:uiPriority w:val="99"/>
    <w:unhideWhenUsed/>
    <w:rsid w:val="00420C67"/>
    <w:rPr>
      <w:color w:val="0563C1" w:themeColor="hyperlink"/>
      <w:u w:val="single"/>
    </w:rPr>
  </w:style>
  <w:style w:type="character" w:customStyle="1" w:styleId="Style1Char">
    <w:name w:val="Style1 Char"/>
    <w:basedOn w:val="DefaultParagraphFont"/>
    <w:link w:val="Style1"/>
    <w:rsid w:val="00420C67"/>
    <w:rPr>
      <w:sz w:val="24"/>
    </w:rPr>
  </w:style>
  <w:style w:type="paragraph" w:styleId="Title">
    <w:name w:val="Title"/>
    <w:basedOn w:val="Normal"/>
    <w:next w:val="Normal"/>
    <w:link w:val="TitleChar"/>
    <w:uiPriority w:val="10"/>
    <w:qFormat/>
    <w:rsid w:val="00420C67"/>
    <w:pPr>
      <w:spacing w:after="0" w:line="240" w:lineRule="auto"/>
      <w:contextualSpacing/>
      <w:jc w:val="center"/>
    </w:pPr>
    <w:rPr>
      <w:rFonts w:ascii="Calibri" w:eastAsiaTheme="majorEastAsia" w:hAnsi="Calibri" w:cstheme="majorBidi"/>
      <w:b/>
      <w:spacing w:val="-10"/>
      <w:kern w:val="28"/>
      <w:sz w:val="28"/>
      <w:szCs w:val="56"/>
    </w:rPr>
  </w:style>
  <w:style w:type="character" w:customStyle="1" w:styleId="TitleChar">
    <w:name w:val="Title Char"/>
    <w:basedOn w:val="DefaultParagraphFont"/>
    <w:link w:val="Title"/>
    <w:uiPriority w:val="10"/>
    <w:rsid w:val="00420C67"/>
    <w:rPr>
      <w:rFonts w:ascii="Calibri" w:eastAsiaTheme="majorEastAsia" w:hAnsi="Calibri" w:cstheme="majorBidi"/>
      <w:b/>
      <w:spacing w:val="-10"/>
      <w:kern w:val="28"/>
      <w:sz w:val="28"/>
      <w:szCs w:val="56"/>
    </w:rPr>
  </w:style>
  <w:style w:type="character" w:styleId="LineNumber">
    <w:name w:val="line number"/>
    <w:basedOn w:val="DefaultParagraphFont"/>
    <w:uiPriority w:val="99"/>
    <w:semiHidden/>
    <w:unhideWhenUsed/>
    <w:rsid w:val="00420C67"/>
  </w:style>
  <w:style w:type="character" w:styleId="CommentReference">
    <w:name w:val="annotation reference"/>
    <w:basedOn w:val="DefaultParagraphFont"/>
    <w:uiPriority w:val="99"/>
    <w:semiHidden/>
    <w:unhideWhenUsed/>
    <w:rsid w:val="00DC5B25"/>
    <w:rPr>
      <w:sz w:val="16"/>
      <w:szCs w:val="16"/>
    </w:rPr>
  </w:style>
  <w:style w:type="paragraph" w:styleId="CommentText">
    <w:name w:val="annotation text"/>
    <w:basedOn w:val="Normal"/>
    <w:link w:val="CommentTextChar"/>
    <w:uiPriority w:val="99"/>
    <w:semiHidden/>
    <w:unhideWhenUsed/>
    <w:rsid w:val="00DC5B25"/>
    <w:pPr>
      <w:spacing w:line="240" w:lineRule="auto"/>
    </w:pPr>
    <w:rPr>
      <w:sz w:val="20"/>
      <w:szCs w:val="20"/>
    </w:rPr>
  </w:style>
  <w:style w:type="character" w:customStyle="1" w:styleId="CommentTextChar">
    <w:name w:val="Comment Text Char"/>
    <w:basedOn w:val="DefaultParagraphFont"/>
    <w:link w:val="CommentText"/>
    <w:uiPriority w:val="99"/>
    <w:semiHidden/>
    <w:rsid w:val="00DC5B25"/>
    <w:rPr>
      <w:sz w:val="20"/>
      <w:szCs w:val="20"/>
    </w:rPr>
  </w:style>
  <w:style w:type="paragraph" w:styleId="CommentSubject">
    <w:name w:val="annotation subject"/>
    <w:basedOn w:val="CommentText"/>
    <w:next w:val="CommentText"/>
    <w:link w:val="CommentSubjectChar"/>
    <w:uiPriority w:val="99"/>
    <w:semiHidden/>
    <w:unhideWhenUsed/>
    <w:rsid w:val="00DC5B25"/>
    <w:rPr>
      <w:b/>
      <w:bCs/>
    </w:rPr>
  </w:style>
  <w:style w:type="character" w:customStyle="1" w:styleId="CommentSubjectChar">
    <w:name w:val="Comment Subject Char"/>
    <w:basedOn w:val="CommentTextChar"/>
    <w:link w:val="CommentSubject"/>
    <w:uiPriority w:val="99"/>
    <w:semiHidden/>
    <w:rsid w:val="00DC5B25"/>
    <w:rPr>
      <w:b/>
      <w:bCs/>
      <w:sz w:val="20"/>
      <w:szCs w:val="20"/>
    </w:rPr>
  </w:style>
  <w:style w:type="paragraph" w:styleId="BalloonText">
    <w:name w:val="Balloon Text"/>
    <w:basedOn w:val="Normal"/>
    <w:link w:val="BalloonTextChar"/>
    <w:uiPriority w:val="99"/>
    <w:semiHidden/>
    <w:unhideWhenUsed/>
    <w:rsid w:val="00DC5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B25"/>
    <w:rPr>
      <w:rFonts w:ascii="Segoe UI" w:hAnsi="Segoe UI" w:cs="Segoe UI"/>
      <w:sz w:val="18"/>
      <w:szCs w:val="18"/>
    </w:rPr>
  </w:style>
  <w:style w:type="character" w:customStyle="1" w:styleId="Heading2Char">
    <w:name w:val="Heading 2 Char"/>
    <w:basedOn w:val="DefaultParagraphFont"/>
    <w:link w:val="Heading2"/>
    <w:uiPriority w:val="9"/>
    <w:rsid w:val="000F1B77"/>
    <w:rPr>
      <w:rFonts w:ascii="Calibri" w:eastAsiaTheme="majorEastAsia" w:hAnsi="Calibri" w:cstheme="majorBidi"/>
      <w:b/>
      <w:i/>
      <w:sz w:val="24"/>
      <w:szCs w:val="26"/>
    </w:rPr>
  </w:style>
  <w:style w:type="character" w:customStyle="1" w:styleId="Heading3Char">
    <w:name w:val="Heading 3 Char"/>
    <w:basedOn w:val="DefaultParagraphFont"/>
    <w:link w:val="Heading3"/>
    <w:uiPriority w:val="9"/>
    <w:rsid w:val="000F1B77"/>
    <w:rPr>
      <w:rFonts w:ascii="Calibri" w:eastAsiaTheme="majorEastAsia" w:hAnsi="Calibri" w:cstheme="majorBidi"/>
      <w:i/>
      <w:sz w:val="24"/>
      <w:szCs w:val="24"/>
    </w:rPr>
  </w:style>
  <w:style w:type="character" w:styleId="PlaceholderText">
    <w:name w:val="Placeholder Text"/>
    <w:basedOn w:val="DefaultParagraphFont"/>
    <w:uiPriority w:val="99"/>
    <w:semiHidden/>
    <w:rsid w:val="00197EB4"/>
    <w:rPr>
      <w:color w:val="808080"/>
    </w:rPr>
  </w:style>
  <w:style w:type="paragraph" w:styleId="Revision">
    <w:name w:val="Revision"/>
    <w:hidden/>
    <w:uiPriority w:val="99"/>
    <w:semiHidden/>
    <w:rsid w:val="009909C3"/>
    <w:pPr>
      <w:spacing w:after="0" w:line="240" w:lineRule="auto"/>
    </w:pPr>
    <w:rPr>
      <w:sz w:val="24"/>
    </w:rPr>
  </w:style>
  <w:style w:type="character" w:customStyle="1" w:styleId="UnresolvedMention1">
    <w:name w:val="Unresolved Mention1"/>
    <w:basedOn w:val="DefaultParagraphFont"/>
    <w:uiPriority w:val="99"/>
    <w:semiHidden/>
    <w:unhideWhenUsed/>
    <w:rsid w:val="008E2E83"/>
    <w:rPr>
      <w:color w:val="605E5C"/>
      <w:shd w:val="clear" w:color="auto" w:fill="E1DFDD"/>
    </w:rPr>
  </w:style>
  <w:style w:type="paragraph" w:styleId="NormalWeb">
    <w:name w:val="Normal (Web)"/>
    <w:basedOn w:val="Normal"/>
    <w:uiPriority w:val="99"/>
    <w:unhideWhenUsed/>
    <w:rsid w:val="008E2E83"/>
    <w:pPr>
      <w:spacing w:before="100" w:beforeAutospacing="1" w:after="100" w:afterAutospacing="1" w:line="240" w:lineRule="auto"/>
      <w:jc w:val="left"/>
    </w:pPr>
    <w:rPr>
      <w:rFonts w:ascii="Times New Roman" w:eastAsiaTheme="minorEastAsia" w:hAnsi="Times New Roman" w:cs="Times New Roman"/>
      <w:szCs w:val="24"/>
      <w:lang w:eastAsia="en-GB"/>
    </w:rPr>
  </w:style>
  <w:style w:type="paragraph" w:styleId="Header">
    <w:name w:val="header"/>
    <w:basedOn w:val="Normal"/>
    <w:link w:val="HeaderChar"/>
    <w:uiPriority w:val="99"/>
    <w:unhideWhenUsed/>
    <w:rsid w:val="00777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9E0"/>
    <w:rPr>
      <w:sz w:val="24"/>
    </w:rPr>
  </w:style>
  <w:style w:type="paragraph" w:styleId="Footer">
    <w:name w:val="footer"/>
    <w:basedOn w:val="Normal"/>
    <w:link w:val="FooterChar"/>
    <w:uiPriority w:val="99"/>
    <w:unhideWhenUsed/>
    <w:rsid w:val="00777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9E0"/>
    <w:rPr>
      <w:sz w:val="24"/>
    </w:rPr>
  </w:style>
  <w:style w:type="paragraph" w:styleId="EndnoteText">
    <w:name w:val="endnote text"/>
    <w:basedOn w:val="Normal"/>
    <w:link w:val="EndnoteTextChar"/>
    <w:uiPriority w:val="99"/>
    <w:semiHidden/>
    <w:unhideWhenUsed/>
    <w:rsid w:val="00E712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128D"/>
    <w:rPr>
      <w:sz w:val="20"/>
      <w:szCs w:val="20"/>
    </w:rPr>
  </w:style>
  <w:style w:type="character" w:styleId="EndnoteReference">
    <w:name w:val="endnote reference"/>
    <w:basedOn w:val="DefaultParagraphFont"/>
    <w:uiPriority w:val="99"/>
    <w:semiHidden/>
    <w:unhideWhenUsed/>
    <w:rsid w:val="00E7128D"/>
    <w:rPr>
      <w:vertAlign w:val="superscript"/>
    </w:rPr>
  </w:style>
  <w:style w:type="character" w:styleId="FollowedHyperlink">
    <w:name w:val="FollowedHyperlink"/>
    <w:basedOn w:val="DefaultParagraphFont"/>
    <w:uiPriority w:val="99"/>
    <w:semiHidden/>
    <w:unhideWhenUsed/>
    <w:rsid w:val="006D5E86"/>
    <w:rPr>
      <w:color w:val="954F72" w:themeColor="followedHyperlink"/>
      <w:u w:val="single"/>
    </w:rPr>
  </w:style>
  <w:style w:type="character" w:customStyle="1" w:styleId="UnresolvedMention2">
    <w:name w:val="Unresolved Mention2"/>
    <w:basedOn w:val="DefaultParagraphFont"/>
    <w:uiPriority w:val="99"/>
    <w:semiHidden/>
    <w:unhideWhenUsed/>
    <w:rsid w:val="006A4658"/>
    <w:rPr>
      <w:color w:val="605E5C"/>
      <w:shd w:val="clear" w:color="auto" w:fill="E1DFDD"/>
    </w:rPr>
  </w:style>
  <w:style w:type="table" w:styleId="TableGrid">
    <w:name w:val="Table Grid"/>
    <w:basedOn w:val="TableNormal"/>
    <w:uiPriority w:val="39"/>
    <w:rsid w:val="00673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82A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2A26"/>
    <w:rPr>
      <w:sz w:val="20"/>
      <w:szCs w:val="20"/>
    </w:rPr>
  </w:style>
  <w:style w:type="character" w:styleId="FootnoteReference">
    <w:name w:val="footnote reference"/>
    <w:basedOn w:val="DefaultParagraphFont"/>
    <w:uiPriority w:val="99"/>
    <w:semiHidden/>
    <w:unhideWhenUsed/>
    <w:rsid w:val="00B82A26"/>
    <w:rPr>
      <w:vertAlign w:val="superscript"/>
    </w:rPr>
  </w:style>
  <w:style w:type="character" w:styleId="UnresolvedMention">
    <w:name w:val="Unresolved Mention"/>
    <w:basedOn w:val="DefaultParagraphFont"/>
    <w:uiPriority w:val="99"/>
    <w:semiHidden/>
    <w:unhideWhenUsed/>
    <w:rsid w:val="00A01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499443">
      <w:bodyDiv w:val="1"/>
      <w:marLeft w:val="0"/>
      <w:marRight w:val="0"/>
      <w:marTop w:val="0"/>
      <w:marBottom w:val="0"/>
      <w:divBdr>
        <w:top w:val="none" w:sz="0" w:space="0" w:color="auto"/>
        <w:left w:val="none" w:sz="0" w:space="0" w:color="auto"/>
        <w:bottom w:val="none" w:sz="0" w:space="0" w:color="auto"/>
        <w:right w:val="none" w:sz="0" w:space="0" w:color="auto"/>
      </w:divBdr>
      <w:divsChild>
        <w:div w:id="1660886417">
          <w:marLeft w:val="0"/>
          <w:marRight w:val="0"/>
          <w:marTop w:val="0"/>
          <w:marBottom w:val="0"/>
          <w:divBdr>
            <w:top w:val="none" w:sz="0" w:space="0" w:color="auto"/>
            <w:left w:val="none" w:sz="0" w:space="0" w:color="auto"/>
            <w:bottom w:val="none" w:sz="0" w:space="0" w:color="auto"/>
            <w:right w:val="none" w:sz="0" w:space="0" w:color="auto"/>
          </w:divBdr>
          <w:divsChild>
            <w:div w:id="301272684">
              <w:marLeft w:val="0"/>
              <w:marRight w:val="0"/>
              <w:marTop w:val="0"/>
              <w:marBottom w:val="0"/>
              <w:divBdr>
                <w:top w:val="none" w:sz="0" w:space="0" w:color="auto"/>
                <w:left w:val="none" w:sz="0" w:space="0" w:color="auto"/>
                <w:bottom w:val="none" w:sz="0" w:space="0" w:color="auto"/>
                <w:right w:val="none" w:sz="0" w:space="0" w:color="auto"/>
              </w:divBdr>
              <w:divsChild>
                <w:div w:id="1773625593">
                  <w:marLeft w:val="0"/>
                  <w:marRight w:val="0"/>
                  <w:marTop w:val="0"/>
                  <w:marBottom w:val="0"/>
                  <w:divBdr>
                    <w:top w:val="none" w:sz="0" w:space="0" w:color="auto"/>
                    <w:left w:val="none" w:sz="0" w:space="0" w:color="auto"/>
                    <w:bottom w:val="none" w:sz="0" w:space="0" w:color="auto"/>
                    <w:right w:val="none" w:sz="0" w:space="0" w:color="auto"/>
                  </w:divBdr>
                  <w:divsChild>
                    <w:div w:id="1107196619">
                      <w:marLeft w:val="0"/>
                      <w:marRight w:val="0"/>
                      <w:marTop w:val="0"/>
                      <w:marBottom w:val="0"/>
                      <w:divBdr>
                        <w:top w:val="none" w:sz="0" w:space="0" w:color="auto"/>
                        <w:left w:val="none" w:sz="0" w:space="0" w:color="auto"/>
                        <w:bottom w:val="none" w:sz="0" w:space="0" w:color="auto"/>
                        <w:right w:val="none" w:sz="0" w:space="0" w:color="auto"/>
                      </w:divBdr>
                    </w:div>
                  </w:divsChild>
                </w:div>
                <w:div w:id="1254513360">
                  <w:marLeft w:val="0"/>
                  <w:marRight w:val="0"/>
                  <w:marTop w:val="0"/>
                  <w:marBottom w:val="0"/>
                  <w:divBdr>
                    <w:top w:val="none" w:sz="0" w:space="0" w:color="auto"/>
                    <w:left w:val="none" w:sz="0" w:space="0" w:color="auto"/>
                    <w:bottom w:val="none" w:sz="0" w:space="0" w:color="auto"/>
                    <w:right w:val="none" w:sz="0" w:space="0" w:color="auto"/>
                  </w:divBdr>
                  <w:divsChild>
                    <w:div w:id="1567956766">
                      <w:marLeft w:val="0"/>
                      <w:marRight w:val="0"/>
                      <w:marTop w:val="0"/>
                      <w:marBottom w:val="0"/>
                      <w:divBdr>
                        <w:top w:val="none" w:sz="0" w:space="0" w:color="auto"/>
                        <w:left w:val="none" w:sz="0" w:space="0" w:color="auto"/>
                        <w:bottom w:val="none" w:sz="0" w:space="0" w:color="auto"/>
                        <w:right w:val="none" w:sz="0" w:space="0" w:color="auto"/>
                      </w:divBdr>
                    </w:div>
                    <w:div w:id="1568760157">
                      <w:marLeft w:val="0"/>
                      <w:marRight w:val="0"/>
                      <w:marTop w:val="0"/>
                      <w:marBottom w:val="0"/>
                      <w:divBdr>
                        <w:top w:val="none" w:sz="0" w:space="0" w:color="auto"/>
                        <w:left w:val="none" w:sz="0" w:space="0" w:color="auto"/>
                        <w:bottom w:val="none" w:sz="0" w:space="0" w:color="auto"/>
                        <w:right w:val="none" w:sz="0" w:space="0" w:color="auto"/>
                      </w:divBdr>
                    </w:div>
                  </w:divsChild>
                </w:div>
                <w:div w:id="1928221612">
                  <w:marLeft w:val="0"/>
                  <w:marRight w:val="0"/>
                  <w:marTop w:val="0"/>
                  <w:marBottom w:val="0"/>
                  <w:divBdr>
                    <w:top w:val="none" w:sz="0" w:space="0" w:color="auto"/>
                    <w:left w:val="none" w:sz="0" w:space="0" w:color="auto"/>
                    <w:bottom w:val="none" w:sz="0" w:space="0" w:color="auto"/>
                    <w:right w:val="none" w:sz="0" w:space="0" w:color="auto"/>
                  </w:divBdr>
                  <w:divsChild>
                    <w:div w:id="2283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jakewestfall.org/pange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B8E89F63F304548AB70A29413BE98D4" ma:contentTypeVersion="7" ma:contentTypeDescription="Create a new document." ma:contentTypeScope="" ma:versionID="9b84f59b242166c3df42d4b3a51587dd">
  <xsd:schema xmlns:xsd="http://www.w3.org/2001/XMLSchema" xmlns:xs="http://www.w3.org/2001/XMLSchema" xmlns:p="http://schemas.microsoft.com/office/2006/metadata/properties" xmlns:ns2="3f433c9c-2375-41d7-a53f-5aca41eb5e4e" xmlns:ns3="c938ca60-a80c-45c3-95c8-2fae16d4d7a8" targetNamespace="http://schemas.microsoft.com/office/2006/metadata/properties" ma:root="true" ma:fieldsID="476806728dfac55cb12052d035e52022" ns2:_="" ns3:_="">
    <xsd:import namespace="3f433c9c-2375-41d7-a53f-5aca41eb5e4e"/>
    <xsd:import namespace="c938ca60-a80c-45c3-95c8-2fae16d4d7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33c9c-2375-41d7-a53f-5aca41eb5e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38ca60-a80c-45c3-95c8-2fae16d4d7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D25374-DA46-4550-A06F-8C3D4EF69540}">
  <ds:schemaRefs>
    <ds:schemaRef ds:uri="http://schemas.microsoft.com/sharepoint/v3/contenttype/forms"/>
  </ds:schemaRefs>
</ds:datastoreItem>
</file>

<file path=customXml/itemProps2.xml><?xml version="1.0" encoding="utf-8"?>
<ds:datastoreItem xmlns:ds="http://schemas.openxmlformats.org/officeDocument/2006/customXml" ds:itemID="{6DBB2DB7-3DF4-4694-AF73-526C0669CA31}">
  <ds:schemaRefs>
    <ds:schemaRef ds:uri="http://schemas.openxmlformats.org/officeDocument/2006/bibliography"/>
  </ds:schemaRefs>
</ds:datastoreItem>
</file>

<file path=customXml/itemProps3.xml><?xml version="1.0" encoding="utf-8"?>
<ds:datastoreItem xmlns:ds="http://schemas.openxmlformats.org/officeDocument/2006/customXml" ds:itemID="{59B2FF0E-0B24-4FD7-B262-690CF976C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33c9c-2375-41d7-a53f-5aca41eb5e4e"/>
    <ds:schemaRef ds:uri="c938ca60-a80c-45c3-95c8-2fae16d4d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371FC4-105F-43D6-830F-1A0DF656D3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4</Pages>
  <Words>2362</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Watson</dc:creator>
  <cp:keywords/>
  <dc:description/>
  <cp:lastModifiedBy>David Watson</cp:lastModifiedBy>
  <cp:revision>41</cp:revision>
  <cp:lastPrinted>2021-01-11T14:15:00Z</cp:lastPrinted>
  <dcterms:created xsi:type="dcterms:W3CDTF">2019-11-22T10:53:00Z</dcterms:created>
  <dcterms:modified xsi:type="dcterms:W3CDTF">2021-05-06T12:31:00Z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http://www.zotero.org/styles/chicago-author-date</vt:lpwstr>
  </property>
  <property fmtid="{D5CDD505-2E9C-101B-9397-08002B2CF9AE}" pid="3" name="Mendeley Recent Style Name 0_1">
    <vt:lpwstr>Chicago Manual of Style 17th edition (author-date)</vt:lpwstr>
  </property>
  <property fmtid="{D5CDD505-2E9C-101B-9397-08002B2CF9AE}" pid="4" name="Mendeley Recent Style Id 1_1">
    <vt:lpwstr>http://www.zotero.org/styles/chicago-fullnote-bibliography</vt:lpwstr>
  </property>
  <property fmtid="{D5CDD505-2E9C-101B-9397-08002B2CF9AE}" pid="5" name="Mendeley Recent Style Name 1_1">
    <vt:lpwstr>Chicago Manual of Style 17th edition (full note)</vt:lpwstr>
  </property>
  <property fmtid="{D5CDD505-2E9C-101B-9397-08002B2CF9AE}" pid="6" name="Mendeley Recent Style Id 2_1">
    <vt:lpwstr>http://www.zotero.org/styles/chicago-note-bibliography</vt:lpwstr>
  </property>
  <property fmtid="{D5CDD505-2E9C-101B-9397-08002B2CF9AE}" pid="7" name="Mendeley Recent Style Name 2_1">
    <vt:lpwstr>Chicago Manual of Style 17th edition (note)</vt:lpwstr>
  </property>
  <property fmtid="{D5CDD505-2E9C-101B-9397-08002B2CF9AE}" pid="8" name="Mendeley Recent Style Id 3_1">
    <vt:lpwstr>http://www.zotero.org/styles/frontiers-in-computational-neuroscience</vt:lpwstr>
  </property>
  <property fmtid="{D5CDD505-2E9C-101B-9397-08002B2CF9AE}" pid="9" name="Mendeley Recent Style Name 3_1">
    <vt:lpwstr>Frontiers in Computational Neuroscience</vt:lpwstr>
  </property>
  <property fmtid="{D5CDD505-2E9C-101B-9397-08002B2CF9AE}" pid="10" name="Mendeley Recent Style Id 4_1">
    <vt:lpwstr>http://www.zotero.org/styles/nature</vt:lpwstr>
  </property>
  <property fmtid="{D5CDD505-2E9C-101B-9397-08002B2CF9AE}" pid="11" name="Mendeley Recent Style Name 4_1">
    <vt:lpwstr>Nature</vt:lpwstr>
  </property>
  <property fmtid="{D5CDD505-2E9C-101B-9397-08002B2CF9AE}" pid="12" name="Mendeley Recent Style Id 5_1">
    <vt:lpwstr>http://csl.mendeley.com/styles/20059091/nature-4</vt:lpwstr>
  </property>
  <property fmtid="{D5CDD505-2E9C-101B-9397-08002B2CF9AE}" pid="13" name="Mendeley Recent Style Name 5_1">
    <vt:lpwstr>Nature - shortish refs + square brackets</vt:lpwstr>
  </property>
  <property fmtid="{D5CDD505-2E9C-101B-9397-08002B2CF9AE}" pid="14" name="Mendeley Recent Style Id 6_1">
    <vt:lpwstr>http://csl.mendeley.com/styles/629919401/Plos-Comp-Biol</vt:lpwstr>
  </property>
  <property fmtid="{D5CDD505-2E9C-101B-9397-08002B2CF9AE}" pid="15" name="Mendeley Recent Style Name 6_1">
    <vt:lpwstr>Plos - David Watson</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http://csl.mendeley.com/styles/20059091/vancouver</vt:lpwstr>
  </property>
  <property fmtid="{D5CDD505-2E9C-101B-9397-08002B2CF9AE}" pid="19" name="Mendeley Recent Style Name 8_1">
    <vt:lpwstr>Vancouver - David Watson</vt:lpwstr>
  </property>
  <property fmtid="{D5CDD505-2E9C-101B-9397-08002B2CF9AE}" pid="20" name="Mendeley Recent Style Id 9_1">
    <vt:lpwstr>http://csl.mendeley.com/styles/20059091/vancouver</vt:lpwstr>
  </property>
  <property fmtid="{D5CDD505-2E9C-101B-9397-08002B2CF9AE}" pid="21" name="Mendeley Recent Style Name 9_1">
    <vt:lpwstr>Vancouver - David Watson</vt:lpwstr>
  </property>
  <property fmtid="{D5CDD505-2E9C-101B-9397-08002B2CF9AE}" pid="22" name="Mendeley Document_1">
    <vt:lpwstr>True</vt:lpwstr>
  </property>
  <property fmtid="{D5CDD505-2E9C-101B-9397-08002B2CF9AE}" pid="23" name="Mendeley Unique User Id_1">
    <vt:lpwstr>a95d1a78-01d7-3ee8-8e68-ff35c3fb83f5</vt:lpwstr>
  </property>
  <property fmtid="{D5CDD505-2E9C-101B-9397-08002B2CF9AE}" pid="24" name="Mendeley Citation Style_1">
    <vt:lpwstr>http://csl.mendeley.com/styles/629919401/Plos-Comp-Biol</vt:lpwstr>
  </property>
  <property fmtid="{D5CDD505-2E9C-101B-9397-08002B2CF9AE}" pid="25" name="ContentTypeId">
    <vt:lpwstr>0x0101002B8E89F63F304548AB70A29413BE98D4</vt:lpwstr>
  </property>
</Properties>
</file>