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30160" w14:textId="28EF665C" w:rsidR="00F14E98" w:rsidRPr="00F14E98" w:rsidRDefault="7EE5A4E9" w:rsidP="00F14E98">
      <w:pPr>
        <w:pStyle w:val="SupplementaryMaterial"/>
      </w:pPr>
      <w:r>
        <w:t>S</w:t>
      </w:r>
      <w:r w:rsidR="00654E8F">
        <w:t>upplementary Material</w:t>
      </w:r>
    </w:p>
    <w:p w14:paraId="4CD44F69" w14:textId="77777777" w:rsidR="00F14E98" w:rsidRDefault="00F14E98" w:rsidP="00CE5826">
      <w:pPr>
        <w:pStyle w:val="Heading1"/>
        <w:jc w:val="center"/>
      </w:pPr>
      <w:r>
        <w:t>Appendix A – Data Filter</w:t>
      </w:r>
    </w:p>
    <w:p w14:paraId="07F75CC5" w14:textId="2A69B07C" w:rsidR="00F14E98" w:rsidRDefault="00F14E98" w:rsidP="00F14E98">
      <w:pPr>
        <w:pStyle w:val="Caption"/>
        <w:rPr>
          <w:b w:val="0"/>
          <w:bCs w:val="0"/>
        </w:rPr>
      </w:pPr>
      <w:r>
        <w:rPr>
          <w:b w:val="0"/>
          <w:bCs w:val="0"/>
        </w:rPr>
        <w:t xml:space="preserve">The Gulf of Alaska Data were filtered using a 100m bathymetric filter and by excluding remotely sensed data in the Bering Sea. </w:t>
      </w:r>
      <w:r>
        <w:t>Figure 1</w:t>
      </w:r>
      <w:r>
        <w:rPr>
          <w:b w:val="0"/>
          <w:bCs w:val="0"/>
        </w:rPr>
        <w:t xml:space="preserve"> shows the GOA from </w:t>
      </w:r>
      <m:oMath>
        <m:sSup>
          <m:sSupPr>
            <m:ctrlPr>
              <w:rPr>
                <w:rFonts w:ascii="Cambria Math" w:hAnsi="Cambria Math"/>
              </w:rPr>
            </m:ctrlPr>
          </m:sSupPr>
          <m:e>
            <m:r>
              <m:rPr>
                <m:sty m:val="b"/>
              </m:rPr>
              <w:rPr>
                <w:rFonts w:ascii="Cambria Math" w:hAnsi="Cambria Math"/>
              </w:rPr>
              <m:t>48.5</m:t>
            </m:r>
          </m:e>
          <m:sup>
            <m:r>
              <m:rPr>
                <m:sty m:val="b"/>
              </m:rPr>
              <w:rPr>
                <w:rFonts w:ascii="Cambria Math" w:hAnsi="Cambria Math"/>
              </w:rPr>
              <m:t>∘</m:t>
            </m:r>
          </m:sup>
        </m:sSup>
        <m:r>
          <m:rPr>
            <m:sty m:val="bi"/>
          </m:rPr>
          <w:rPr>
            <w:rFonts w:ascii="Cambria Math" w:hAnsi="Cambria Math"/>
          </w:rPr>
          <m:t>N</m:t>
        </m:r>
        <m:r>
          <m:rPr>
            <m:sty m:val="b"/>
          </m:rPr>
          <w:rPr>
            <w:rFonts w:ascii="Cambria Math" w:hAnsi="Cambria Math"/>
          </w:rPr>
          <m:t>-</m:t>
        </m:r>
        <m:sSup>
          <m:sSupPr>
            <m:ctrlPr>
              <w:rPr>
                <w:rFonts w:ascii="Cambria Math" w:hAnsi="Cambria Math"/>
              </w:rPr>
            </m:ctrlPr>
          </m:sSupPr>
          <m:e>
            <m:r>
              <m:rPr>
                <m:sty m:val="b"/>
              </m:rPr>
              <w:rPr>
                <w:rFonts w:ascii="Cambria Math" w:hAnsi="Cambria Math"/>
              </w:rPr>
              <m:t>169.5</m:t>
            </m:r>
          </m:e>
          <m:sup>
            <m:r>
              <m:rPr>
                <m:sty m:val="b"/>
              </m:rPr>
              <w:rPr>
                <w:rFonts w:ascii="Cambria Math" w:hAnsi="Cambria Math"/>
              </w:rPr>
              <m:t>∘</m:t>
            </m:r>
          </m:sup>
        </m:sSup>
        <m:r>
          <m:rPr>
            <m:sty m:val="bi"/>
          </m:rPr>
          <w:rPr>
            <w:rFonts w:ascii="Cambria Math" w:hAnsi="Cambria Math"/>
          </w:rPr>
          <m:t>W</m:t>
        </m:r>
      </m:oMath>
      <w:r>
        <w:rPr>
          <w:b w:val="0"/>
          <w:bCs w:val="0"/>
        </w:rPr>
        <w:t xml:space="preserve">  to </w:t>
      </w:r>
      <m:oMath>
        <m:sSup>
          <m:sSupPr>
            <m:ctrlPr>
              <w:rPr>
                <w:rFonts w:ascii="Cambria Math" w:hAnsi="Cambria Math"/>
              </w:rPr>
            </m:ctrlPr>
          </m:sSupPr>
          <m:e>
            <m:r>
              <m:rPr>
                <m:sty m:val="b"/>
              </m:rPr>
              <w:rPr>
                <w:rFonts w:ascii="Cambria Math" w:hAnsi="Cambria Math"/>
              </w:rPr>
              <m:t>61.5</m:t>
            </m:r>
          </m:e>
          <m:sup>
            <m:r>
              <m:rPr>
                <m:sty m:val="b"/>
              </m:rPr>
              <w:rPr>
                <w:rFonts w:ascii="Cambria Math" w:hAnsi="Cambria Math"/>
              </w:rPr>
              <m:t>∘</m:t>
            </m:r>
          </m:sup>
        </m:sSup>
        <m:r>
          <m:rPr>
            <m:sty m:val="bi"/>
          </m:rPr>
          <w:rPr>
            <w:rFonts w:ascii="Cambria Math" w:hAnsi="Cambria Math"/>
          </w:rPr>
          <m:t>N</m:t>
        </m:r>
        <m:r>
          <m:rPr>
            <m:sty m:val="b"/>
          </m:rPr>
          <w:rPr>
            <w:rFonts w:ascii="Cambria Math" w:hAnsi="Cambria Math"/>
          </w:rPr>
          <m:t xml:space="preserve"> </m:t>
        </m:r>
        <m:sSup>
          <m:sSupPr>
            <m:ctrlPr>
              <w:rPr>
                <w:rFonts w:ascii="Cambria Math" w:hAnsi="Cambria Math"/>
              </w:rPr>
            </m:ctrlPr>
          </m:sSupPr>
          <m:e>
            <m:r>
              <m:rPr>
                <m:sty m:val="b"/>
              </m:rPr>
              <w:rPr>
                <w:rFonts w:ascii="Cambria Math" w:hAnsi="Cambria Math"/>
              </w:rPr>
              <m:t>-130.5</m:t>
            </m:r>
          </m:e>
          <m:sup>
            <m:r>
              <m:rPr>
                <m:sty m:val="b"/>
              </m:rPr>
              <w:rPr>
                <w:rFonts w:ascii="Cambria Math" w:hAnsi="Cambria Math"/>
              </w:rPr>
              <m:t>∘</m:t>
            </m:r>
          </m:sup>
        </m:sSup>
      </m:oMath>
      <w:r>
        <w:rPr>
          <w:b w:val="0"/>
          <w:bCs w:val="0"/>
        </w:rPr>
        <w:t xml:space="preserve">, we applied the 100m bathymetric filter seen in </w:t>
      </w:r>
      <w:r w:rsidR="00CD1B4E" w:rsidRPr="00CD1B4E">
        <w:t>Supplementary</w:t>
      </w:r>
      <w:r w:rsidR="00CD1B4E">
        <w:rPr>
          <w:b w:val="0"/>
          <w:bCs w:val="0"/>
        </w:rPr>
        <w:t xml:space="preserve"> </w:t>
      </w:r>
      <w:r>
        <w:t>Figure 2</w:t>
      </w:r>
      <w:r w:rsidR="00AF3624">
        <w:t xml:space="preserve">, </w:t>
      </w:r>
      <w:r w:rsidR="00BD6AE8" w:rsidRPr="00BD6AE8">
        <w:rPr>
          <w:b w:val="0"/>
          <w:bCs w:val="0"/>
        </w:rPr>
        <w:t>shown</w:t>
      </w:r>
      <w:r w:rsidR="00BD6AE8">
        <w:rPr>
          <w:b w:val="0"/>
          <w:bCs w:val="0"/>
        </w:rPr>
        <w:t xml:space="preserve"> in </w:t>
      </w:r>
      <w:r w:rsidR="00BD6AE8" w:rsidRPr="00BD6AE8">
        <w:rPr>
          <w:b w:val="0"/>
          <w:bCs w:val="0"/>
        </w:rPr>
        <w:t>black</w:t>
      </w:r>
      <w:r>
        <w:rPr>
          <w:b w:val="0"/>
          <w:bCs w:val="0"/>
        </w:rPr>
        <w:t>. Finally, we excluded data from the bearing sea</w:t>
      </w:r>
      <w:r w:rsidR="00BD6AE8">
        <w:rPr>
          <w:b w:val="0"/>
          <w:bCs w:val="0"/>
        </w:rPr>
        <w:t xml:space="preserve"> seen in </w:t>
      </w:r>
      <w:r w:rsidR="00BD6AE8" w:rsidRPr="00CD1B4E">
        <w:t>Supplementary</w:t>
      </w:r>
      <w:r w:rsidR="00BD6AE8">
        <w:rPr>
          <w:b w:val="0"/>
          <w:bCs w:val="0"/>
        </w:rPr>
        <w:t xml:space="preserve"> </w:t>
      </w:r>
      <w:r w:rsidR="00BD6AE8">
        <w:t>Figure 2</w:t>
      </w:r>
      <w:r w:rsidR="00BD6AE8">
        <w:rPr>
          <w:b w:val="0"/>
          <w:bCs w:val="0"/>
        </w:rPr>
        <w:t>, shown in dark grey</w:t>
      </w:r>
      <w:r>
        <w:rPr>
          <w:b w:val="0"/>
          <w:bCs w:val="0"/>
        </w:rPr>
        <w:t xml:space="preserve">. </w:t>
      </w:r>
    </w:p>
    <w:p w14:paraId="37AE9B14" w14:textId="600B6D09" w:rsidR="00F14E98" w:rsidRDefault="00F14E98" w:rsidP="00F14E98">
      <w:pPr>
        <w:keepNext/>
        <w:jc w:val="center"/>
      </w:pPr>
      <w:r>
        <w:rPr>
          <w:noProof/>
        </w:rPr>
        <w:drawing>
          <wp:inline distT="0" distB="0" distL="0" distR="0" wp14:anchorId="32F66880" wp14:editId="7786A331">
            <wp:extent cx="5169826" cy="1724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169826" cy="1724025"/>
                    </a:xfrm>
                    <a:prstGeom prst="rect">
                      <a:avLst/>
                    </a:prstGeom>
                  </pic:spPr>
                </pic:pic>
              </a:graphicData>
            </a:graphic>
          </wp:inline>
        </w:drawing>
      </w:r>
    </w:p>
    <w:p w14:paraId="408019DE" w14:textId="502C6F72" w:rsidR="00F14E98" w:rsidRPr="00334EC5" w:rsidRDefault="00F14E98" w:rsidP="00F14E98">
      <w:pPr>
        <w:pStyle w:val="Caption"/>
        <w:ind w:left="720"/>
        <w:rPr>
          <w:b w:val="0"/>
          <w:bCs w:val="0"/>
        </w:rPr>
      </w:pPr>
      <w:r>
        <w:t xml:space="preserve">Supplementary Figure </w:t>
      </w:r>
      <w:r>
        <w:fldChar w:fldCharType="begin"/>
      </w:r>
      <w:r>
        <w:instrText>SEQ Figure \* ARABIC</w:instrText>
      </w:r>
      <w:r>
        <w:fldChar w:fldCharType="separate"/>
      </w:r>
      <w:r w:rsidR="005E3CBC">
        <w:rPr>
          <w:noProof/>
        </w:rPr>
        <w:t>1</w:t>
      </w:r>
      <w:r>
        <w:fldChar w:fldCharType="end"/>
      </w:r>
      <w:r>
        <w:t>.</w:t>
      </w:r>
      <w:r>
        <w:rPr>
          <w:b w:val="0"/>
          <w:bCs w:val="0"/>
        </w:rPr>
        <w:t xml:space="preserve"> Gulf of Alaska. The spatial extent of our data from </w:t>
      </w:r>
      <m:oMath>
        <m:sSup>
          <m:sSupPr>
            <m:ctrlPr>
              <w:rPr>
                <w:rFonts w:ascii="Cambria Math" w:hAnsi="Cambria Math"/>
              </w:rPr>
            </m:ctrlPr>
          </m:sSupPr>
          <m:e>
            <m:r>
              <m:rPr>
                <m:sty m:val="b"/>
              </m:rPr>
              <w:rPr>
                <w:rFonts w:ascii="Cambria Math" w:hAnsi="Cambria Math"/>
              </w:rPr>
              <m:t>48.5</m:t>
            </m:r>
          </m:e>
          <m:sup>
            <m:r>
              <m:rPr>
                <m:sty m:val="b"/>
              </m:rPr>
              <w:rPr>
                <w:rFonts w:ascii="Cambria Math" w:hAnsi="Cambria Math"/>
              </w:rPr>
              <m:t>∘</m:t>
            </m:r>
          </m:sup>
        </m:sSup>
        <m:r>
          <m:rPr>
            <m:sty m:val="bi"/>
          </m:rPr>
          <w:rPr>
            <w:rFonts w:ascii="Cambria Math" w:hAnsi="Cambria Math"/>
          </w:rPr>
          <m:t>N</m:t>
        </m:r>
        <m:r>
          <m:rPr>
            <m:sty m:val="b"/>
          </m:rPr>
          <w:rPr>
            <w:rFonts w:ascii="Cambria Math" w:hAnsi="Cambria Math"/>
          </w:rPr>
          <m:t>-</m:t>
        </m:r>
        <m:sSup>
          <m:sSupPr>
            <m:ctrlPr>
              <w:rPr>
                <w:rFonts w:ascii="Cambria Math" w:hAnsi="Cambria Math"/>
              </w:rPr>
            </m:ctrlPr>
          </m:sSupPr>
          <m:e>
            <m:r>
              <m:rPr>
                <m:sty m:val="b"/>
              </m:rPr>
              <w:rPr>
                <w:rFonts w:ascii="Cambria Math" w:hAnsi="Cambria Math"/>
              </w:rPr>
              <m:t>169.5</m:t>
            </m:r>
          </m:e>
          <m:sup>
            <m:r>
              <m:rPr>
                <m:sty m:val="b"/>
              </m:rPr>
              <w:rPr>
                <w:rFonts w:ascii="Cambria Math" w:hAnsi="Cambria Math"/>
              </w:rPr>
              <m:t>∘</m:t>
            </m:r>
          </m:sup>
        </m:sSup>
        <m:r>
          <m:rPr>
            <m:sty m:val="bi"/>
          </m:rPr>
          <w:rPr>
            <w:rFonts w:ascii="Cambria Math" w:hAnsi="Cambria Math"/>
          </w:rPr>
          <m:t>W</m:t>
        </m:r>
      </m:oMath>
      <w:r>
        <w:rPr>
          <w:b w:val="0"/>
          <w:bCs w:val="0"/>
        </w:rPr>
        <w:t xml:space="preserve">  to </w:t>
      </w:r>
      <m:oMath>
        <m:sSup>
          <m:sSupPr>
            <m:ctrlPr>
              <w:rPr>
                <w:rFonts w:ascii="Cambria Math" w:hAnsi="Cambria Math"/>
              </w:rPr>
            </m:ctrlPr>
          </m:sSupPr>
          <m:e>
            <m:r>
              <m:rPr>
                <m:sty m:val="b"/>
              </m:rPr>
              <w:rPr>
                <w:rFonts w:ascii="Cambria Math" w:hAnsi="Cambria Math"/>
              </w:rPr>
              <m:t>61.5</m:t>
            </m:r>
          </m:e>
          <m:sup>
            <m:r>
              <m:rPr>
                <m:sty m:val="b"/>
              </m:rPr>
              <w:rPr>
                <w:rFonts w:ascii="Cambria Math" w:hAnsi="Cambria Math"/>
              </w:rPr>
              <m:t>∘</m:t>
            </m:r>
          </m:sup>
        </m:sSup>
        <m:r>
          <m:rPr>
            <m:sty m:val="bi"/>
          </m:rPr>
          <w:rPr>
            <w:rFonts w:ascii="Cambria Math" w:hAnsi="Cambria Math"/>
          </w:rPr>
          <m:t>N</m:t>
        </m:r>
        <m:r>
          <m:rPr>
            <m:sty m:val="b"/>
          </m:rPr>
          <w:rPr>
            <w:rFonts w:ascii="Cambria Math" w:hAnsi="Cambria Math"/>
          </w:rPr>
          <m:t xml:space="preserve"> </m:t>
        </m:r>
        <m:sSup>
          <m:sSupPr>
            <m:ctrlPr>
              <w:rPr>
                <w:rFonts w:ascii="Cambria Math" w:hAnsi="Cambria Math"/>
              </w:rPr>
            </m:ctrlPr>
          </m:sSupPr>
          <m:e>
            <m:r>
              <m:rPr>
                <m:sty m:val="b"/>
              </m:rPr>
              <w:rPr>
                <w:rFonts w:ascii="Cambria Math" w:hAnsi="Cambria Math"/>
              </w:rPr>
              <m:t>-130.5</m:t>
            </m:r>
          </m:e>
          <m:sup>
            <m:r>
              <m:rPr>
                <m:sty m:val="b"/>
              </m:rPr>
              <w:rPr>
                <w:rFonts w:ascii="Cambria Math" w:hAnsi="Cambria Math"/>
              </w:rPr>
              <m:t>∘</m:t>
            </m:r>
          </m:sup>
        </m:sSup>
      </m:oMath>
      <w:r>
        <w:rPr>
          <w:b w:val="0"/>
          <w:bCs w:val="0"/>
        </w:rPr>
        <w:t xml:space="preserve"> (NOAA, 2009)</w:t>
      </w:r>
      <w:r w:rsidR="00C33BAB">
        <w:rPr>
          <w:b w:val="0"/>
          <w:bCs w:val="0"/>
        </w:rPr>
        <w:t xml:space="preserve">. The </w:t>
      </w:r>
      <w:r w:rsidR="00BC47C3">
        <w:rPr>
          <w:b w:val="0"/>
          <w:bCs w:val="0"/>
        </w:rPr>
        <w:t>r</w:t>
      </w:r>
      <w:r w:rsidR="00C33BAB">
        <w:rPr>
          <w:b w:val="0"/>
          <w:bCs w:val="0"/>
        </w:rPr>
        <w:t xml:space="preserve">ed points are points that were excluded from training because they </w:t>
      </w:r>
      <w:r w:rsidR="00BB1CDB">
        <w:rPr>
          <w:b w:val="0"/>
          <w:bCs w:val="0"/>
        </w:rPr>
        <w:t>dot satisfy the Bathymetric and Bering Sea filters.</w:t>
      </w:r>
      <w:r w:rsidR="004C4011">
        <w:rPr>
          <w:b w:val="0"/>
          <w:bCs w:val="0"/>
        </w:rPr>
        <w:t xml:space="preserve"> The blue points are missing remotely sensed pCO</w:t>
      </w:r>
      <w:r w:rsidR="00334EC5">
        <w:rPr>
          <w:b w:val="0"/>
          <w:bCs w:val="0"/>
          <w:vertAlign w:val="subscript"/>
        </w:rPr>
        <w:t>2</w:t>
      </w:r>
      <w:r w:rsidR="00334EC5">
        <w:rPr>
          <w:b w:val="0"/>
          <w:bCs w:val="0"/>
        </w:rPr>
        <w:t>. The green points are data that were used to train the prSOM.</w:t>
      </w:r>
      <w:r w:rsidR="00472402">
        <w:rPr>
          <w:b w:val="0"/>
          <w:bCs w:val="0"/>
        </w:rPr>
        <w:t xml:space="preserve"> Note that the </w:t>
      </w:r>
      <w:r w:rsidR="00266B81">
        <w:rPr>
          <w:b w:val="0"/>
          <w:bCs w:val="0"/>
        </w:rPr>
        <w:t xml:space="preserve">data that was used to train the prSOM is a subset of the data </w:t>
      </w:r>
      <w:r w:rsidR="004D0461">
        <w:rPr>
          <w:b w:val="0"/>
          <w:bCs w:val="0"/>
        </w:rPr>
        <w:t>that was classified.</w:t>
      </w:r>
    </w:p>
    <w:p w14:paraId="0D6D3E0E" w14:textId="77777777" w:rsidR="00F14E98" w:rsidRDefault="00F14E98" w:rsidP="00F14E98">
      <w:pPr>
        <w:pStyle w:val="NoSpacing"/>
      </w:pPr>
    </w:p>
    <w:p w14:paraId="32F261D9" w14:textId="5B477BC1" w:rsidR="00F14E98" w:rsidRDefault="00F14E98" w:rsidP="00F14E98">
      <w:pPr>
        <w:keepNext/>
        <w:jc w:val="center"/>
      </w:pPr>
      <w:r>
        <w:rPr>
          <w:noProof/>
        </w:rPr>
        <w:drawing>
          <wp:inline distT="0" distB="0" distL="0" distR="0" wp14:anchorId="3213C746" wp14:editId="016E8602">
            <wp:extent cx="5172075" cy="172549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172075" cy="1725497"/>
                    </a:xfrm>
                    <a:prstGeom prst="rect">
                      <a:avLst/>
                    </a:prstGeom>
                  </pic:spPr>
                </pic:pic>
              </a:graphicData>
            </a:graphic>
          </wp:inline>
        </w:drawing>
      </w:r>
    </w:p>
    <w:p w14:paraId="17A0959B" w14:textId="15E14537" w:rsidR="00F14E98" w:rsidRDefault="00F14E98" w:rsidP="00F14E98">
      <w:pPr>
        <w:pStyle w:val="Caption"/>
        <w:ind w:left="720"/>
        <w:rPr>
          <w:b w:val="0"/>
          <w:bCs w:val="0"/>
        </w:rPr>
      </w:pPr>
      <w:r>
        <w:t xml:space="preserve">Supplementary Figure </w:t>
      </w:r>
      <w:r>
        <w:fldChar w:fldCharType="begin"/>
      </w:r>
      <w:r>
        <w:instrText>SEQ Figure \* ARABIC</w:instrText>
      </w:r>
      <w:r>
        <w:fldChar w:fldCharType="separate"/>
      </w:r>
      <w:r w:rsidR="005E3CBC">
        <w:rPr>
          <w:noProof/>
        </w:rPr>
        <w:t>2</w:t>
      </w:r>
      <w:r>
        <w:fldChar w:fldCharType="end"/>
      </w:r>
      <w:r>
        <w:t>.</w:t>
      </w:r>
      <w:r>
        <w:rPr>
          <w:b w:val="0"/>
          <w:bCs w:val="0"/>
        </w:rPr>
        <w:t xml:space="preserve"> Gulf of Alaska with Bathymetric Filter. </w:t>
      </w:r>
      <w:r w:rsidR="00E06401">
        <w:rPr>
          <w:b w:val="0"/>
          <w:bCs w:val="0"/>
        </w:rPr>
        <w:t xml:space="preserve">Land is shown in blue. </w:t>
      </w:r>
      <w:r w:rsidR="00853218">
        <w:rPr>
          <w:b w:val="0"/>
          <w:bCs w:val="0"/>
        </w:rPr>
        <w:t xml:space="preserve">The bathymetry filter is shown in </w:t>
      </w:r>
      <w:r w:rsidR="004A3994">
        <w:rPr>
          <w:b w:val="0"/>
          <w:bCs w:val="0"/>
        </w:rPr>
        <w:t>black</w:t>
      </w:r>
      <w:r w:rsidR="00853218">
        <w:rPr>
          <w:b w:val="0"/>
          <w:bCs w:val="0"/>
        </w:rPr>
        <w:t xml:space="preserve">. The </w:t>
      </w:r>
      <w:r w:rsidR="00FC4324">
        <w:rPr>
          <w:b w:val="0"/>
          <w:bCs w:val="0"/>
        </w:rPr>
        <w:t xml:space="preserve">Bering Sea filter is shown in </w:t>
      </w:r>
      <w:r w:rsidR="0055085C">
        <w:rPr>
          <w:b w:val="0"/>
          <w:bCs w:val="0"/>
        </w:rPr>
        <w:t xml:space="preserve">dark </w:t>
      </w:r>
      <w:r w:rsidR="00FC4324">
        <w:rPr>
          <w:b w:val="0"/>
          <w:bCs w:val="0"/>
        </w:rPr>
        <w:t xml:space="preserve">grey. </w:t>
      </w:r>
      <w:r w:rsidR="008A076E">
        <w:rPr>
          <w:b w:val="0"/>
          <w:bCs w:val="0"/>
        </w:rPr>
        <w:t>P</w:t>
      </w:r>
      <w:r>
        <w:rPr>
          <w:b w:val="0"/>
          <w:bCs w:val="0"/>
        </w:rPr>
        <w:t xml:space="preserve">ixels </w:t>
      </w:r>
      <w:r w:rsidR="00D14532">
        <w:rPr>
          <w:b w:val="0"/>
          <w:bCs w:val="0"/>
        </w:rPr>
        <w:t xml:space="preserve">that were included in the </w:t>
      </w:r>
      <w:r w:rsidR="00A233D0">
        <w:rPr>
          <w:b w:val="0"/>
          <w:bCs w:val="0"/>
        </w:rPr>
        <w:t>training and classification of stress-scapes are shown in light grey.</w:t>
      </w:r>
    </w:p>
    <w:p w14:paraId="069811A3" w14:textId="77777777" w:rsidR="00F14E98" w:rsidRDefault="00F14E98" w:rsidP="00F14E98">
      <w:pPr>
        <w:pStyle w:val="NoSpacing"/>
      </w:pPr>
    </w:p>
    <w:p w14:paraId="0D70E880" w14:textId="77777777" w:rsidR="00F14E98" w:rsidRDefault="00F14E98" w:rsidP="00CE5826">
      <w:pPr>
        <w:pStyle w:val="Heading1"/>
        <w:jc w:val="center"/>
      </w:pPr>
      <w:r>
        <w:lastRenderedPageBreak/>
        <w:t>Appendix B – Spatial Extent of Missing Data</w:t>
      </w:r>
    </w:p>
    <w:p w14:paraId="3F943E35" w14:textId="31F0E8FD" w:rsidR="00F14E98" w:rsidRDefault="00F14E98" w:rsidP="00F14E98">
      <w:pPr>
        <w:keepNext/>
        <w:jc w:val="center"/>
      </w:pPr>
      <w:r>
        <w:rPr>
          <w:noProof/>
        </w:rPr>
        <w:drawing>
          <wp:inline distT="0" distB="0" distL="0" distR="0" wp14:anchorId="51C9BB71" wp14:editId="38F86DF1">
            <wp:extent cx="5175504" cy="1727417"/>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504" cy="1727417"/>
                    </a:xfrm>
                    <a:prstGeom prst="rect">
                      <a:avLst/>
                    </a:prstGeom>
                    <a:effectLst/>
                  </pic:spPr>
                </pic:pic>
              </a:graphicData>
            </a:graphic>
          </wp:inline>
        </w:drawing>
      </w:r>
    </w:p>
    <w:p w14:paraId="35234A93" w14:textId="6F78D52F" w:rsidR="00F14E98" w:rsidRDefault="00F14E98" w:rsidP="00F14E98">
      <w:pPr>
        <w:pStyle w:val="Caption"/>
        <w:ind w:left="720"/>
        <w:rPr>
          <w:b w:val="0"/>
          <w:bCs w:val="0"/>
        </w:rPr>
      </w:pPr>
      <w:r>
        <w:t xml:space="preserve">Supplementary Figure </w:t>
      </w:r>
      <w:r w:rsidR="00726026">
        <w:t>3</w:t>
      </w:r>
      <w:r>
        <w:t xml:space="preserve">. </w:t>
      </w:r>
      <w:r>
        <w:rPr>
          <w:b w:val="0"/>
          <w:bCs w:val="0"/>
        </w:rPr>
        <w:t xml:space="preserve">Missing Data. This shows the </w:t>
      </w:r>
      <w:r w:rsidR="000B0C06">
        <w:rPr>
          <w:b w:val="0"/>
          <w:bCs w:val="0"/>
        </w:rPr>
        <w:t>six</w:t>
      </w:r>
      <w:r>
        <w:rPr>
          <w:b w:val="0"/>
          <w:bCs w:val="0"/>
        </w:rPr>
        <w:t xml:space="preserve"> missing data</w:t>
      </w:r>
      <w:r w:rsidR="000B0C06">
        <w:rPr>
          <w:b w:val="0"/>
          <w:bCs w:val="0"/>
        </w:rPr>
        <w:t xml:space="preserve"> and the tiles for which interpolation fails</w:t>
      </w:r>
      <w:r w:rsidR="00AD04B8">
        <w:rPr>
          <w:b w:val="0"/>
          <w:bCs w:val="0"/>
        </w:rPr>
        <w:t>. L</w:t>
      </w:r>
      <w:r>
        <w:rPr>
          <w:b w:val="0"/>
          <w:bCs w:val="0"/>
        </w:rPr>
        <w:t xml:space="preserve">imitations in the </w:t>
      </w:r>
      <w:r w:rsidR="0089340C">
        <w:rPr>
          <w:b w:val="0"/>
          <w:bCs w:val="0"/>
        </w:rPr>
        <w:t>p</w:t>
      </w:r>
      <w:r>
        <w:rPr>
          <w:b w:val="0"/>
          <w:bCs w:val="0"/>
        </w:rPr>
        <w:t>CO₂</w:t>
      </w:r>
      <w:r>
        <w:rPr>
          <w:b w:val="0"/>
          <w:bCs w:val="0"/>
          <w:vertAlign w:val="subscript"/>
        </w:rPr>
        <w:t xml:space="preserve"> </w:t>
      </w:r>
      <w:r>
        <w:rPr>
          <w:b w:val="0"/>
          <w:bCs w:val="0"/>
        </w:rPr>
        <w:t xml:space="preserve">data product prevented interpolation and classification of stress-scapes near these points. </w:t>
      </w:r>
    </w:p>
    <w:p w14:paraId="25F0C2A5" w14:textId="182F5FFC" w:rsidR="00F14E98" w:rsidRDefault="00F14E98" w:rsidP="00F14E98">
      <w:pPr>
        <w:keepNext/>
        <w:jc w:val="center"/>
      </w:pPr>
      <w:r>
        <w:rPr>
          <w:noProof/>
        </w:rPr>
        <w:drawing>
          <wp:inline distT="0" distB="0" distL="0" distR="0" wp14:anchorId="4328C095" wp14:editId="4F0CAF4E">
            <wp:extent cx="5175504" cy="1727417"/>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175504" cy="1727417"/>
                    </a:xfrm>
                    <a:prstGeom prst="rect">
                      <a:avLst/>
                    </a:prstGeom>
                  </pic:spPr>
                </pic:pic>
              </a:graphicData>
            </a:graphic>
          </wp:inline>
        </w:drawing>
      </w:r>
    </w:p>
    <w:p w14:paraId="2067F43B" w14:textId="02960B99" w:rsidR="00F14E98" w:rsidRDefault="00F14E98" w:rsidP="00F14E98">
      <w:pPr>
        <w:pStyle w:val="Caption"/>
        <w:ind w:left="720"/>
        <w:rPr>
          <w:b w:val="0"/>
          <w:bCs w:val="0"/>
        </w:rPr>
      </w:pPr>
      <w:r>
        <w:t xml:space="preserve">Supplementary Figure </w:t>
      </w:r>
      <w:r w:rsidR="00726026">
        <w:t>4</w:t>
      </w:r>
      <w:r>
        <w:t>.</w:t>
      </w:r>
      <w:r>
        <w:rPr>
          <w:b w:val="0"/>
          <w:bCs w:val="0"/>
        </w:rPr>
        <w:t xml:space="preserve"> Spatial Extent of Missing Data. This figure shows the pixels we were not able to classify</w:t>
      </w:r>
      <w:r w:rsidR="000F0DD4">
        <w:rPr>
          <w:b w:val="0"/>
          <w:bCs w:val="0"/>
        </w:rPr>
        <w:t xml:space="preserve"> correctly because of missing pCO</w:t>
      </w:r>
      <w:r w:rsidR="000F0DD4" w:rsidRPr="00915C1D">
        <w:rPr>
          <w:b w:val="0"/>
          <w:bCs w:val="0"/>
          <w:vertAlign w:val="subscript"/>
        </w:rPr>
        <w:t>2</w:t>
      </w:r>
      <w:r w:rsidR="000F0DD4">
        <w:rPr>
          <w:b w:val="0"/>
          <w:bCs w:val="0"/>
        </w:rPr>
        <w:t xml:space="preserve"> </w:t>
      </w:r>
      <w:r w:rsidR="00915C1D">
        <w:rPr>
          <w:b w:val="0"/>
          <w:bCs w:val="0"/>
        </w:rPr>
        <w:t xml:space="preserve">data </w:t>
      </w:r>
      <w:r>
        <w:rPr>
          <w:b w:val="0"/>
          <w:bCs w:val="0"/>
        </w:rPr>
        <w:t xml:space="preserve">(shown in </w:t>
      </w:r>
      <w:r w:rsidR="00725956">
        <w:rPr>
          <w:b w:val="0"/>
          <w:bCs w:val="0"/>
        </w:rPr>
        <w:t>red</w:t>
      </w:r>
      <w:r>
        <w:rPr>
          <w:b w:val="0"/>
          <w:bCs w:val="0"/>
        </w:rPr>
        <w:t>).</w:t>
      </w:r>
    </w:p>
    <w:p w14:paraId="1E21F8AF" w14:textId="77777777" w:rsidR="00CE5826" w:rsidRDefault="00CE5826">
      <w:pPr>
        <w:spacing w:before="0" w:after="200" w:line="276" w:lineRule="auto"/>
        <w:rPr>
          <w:rFonts w:eastAsia="Cambria" w:cs="Times New Roman"/>
          <w:b/>
          <w:szCs w:val="24"/>
        </w:rPr>
      </w:pPr>
      <w:r>
        <w:br w:type="page"/>
      </w:r>
    </w:p>
    <w:p w14:paraId="5B7C40B7" w14:textId="02B1AFAA" w:rsidR="00F14E98" w:rsidRPr="00CE5826" w:rsidRDefault="00F14E98" w:rsidP="00CE5826">
      <w:pPr>
        <w:pStyle w:val="Heading1"/>
        <w:jc w:val="center"/>
      </w:pPr>
      <w:r w:rsidRPr="00CE5826">
        <w:lastRenderedPageBreak/>
        <w:t xml:space="preserve">Appendix C – </w:t>
      </w:r>
      <w:r w:rsidR="00880E8D">
        <w:t>Stress-scape Classification Details</w:t>
      </w:r>
    </w:p>
    <w:p w14:paraId="48CB851F" w14:textId="12421268" w:rsidR="00F14E98" w:rsidRDefault="00BE4FFF" w:rsidP="00F14E98">
      <w:pPr>
        <w:keepNext/>
        <w:jc w:val="center"/>
      </w:pPr>
      <w:r>
        <w:rPr>
          <w:noProof/>
        </w:rPr>
        <w:drawing>
          <wp:inline distT="0" distB="0" distL="0" distR="0" wp14:anchorId="0BC8D283" wp14:editId="6C3A7D21">
            <wp:extent cx="5236234" cy="185091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236234" cy="1850917"/>
                    </a:xfrm>
                    <a:prstGeom prst="rect">
                      <a:avLst/>
                    </a:prstGeom>
                  </pic:spPr>
                </pic:pic>
              </a:graphicData>
            </a:graphic>
          </wp:inline>
        </w:drawing>
      </w:r>
    </w:p>
    <w:p w14:paraId="1BE7E7F6" w14:textId="20DDC95D" w:rsidR="00F14E98" w:rsidRPr="00773B56" w:rsidRDefault="00F14E98" w:rsidP="00773B56">
      <w:pPr>
        <w:pStyle w:val="Caption"/>
        <w:jc w:val="both"/>
        <w:rPr>
          <w:b w:val="0"/>
          <w:bCs w:val="0"/>
        </w:rPr>
      </w:pPr>
      <w:r>
        <w:t xml:space="preserve">Supplementary Figure </w:t>
      </w:r>
      <w:r w:rsidR="00726026">
        <w:t>5.</w:t>
      </w:r>
      <w:r>
        <w:t xml:space="preserve"> </w:t>
      </w:r>
      <w:r>
        <w:rPr>
          <w:b w:val="0"/>
          <w:bCs w:val="0"/>
        </w:rPr>
        <w:t>The three plots show three different methods of evaluating</w:t>
      </w:r>
      <w:r w:rsidR="00855B9C">
        <w:rPr>
          <w:b w:val="0"/>
          <w:bCs w:val="0"/>
        </w:rPr>
        <w:t xml:space="preserve"> how well the neurons of the prSOM </w:t>
      </w:r>
      <w:r w:rsidR="001F20C5">
        <w:rPr>
          <w:b w:val="0"/>
          <w:bCs w:val="0"/>
        </w:rPr>
        <w:t xml:space="preserve">trained using three variables </w:t>
      </w:r>
      <w:r w:rsidR="00920227">
        <w:rPr>
          <w:b w:val="0"/>
          <w:bCs w:val="0"/>
        </w:rPr>
        <w:t>(SST, SGR and pCO</w:t>
      </w:r>
      <w:r w:rsidR="00920227">
        <w:rPr>
          <w:b w:val="0"/>
          <w:bCs w:val="0"/>
          <w:vertAlign w:val="subscript"/>
        </w:rPr>
        <w:t>2</w:t>
      </w:r>
      <w:r w:rsidR="00855B9C">
        <w:rPr>
          <w:b w:val="0"/>
          <w:bCs w:val="0"/>
        </w:rPr>
        <w:t>can be classified into</w:t>
      </w:r>
      <w:r>
        <w:rPr>
          <w:b w:val="0"/>
          <w:bCs w:val="0"/>
        </w:rPr>
        <w:t xml:space="preserve"> different number of stress-scapes. (Left) Elbow curve showing the explained variation (y-axis) as a function of the number of clusters (x-axis). Four or five clusters is optimal. (Middle) Silhouette method for choosing number of clusters, the x-axis shows number of clusters, and the y-axis shows how well the data are grouped in the clusters. Two stress-scapes is optimal, four or five stress-scapes are tied for second optimal choice. (Right) Gap statistic method for choosing the number of clusters. The x-axis gives the number of clusters, the y-axis shows how well randomly generated data from the distribution of these clusters matches up with the actual data. The</w:t>
      </w:r>
      <w:r w:rsidR="00194D17">
        <w:rPr>
          <w:b w:val="0"/>
          <w:bCs w:val="0"/>
        </w:rPr>
        <w:t xml:space="preserve"> gap statistic strongly suggests</w:t>
      </w:r>
      <w:r>
        <w:rPr>
          <w:b w:val="0"/>
          <w:bCs w:val="0"/>
        </w:rPr>
        <w:t xml:space="preserve"> optimal number of stress-scapes is 5</w:t>
      </w:r>
      <w:r w:rsidR="003E236C">
        <w:rPr>
          <w:b w:val="0"/>
          <w:bCs w:val="0"/>
        </w:rPr>
        <w:t xml:space="preserve">, the other methods support that 5 </w:t>
      </w:r>
      <w:r w:rsidR="0071680F">
        <w:rPr>
          <w:b w:val="0"/>
          <w:bCs w:val="0"/>
        </w:rPr>
        <w:t>stress-</w:t>
      </w:r>
      <w:r w:rsidR="003E236C">
        <w:rPr>
          <w:b w:val="0"/>
          <w:bCs w:val="0"/>
        </w:rPr>
        <w:t xml:space="preserve">scapes </w:t>
      </w:r>
      <w:r w:rsidR="0071680F">
        <w:rPr>
          <w:b w:val="0"/>
          <w:bCs w:val="0"/>
        </w:rPr>
        <w:t xml:space="preserve">is </w:t>
      </w:r>
      <w:r w:rsidR="003E236C">
        <w:rPr>
          <w:b w:val="0"/>
          <w:bCs w:val="0"/>
        </w:rPr>
        <w:t>reasonable</w:t>
      </w:r>
      <w:r>
        <w:rPr>
          <w:b w:val="0"/>
          <w:bCs w:val="0"/>
        </w:rPr>
        <w:t>.</w:t>
      </w:r>
    </w:p>
    <w:p w14:paraId="4FC3586A" w14:textId="78C2687C" w:rsidR="00F14E98" w:rsidRDefault="00E55F0B" w:rsidP="00F14E98">
      <w:pPr>
        <w:keepNext/>
        <w:jc w:val="center"/>
      </w:pPr>
      <w:r>
        <w:rPr>
          <w:noProof/>
        </w:rPr>
        <w:drawing>
          <wp:inline distT="0" distB="0" distL="0" distR="0" wp14:anchorId="552F66C4" wp14:editId="173FA29B">
            <wp:extent cx="5182723" cy="18187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182723" cy="1818752"/>
                    </a:xfrm>
                    <a:prstGeom prst="rect">
                      <a:avLst/>
                    </a:prstGeom>
                  </pic:spPr>
                </pic:pic>
              </a:graphicData>
            </a:graphic>
          </wp:inline>
        </w:drawing>
      </w:r>
    </w:p>
    <w:p w14:paraId="1423C3C9" w14:textId="4D70AF9C" w:rsidR="00F14E98" w:rsidRPr="00773B56" w:rsidRDefault="00F14E98" w:rsidP="00F14E98">
      <w:pPr>
        <w:pStyle w:val="Caption"/>
        <w:jc w:val="both"/>
      </w:pPr>
      <w:r>
        <w:t xml:space="preserve">Supplementary Figure </w:t>
      </w:r>
      <w:r w:rsidR="00726026">
        <w:t>6.</w:t>
      </w:r>
      <w:r>
        <w:t xml:space="preserve"> </w:t>
      </w:r>
      <w:r>
        <w:rPr>
          <w:b w:val="0"/>
          <w:bCs w:val="0"/>
        </w:rPr>
        <w:t xml:space="preserve">The three plots show three different methods of evaluating different number of stress-scapes for sensitivity analysis. (Left) Elbow curve showing the explained variation (y-axis) as a function of the number of clusters (x-axis). </w:t>
      </w:r>
      <w:r w:rsidR="006D48FA">
        <w:rPr>
          <w:b w:val="0"/>
          <w:bCs w:val="0"/>
        </w:rPr>
        <w:t xml:space="preserve">2-4 </w:t>
      </w:r>
      <w:r>
        <w:rPr>
          <w:b w:val="0"/>
          <w:bCs w:val="0"/>
        </w:rPr>
        <w:t xml:space="preserve">clusters is optimal because this is where the curve changes direction. (Middle) Silhouette method for choosing number of clusters, the x-axis shows number of clusters, and the y-axis shows how well the data are grouped in the clusters. </w:t>
      </w:r>
      <w:r w:rsidR="006D48FA">
        <w:rPr>
          <w:b w:val="0"/>
          <w:bCs w:val="0"/>
        </w:rPr>
        <w:t>2</w:t>
      </w:r>
      <w:r>
        <w:rPr>
          <w:b w:val="0"/>
          <w:bCs w:val="0"/>
        </w:rPr>
        <w:t xml:space="preserve"> stress-scapes is optimal by a wide margin. (Right) Gap statistic method for choosing the number of clusters. The x-axis gives the number of clusters, the y-axis shows how well randomly generated data from the distribution of these clusters matches up with the actual data. This plot suggests all clusterings are poor.</w:t>
      </w:r>
      <w:r w:rsidR="00773B56">
        <w:rPr>
          <w:b w:val="0"/>
          <w:bCs w:val="0"/>
        </w:rPr>
        <w:t xml:space="preserve"> Even the </w:t>
      </w:r>
      <w:r w:rsidR="00773B56" w:rsidRPr="520FAE37">
        <w:rPr>
          <w:b w:val="0"/>
          <w:bCs w:val="0"/>
          <w:i/>
          <w:iCs/>
        </w:rPr>
        <w:t>least</w:t>
      </w:r>
      <w:r w:rsidR="00773B56">
        <w:rPr>
          <w:b w:val="0"/>
          <w:bCs w:val="0"/>
        </w:rPr>
        <w:t xml:space="preserve"> parsimonious model (number of clusters is 4) shows no variation</w:t>
      </w:r>
      <w:r w:rsidR="007F3828">
        <w:rPr>
          <w:b w:val="0"/>
          <w:bCs w:val="0"/>
        </w:rPr>
        <w:t xml:space="preserve"> in the stress-scape classification near Kodiak island</w:t>
      </w:r>
      <w:r w:rsidR="00773B56">
        <w:rPr>
          <w:b w:val="0"/>
          <w:bCs w:val="0"/>
        </w:rPr>
        <w:t xml:space="preserve"> for the month of July prior to and during heatwave conditions.</w:t>
      </w:r>
    </w:p>
    <w:p w14:paraId="346ADECC" w14:textId="3F3F9724" w:rsidR="00DE23E8" w:rsidRPr="00773B56" w:rsidRDefault="00DE23E8" w:rsidP="00773B56">
      <w:pPr>
        <w:spacing w:before="0" w:after="200" w:line="276" w:lineRule="auto"/>
      </w:pPr>
      <w:r>
        <w:br w:type="page"/>
      </w:r>
    </w:p>
    <w:p w14:paraId="0E696FCD" w14:textId="32E93E76" w:rsidR="003455F8" w:rsidRDefault="003455F8" w:rsidP="00F13B0C">
      <w:pPr>
        <w:ind w:firstLine="567"/>
      </w:pPr>
      <w:r w:rsidRPr="003455F8">
        <w:rPr>
          <w:i/>
          <w:iCs/>
          <w:color w:val="0E101A"/>
        </w:rPr>
        <w:lastRenderedPageBreak/>
        <w:t>prSOM Background. </w:t>
      </w:r>
      <w:r w:rsidRPr="003455F8">
        <w:t>Machine learning techniques have been used to classify open ocean regions in order to predict dominant wind forcing (Richardson et al., 2003), constrain prediction of the carbonate system (Hales et al., 2012), and create biophysical regions for later analyses (Saraceno et al., 2006; Oliver and Irwin, 2008; Reygondeau et al., 2013). More recently, Kavanaugh et al. (2012; 2014; 2016; 2018) combined a probabilistic self-organizing map (prSOM) and hierarchical agglomerative clustering (HAC) algorithm to classify dynamic hierarchical regions in the Pacific and globally. The prSOM takes advantage of an earlier competitive learning algorithm called the Self-Organizing Map (SOM) (Kohonen, 1990). The SOM was identified early as a helpful tool for fisheries and oceanography because it preserves the underlying data's topology and can identify and correctly classify non-linear relationships in the data (Chen &amp; Ware, 1999; Richardson, 2003). However, the SOM struggles with classifying anomalous events in time series data correctly (Anouar et al., 1998; Barreto, 2009; Lebbah, 2015). Hence there was a need to improve the SOM to detect anomalies in atmospheric and oceanographic conditions. The Probabilistic Self Organizing Map (Anouar, 1998) was an early improvement to the SOM and incorporated a probabilistic formalism. The formalism resembles both the expectation-maximization</w:t>
      </w:r>
      <w:r w:rsidR="001A51A7">
        <w:t xml:space="preserve"> (</w:t>
      </w:r>
      <w:r w:rsidR="007048E4">
        <w:t>EM)</w:t>
      </w:r>
      <w:r w:rsidRPr="003455F8">
        <w:t xml:space="preserve"> and </w:t>
      </w:r>
      <w:r w:rsidR="007048E4">
        <w:t>K</w:t>
      </w:r>
      <w:r w:rsidRPr="003455F8">
        <w:t>-</w:t>
      </w:r>
      <w:r w:rsidR="007048E4">
        <w:t>M</w:t>
      </w:r>
      <w:r w:rsidRPr="003455F8">
        <w:t xml:space="preserve">eans algorithms. </w:t>
      </w:r>
    </w:p>
    <w:p w14:paraId="70D35FC8" w14:textId="6C2E9DB9" w:rsidR="00F13B0C" w:rsidRDefault="00DF31C1" w:rsidP="00F13B0C">
      <w:pPr>
        <w:ind w:firstLine="567"/>
        <w:rPr>
          <w:rFonts w:eastAsia="Times New Roman" w:cs="Times New Roman"/>
        </w:rPr>
      </w:pPr>
      <w:r w:rsidRPr="00DF31C1">
        <w:rPr>
          <w:rFonts w:eastAsia="Times New Roman" w:cs="Times New Roman"/>
        </w:rPr>
        <w:t xml:space="preserve">The </w:t>
      </w:r>
      <w:r w:rsidR="00B67D42">
        <w:rPr>
          <w:rFonts w:eastAsia="Times New Roman" w:cs="Times New Roman"/>
        </w:rPr>
        <w:t xml:space="preserve">prSOM </w:t>
      </w:r>
      <w:r w:rsidRPr="00DF31C1">
        <w:rPr>
          <w:rFonts w:eastAsia="Times New Roman" w:cs="Times New Roman"/>
        </w:rPr>
        <w:t xml:space="preserve">estimates the multivariate distribution </w:t>
      </w:r>
      <w:r w:rsidR="00F13B0C" w:rsidRPr="00D03C59">
        <w:rPr>
          <w:rFonts w:eastAsia="Times New Roman" w:cs="Times New Roman"/>
        </w:rPr>
        <w:t xml:space="preserve"> of </w:t>
      </w:r>
      <m:oMath>
        <m:r>
          <w:rPr>
            <w:rFonts w:ascii="Cambria Math" w:eastAsia="Times New Roman" w:hAnsi="Cambria Math" w:cs="Times New Roman"/>
          </w:rPr>
          <m:t>SST</m:t>
        </m:r>
      </m:oMath>
      <w:r w:rsidR="00F13B0C" w:rsidRPr="00D03C59">
        <w:rPr>
          <w:rFonts w:eastAsia="Times New Roman" w:cs="Times New Roman"/>
        </w:rPr>
        <w:t xml:space="preserve">, </w:t>
      </w:r>
      <m:oMath>
        <m:r>
          <w:rPr>
            <w:rFonts w:ascii="Cambria Math" w:eastAsia="Times New Roman" w:hAnsi="Cambria Math" w:cs="Times New Roman"/>
            <w:szCs w:val="24"/>
          </w:rPr>
          <m:t>pC</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O</m:t>
            </m:r>
          </m:e>
          <m:sub>
            <m:r>
              <w:rPr>
                <w:rFonts w:ascii="Cambria Math" w:eastAsia="Times New Roman" w:hAnsi="Cambria Math" w:cs="Times New Roman"/>
                <w:szCs w:val="24"/>
              </w:rPr>
              <m:t>2</m:t>
            </m:r>
          </m:sub>
        </m:sSub>
      </m:oMath>
      <w:r w:rsidR="00F13B0C" w:rsidRPr="00D03C59">
        <w:rPr>
          <w:rFonts w:eastAsia="Times New Roman" w:cs="Times New Roman"/>
        </w:rPr>
        <w:t xml:space="preserve">, and </w:t>
      </w:r>
      <m:oMath>
        <m:r>
          <w:rPr>
            <w:rFonts w:ascii="Cambria Math" w:eastAsia="Times New Roman" w:hAnsi="Cambria Math" w:cs="Times New Roman"/>
            <w:szCs w:val="24"/>
          </w:rPr>
          <m:t>SGR</m:t>
        </m:r>
      </m:oMath>
      <w:r w:rsidR="00F13B0C" w:rsidRPr="00D03C59">
        <w:rPr>
          <w:rFonts w:eastAsia="Times New Roman" w:cs="Times New Roman"/>
        </w:rPr>
        <w:t xml:space="preserve"> z-scores as a convex combination of multivariate spherical normal distributions</w:t>
      </w:r>
      <w:r w:rsidR="009B6C72">
        <w:rPr>
          <w:rFonts w:eastAsia="Times New Roman" w:cs="Times New Roman"/>
        </w:rPr>
        <w:t>. Each normal distribution is represented in the prSOM algorithm as a “neuron”, each neuron has a mean and variance</w:t>
      </w:r>
      <w:r w:rsidR="00497331">
        <w:rPr>
          <w:rFonts w:eastAsia="Times New Roman" w:cs="Times New Roman"/>
        </w:rPr>
        <w:t xml:space="preserve"> and is connected to neighboring neurons</w:t>
      </w:r>
      <w:r w:rsidR="00F84F54">
        <w:rPr>
          <w:rFonts w:eastAsia="Times New Roman" w:cs="Times New Roman"/>
        </w:rPr>
        <w:t xml:space="preserve"> using a mesh data-structure</w:t>
      </w:r>
      <w:r w:rsidR="009B6C72">
        <w:rPr>
          <w:rFonts w:eastAsia="Times New Roman" w:cs="Times New Roman"/>
        </w:rPr>
        <w:t>.</w:t>
      </w:r>
      <w:r w:rsidR="00927F2F">
        <w:rPr>
          <w:rFonts w:eastAsia="Times New Roman" w:cs="Times New Roman"/>
        </w:rPr>
        <w:t xml:space="preserve"> </w:t>
      </w:r>
      <w:r w:rsidR="009B6C72">
        <w:rPr>
          <w:rFonts w:eastAsia="Times New Roman" w:cs="Times New Roman"/>
        </w:rPr>
        <w:t>T</w:t>
      </w:r>
      <w:r w:rsidR="00F13B0C" w:rsidRPr="00D03C59">
        <w:rPr>
          <w:rFonts w:eastAsia="Times New Roman" w:cs="Times New Roman"/>
        </w:rPr>
        <w:t>he mixture of multiple spherical normal distributions capture</w:t>
      </w:r>
      <w:r w:rsidR="005E1094">
        <w:rPr>
          <w:rFonts w:eastAsia="Times New Roman" w:cs="Times New Roman"/>
        </w:rPr>
        <w:t>s</w:t>
      </w:r>
      <w:r w:rsidR="00F13B0C" w:rsidRPr="00D03C59">
        <w:rPr>
          <w:rFonts w:eastAsia="Times New Roman" w:cs="Times New Roman"/>
        </w:rPr>
        <w:t xml:space="preserve"> covariance in</w:t>
      </w:r>
      <w:r w:rsidR="009A3033">
        <w:rPr>
          <w:rFonts w:eastAsia="Times New Roman" w:cs="Times New Roman"/>
        </w:rPr>
        <w:t xml:space="preserve"> </w:t>
      </w:r>
      <w:r w:rsidR="00D51F8B">
        <w:rPr>
          <w:rFonts w:eastAsia="Times New Roman" w:cs="Times New Roman"/>
        </w:rPr>
        <w:t>distinct but closely grouped classes (similar mean values)</w:t>
      </w:r>
      <w:r w:rsidR="00DA2885">
        <w:rPr>
          <w:rFonts w:eastAsia="Times New Roman" w:cs="Times New Roman"/>
        </w:rPr>
        <w:t xml:space="preserve"> that would otherwise be missed by</w:t>
      </w:r>
      <w:r w:rsidR="00322BEA">
        <w:rPr>
          <w:rFonts w:eastAsia="Times New Roman" w:cs="Times New Roman"/>
        </w:rPr>
        <w:t xml:space="preserve"> similar classification algorithms such as</w:t>
      </w:r>
      <w:r w:rsidR="00DA2885">
        <w:rPr>
          <w:rFonts w:eastAsia="Times New Roman" w:cs="Times New Roman"/>
        </w:rPr>
        <w:t xml:space="preserve"> K-Means or Expectation Maximization</w:t>
      </w:r>
      <w:r w:rsidR="00A31724">
        <w:rPr>
          <w:rFonts w:eastAsia="Times New Roman" w:cs="Times New Roman"/>
        </w:rPr>
        <w:t xml:space="preserve"> where</w:t>
      </w:r>
      <w:r w:rsidR="001C1F6C">
        <w:rPr>
          <w:rFonts w:eastAsia="Times New Roman" w:cs="Times New Roman"/>
        </w:rPr>
        <w:t xml:space="preserve"> </w:t>
      </w:r>
      <w:r w:rsidR="00E16C38">
        <w:rPr>
          <w:rFonts w:eastAsia="Times New Roman" w:cs="Times New Roman"/>
        </w:rPr>
        <w:t xml:space="preserve">different </w:t>
      </w:r>
      <w:r w:rsidR="001C1F6C">
        <w:rPr>
          <w:rFonts w:eastAsia="Times New Roman" w:cs="Times New Roman"/>
        </w:rPr>
        <w:t xml:space="preserve">estimates of the number of distinct means in the data can </w:t>
      </w:r>
      <w:r w:rsidR="004D0C02">
        <w:rPr>
          <w:rFonts w:eastAsia="Times New Roman" w:cs="Times New Roman"/>
        </w:rPr>
        <w:t>c</w:t>
      </w:r>
      <w:r w:rsidR="00F01009">
        <w:rPr>
          <w:rFonts w:eastAsia="Times New Roman" w:cs="Times New Roman"/>
        </w:rPr>
        <w:t>hange the results</w:t>
      </w:r>
      <w:r w:rsidR="00F13B0C" w:rsidRPr="00D03C59">
        <w:rPr>
          <w:rFonts w:eastAsia="Times New Roman" w:cs="Times New Roman"/>
        </w:rPr>
        <w:t>.</w:t>
      </w:r>
      <w:r w:rsidR="00497331">
        <w:rPr>
          <w:rFonts w:eastAsia="Times New Roman" w:cs="Times New Roman"/>
        </w:rPr>
        <w:t xml:space="preserve"> </w:t>
      </w:r>
      <w:r w:rsidR="001253BA" w:rsidRPr="001253BA">
        <w:rPr>
          <w:rFonts w:eastAsia="Times New Roman" w:cs="Times New Roman"/>
        </w:rPr>
        <w:t>Two coastal GOA regions belong to the same stress-scape if the observed temperatures are likely to belong to the same distribution. For example, the coastal region near Kodiak Island will share the same color as the coastal Aleutian Islands if the observed z-scores for each variable, in both locations, belong to the same distribution of z-scores. If Kodiak Island coastal waters are significantly warmer than average temperature, and the coastal water near the Aleutians is close to average, then the two regions will be assigned, different stress-scape classes.</w:t>
      </w:r>
    </w:p>
    <w:p w14:paraId="47D07524" w14:textId="3E983776" w:rsidR="005F1C58" w:rsidRPr="00DB7AD7" w:rsidRDefault="00DB7AD7" w:rsidP="00F13B0C">
      <w:pPr>
        <w:ind w:firstLine="567"/>
        <w:rPr>
          <w:rFonts w:eastAsia="Times New Roman" w:cs="Times New Roman"/>
          <w:iCs/>
        </w:rPr>
      </w:pPr>
      <w:r w:rsidRPr="00DB7AD7">
        <w:rPr>
          <w:i/>
          <w:iCs/>
          <w:color w:val="0E101A"/>
        </w:rPr>
        <w:t>prSOM Training. </w:t>
      </w:r>
      <w:r w:rsidR="005F1C58" w:rsidRPr="00DB7AD7">
        <w:rPr>
          <w:rFonts w:eastAsia="Times New Roman" w:cs="Times New Roman"/>
          <w:iCs/>
        </w:rPr>
        <w:t xml:space="preserve">Our implementation of the prSOM algorithm follows Anouar (1998) and Lebbah (2015). The prSOM begins in a way very similar to the Expectation-Maximization algorithm. As it converges on an approximation of the multivariate distribution of the SST, pCO2, and SST, it becomes more like the K-Means algorithm. Thus, initially, the neurons estimate the multivariate distribution with covariance. As the algorithm progresses, the clusters are approximated, and the covariate terms are removed from the training process. The prSOM algorithm assumes that the data belong to a multivariate distribution with one or more means. It classifies observations by identifying the multivariate mean value and variance that is most likely to generate each measurement of SST, Growth rate and across the GOA from 2010 to 2016. </w:t>
      </w:r>
    </w:p>
    <w:p w14:paraId="5DC10388" w14:textId="6AD12ACF" w:rsidR="00F13B0C" w:rsidRDefault="00F13B0C" w:rsidP="00F13B0C">
      <w:pPr>
        <w:ind w:firstLine="567"/>
        <w:rPr>
          <w:rFonts w:eastAsia="Times New Roman" w:cs="Times New Roman"/>
        </w:rPr>
      </w:pPr>
      <w:r w:rsidRPr="3D4F8853">
        <w:rPr>
          <w:rFonts w:eastAsia="Times New Roman" w:cs="Times New Roman"/>
        </w:rPr>
        <w:t xml:space="preserve">The combination of </w:t>
      </w:r>
      <w:r w:rsidR="00BB38EF">
        <w:rPr>
          <w:rFonts w:eastAsia="Times New Roman" w:cs="Times New Roman"/>
        </w:rPr>
        <w:t>the S</w:t>
      </w:r>
      <w:r w:rsidR="0003155D">
        <w:rPr>
          <w:rFonts w:eastAsia="Times New Roman" w:cs="Times New Roman"/>
        </w:rPr>
        <w:t xml:space="preserve">OM, </w:t>
      </w:r>
      <w:r w:rsidRPr="3D4F8853">
        <w:rPr>
          <w:rFonts w:eastAsia="Times New Roman" w:cs="Times New Roman"/>
        </w:rPr>
        <w:t>EM and the K-Means algorithm</w:t>
      </w:r>
      <w:r w:rsidR="00345115">
        <w:rPr>
          <w:rFonts w:eastAsia="Times New Roman" w:cs="Times New Roman"/>
        </w:rPr>
        <w:t>s</w:t>
      </w:r>
      <w:r w:rsidRPr="3D4F8853">
        <w:rPr>
          <w:rFonts w:eastAsia="Times New Roman" w:cs="Times New Roman"/>
        </w:rPr>
        <w:t xml:space="preserve"> allows more </w:t>
      </w:r>
      <w:r w:rsidR="000F2ADE">
        <w:rPr>
          <w:rFonts w:eastAsia="Times New Roman" w:cs="Times New Roman"/>
        </w:rPr>
        <w:t>provides a better</w:t>
      </w:r>
      <w:r w:rsidRPr="3D4F8853">
        <w:rPr>
          <w:rFonts w:eastAsia="Times New Roman" w:cs="Times New Roman"/>
        </w:rPr>
        <w:t xml:space="preserve"> representation of covariance structure while maintaining computational efficiency. </w:t>
      </w:r>
      <w:r>
        <w:t xml:space="preserve">The input to both algorithms is the assumed number of means (k) in the data. At each iteration, the K-Means algorithm chooses a single mean value most likely to generate nearby data and adjusts the mean to be closer to the mean of nearby data, this is known as a “hard learning rule”. </w:t>
      </w:r>
      <w:r>
        <w:rPr>
          <w:rFonts w:eastAsia="Times New Roman" w:cs="Times New Roman"/>
        </w:rPr>
        <w:t>The EM algorithm</w:t>
      </w:r>
      <w:r w:rsidRPr="3ADEDFF5">
        <w:rPr>
          <w:rFonts w:eastAsia="Times New Roman" w:cs="Times New Roman"/>
        </w:rPr>
        <w:t xml:space="preserve"> iterates over all the data and estimates how responsible each of the </w:t>
      </w:r>
      <m:oMath>
        <m:r>
          <w:rPr>
            <w:rFonts w:ascii="Cambria Math" w:eastAsia="Times New Roman" w:hAnsi="Cambria Math" w:cs="Times New Roman"/>
            <w:szCs w:val="24"/>
          </w:rPr>
          <m:t>k</m:t>
        </m:r>
      </m:oMath>
      <w:r w:rsidRPr="1C5B797D">
        <w:rPr>
          <w:rFonts w:eastAsia="Times New Roman" w:cs="Times New Roman"/>
        </w:rPr>
        <w:t xml:space="preserve"> means are for generating that observation.</w:t>
      </w:r>
      <w:r w:rsidR="00107EBC" w:rsidRPr="00107EBC">
        <w:rPr>
          <w:rFonts w:eastAsia="Times New Roman" w:cs="Times New Roman"/>
        </w:rPr>
        <w:t xml:space="preserve"> First, in the expectation step, the observation is classified as belonging to the gaussian function that is most </w:t>
      </w:r>
      <w:r w:rsidR="00107EBC" w:rsidRPr="00107EBC">
        <w:rPr>
          <w:rFonts w:eastAsia="Times New Roman" w:cs="Times New Roman"/>
        </w:rPr>
        <w:lastRenderedPageBreak/>
        <w:t>responsible for generating the observation. Next, in the maximization step, the mean value of the gaussian function approximating the distribution is adjusted according to the responsibility of nearby means that also contribute to generating the observation.</w:t>
      </w:r>
      <w:r w:rsidR="00107EBC">
        <w:rPr>
          <w:rFonts w:eastAsia="Times New Roman" w:cs="Times New Roman"/>
        </w:rPr>
        <w:t xml:space="preserve"> </w:t>
      </w:r>
      <w:r w:rsidRPr="3ADEDFF5">
        <w:rPr>
          <w:rFonts w:eastAsia="Times New Roman" w:cs="Times New Roman"/>
        </w:rPr>
        <w:t xml:space="preserve">The K-Means algorithm identifies a labeling of the data that minimizes the variance amongst data associated with each label and maximizes the variance across the different label centers. However, with multivariate applications, K-Means falls short because it assumes a constant covariance structure across all clusters, which is unrealistic. For example, there is covariance between sea-surface temperature and </w:t>
      </w:r>
      <w:r w:rsidR="00C02924">
        <w:rPr>
          <w:rFonts w:eastAsiaTheme="minorEastAsia"/>
        </w:rPr>
        <w:t>SGR</w:t>
      </w:r>
      <w:r w:rsidR="003C32E4">
        <w:rPr>
          <w:rFonts w:eastAsiaTheme="minorEastAsia"/>
        </w:rPr>
        <w:t>.</w:t>
      </w:r>
      <w:r w:rsidR="00C02924">
        <w:rPr>
          <w:rFonts w:eastAsiaTheme="minorEastAsia"/>
        </w:rPr>
        <w:t xml:space="preserve"> </w:t>
      </w:r>
      <w:r w:rsidR="003C32E4">
        <w:rPr>
          <w:rFonts w:eastAsia="Times New Roman" w:cs="Times New Roman"/>
        </w:rPr>
        <w:t>N</w:t>
      </w:r>
      <w:r w:rsidR="00C02924">
        <w:rPr>
          <w:rFonts w:eastAsia="Times New Roman" w:cs="Times New Roman"/>
        </w:rPr>
        <w:t>ear the min</w:t>
      </w:r>
      <w:r w:rsidR="007A6B97">
        <w:rPr>
          <w:rFonts w:eastAsia="Times New Roman" w:cs="Times New Roman"/>
        </w:rPr>
        <w:t>imum tolerable temperature</w:t>
      </w:r>
      <w:r w:rsidR="00E81600">
        <w:rPr>
          <w:rFonts w:eastAsia="Times New Roman" w:cs="Times New Roman"/>
        </w:rPr>
        <w:t xml:space="preserve"> appears linear, but as the </w:t>
      </w:r>
      <w:r w:rsidR="00B62862">
        <w:rPr>
          <w:rFonts w:eastAsia="Times New Roman" w:cs="Times New Roman"/>
        </w:rPr>
        <w:t>temperature increases the relationship is</w:t>
      </w:r>
      <w:r w:rsidR="00434461">
        <w:rPr>
          <w:rFonts w:eastAsia="Times New Roman" w:cs="Times New Roman"/>
        </w:rPr>
        <w:t xml:space="preserve"> </w:t>
      </w:r>
      <w:r w:rsidR="003E736E">
        <w:rPr>
          <w:rFonts w:eastAsia="Times New Roman" w:cs="Times New Roman"/>
        </w:rPr>
        <w:t xml:space="preserve">evidently </w:t>
      </w:r>
      <w:r w:rsidR="00B62862" w:rsidRPr="00434461">
        <w:rPr>
          <w:rFonts w:eastAsia="Times New Roman" w:cs="Times New Roman"/>
        </w:rPr>
        <w:t>quadratic</w:t>
      </w:r>
      <w:r w:rsidR="00434461">
        <w:rPr>
          <w:rFonts w:eastAsia="Times New Roman" w:cs="Times New Roman"/>
        </w:rPr>
        <w:t xml:space="preserve"> (see </w:t>
      </w:r>
      <w:r w:rsidR="00434461">
        <w:rPr>
          <w:rFonts w:eastAsia="Times New Roman" w:cs="Times New Roman"/>
          <w:b/>
          <w:bCs/>
        </w:rPr>
        <w:t xml:space="preserve">Figure </w:t>
      </w:r>
      <w:r w:rsidR="00D01553">
        <w:rPr>
          <w:rFonts w:eastAsia="Times New Roman" w:cs="Times New Roman"/>
          <w:b/>
          <w:bCs/>
        </w:rPr>
        <w:t>5</w:t>
      </w:r>
      <w:r w:rsidR="00434461">
        <w:rPr>
          <w:rFonts w:eastAsia="Times New Roman" w:cs="Times New Roman"/>
        </w:rPr>
        <w:t>)</w:t>
      </w:r>
      <w:r w:rsidR="00B62862">
        <w:rPr>
          <w:rFonts w:eastAsia="Times New Roman" w:cs="Times New Roman"/>
        </w:rPr>
        <w:t xml:space="preserve">. </w:t>
      </w:r>
      <w:r w:rsidR="001F591A">
        <w:rPr>
          <w:rFonts w:eastAsia="Times New Roman" w:cs="Times New Roman"/>
        </w:rPr>
        <w:t>A</w:t>
      </w:r>
      <w:r w:rsidR="00B62862">
        <w:rPr>
          <w:rFonts w:eastAsia="Times New Roman" w:cs="Times New Roman"/>
        </w:rPr>
        <w:t xml:space="preserve"> </w:t>
      </w:r>
      <w:r w:rsidR="00F620BF">
        <w:rPr>
          <w:rFonts w:eastAsia="Times New Roman" w:cs="Times New Roman"/>
        </w:rPr>
        <w:t xml:space="preserve">stress-scape </w:t>
      </w:r>
      <w:r w:rsidR="00A33A22">
        <w:rPr>
          <w:rFonts w:eastAsia="Times New Roman" w:cs="Times New Roman"/>
        </w:rPr>
        <w:t xml:space="preserve">representing </w:t>
      </w:r>
      <w:r w:rsidR="0049669B">
        <w:rPr>
          <w:rFonts w:eastAsia="Times New Roman" w:cs="Times New Roman"/>
        </w:rPr>
        <w:t xml:space="preserve">cold water temperatures in the winter </w:t>
      </w:r>
      <w:r w:rsidR="001A3CBF">
        <w:rPr>
          <w:rFonts w:eastAsia="Times New Roman" w:cs="Times New Roman"/>
        </w:rPr>
        <w:t xml:space="preserve">should </w:t>
      </w:r>
      <w:r w:rsidR="00257FAF">
        <w:rPr>
          <w:rFonts w:eastAsia="Times New Roman" w:cs="Times New Roman"/>
        </w:rPr>
        <w:t>have different covariance with SGR than warm waters in the summer.</w:t>
      </w:r>
      <w:r w:rsidRPr="3ADEDFF5">
        <w:rPr>
          <w:rFonts w:eastAsia="Times New Roman" w:cs="Times New Roman"/>
        </w:rPr>
        <w:t xml:space="preserve"> K-Means would assume that all possible clusters covary in the same way, </w:t>
      </w:r>
      <w:r w:rsidR="00A80F23">
        <w:rPr>
          <w:rFonts w:eastAsia="Times New Roman" w:cs="Times New Roman"/>
        </w:rPr>
        <w:t>and so this difference cannot be accounted for</w:t>
      </w:r>
      <w:r w:rsidRPr="1C5B797D">
        <w:rPr>
          <w:rFonts w:eastAsia="Times New Roman" w:cs="Times New Roman"/>
        </w:rPr>
        <w:t>.</w:t>
      </w:r>
    </w:p>
    <w:p w14:paraId="50B159BD" w14:textId="10B91A88" w:rsidR="00F13B0C" w:rsidRDefault="00F13B0C" w:rsidP="00F13B0C">
      <w:pPr>
        <w:ind w:firstLine="567"/>
        <w:rPr>
          <w:rFonts w:eastAsia="Times New Roman" w:cs="Times New Roman"/>
        </w:rPr>
      </w:pPr>
      <w:r w:rsidRPr="00D03C59">
        <w:rPr>
          <w:rFonts w:eastAsia="Times New Roman" w:cs="Times New Roman"/>
        </w:rPr>
        <w:t>The prSOM data structure is comprised of neurons and edges connecting the neurons. Each neuron represents a spherical Gaussian. The weight vector</w:t>
      </w:r>
      <w:r>
        <w:rPr>
          <w:rFonts w:eastAsia="Times New Roman" w:cs="Times New Roman"/>
        </w:rPr>
        <w:t xml:space="preserve">, mean and position of a </w:t>
      </w:r>
      <w:r w:rsidRPr="00D03C59">
        <w:rPr>
          <w:rFonts w:eastAsia="Times New Roman" w:cs="Times New Roman"/>
        </w:rPr>
        <w:t>neuron</w:t>
      </w:r>
      <w:r>
        <w:rPr>
          <w:rFonts w:eastAsia="Times New Roman" w:cs="Times New Roman"/>
        </w:rPr>
        <w:t xml:space="preserve"> are interchangeable terms referring to</w:t>
      </w:r>
      <w:r w:rsidRPr="00D03C59">
        <w:rPr>
          <w:rFonts w:eastAsia="Times New Roman" w:cs="Times New Roman"/>
        </w:rPr>
        <w:t xml:space="preserve"> the mean of</w:t>
      </w:r>
      <w:r>
        <w:rPr>
          <w:rFonts w:eastAsia="Times New Roman" w:cs="Times New Roman"/>
        </w:rPr>
        <w:t xml:space="preserve"> a</w:t>
      </w:r>
      <w:r w:rsidRPr="00D03C59">
        <w:rPr>
          <w:rFonts w:eastAsia="Times New Roman" w:cs="Times New Roman"/>
        </w:rPr>
        <w:t xml:space="preserve"> spherical Gaussian</w:t>
      </w:r>
      <w:r>
        <w:rPr>
          <w:rFonts w:eastAsia="Times New Roman" w:cs="Times New Roman"/>
        </w:rPr>
        <w:t>.</w:t>
      </w:r>
      <w:r w:rsidRPr="00D03C59">
        <w:rPr>
          <w:rFonts w:eastAsia="Times New Roman" w:cs="Times New Roman"/>
        </w:rPr>
        <w:t xml:space="preserve"> </w:t>
      </w:r>
      <w:r>
        <w:rPr>
          <w:rFonts w:eastAsia="Times New Roman" w:cs="Times New Roman"/>
        </w:rPr>
        <w:t>T</w:t>
      </w:r>
      <w:r w:rsidRPr="00D03C59">
        <w:rPr>
          <w:rFonts w:eastAsia="Times New Roman" w:cs="Times New Roman"/>
        </w:rPr>
        <w:t xml:space="preserve">he variance of a neuron is the variance of the spherical Gaussian centered on the neuron’s weight vector. The edges between the neurons represent conditional dependence of the stress-scapes on each other. Each iteration of the prSOM can be thought of as a competition between all the neurons to </w:t>
      </w:r>
      <w:r>
        <w:rPr>
          <w:rFonts w:eastAsia="Times New Roman" w:cs="Times New Roman"/>
        </w:rPr>
        <w:t xml:space="preserve">classify the </w:t>
      </w:r>
      <w:r w:rsidRPr="00D03C59">
        <w:rPr>
          <w:rFonts w:eastAsia="Times New Roman" w:cs="Times New Roman"/>
        </w:rPr>
        <w:t xml:space="preserve">stress-scapes with the highest probability. </w:t>
      </w:r>
      <w:r>
        <w:rPr>
          <w:rFonts w:eastAsia="Times New Roman" w:cs="Times New Roman"/>
        </w:rPr>
        <w:t>A</w:t>
      </w:r>
      <w:r w:rsidRPr="00D03C59">
        <w:rPr>
          <w:rFonts w:eastAsia="Times New Roman" w:cs="Times New Roman"/>
        </w:rPr>
        <w:t xml:space="preserve"> temperature parameter</w:t>
      </w:r>
      <w:r>
        <w:rPr>
          <w:rFonts w:eastAsia="Times New Roman" w:cs="Times New Roman"/>
        </w:rPr>
        <w:t>,</w:t>
      </w:r>
      <w:r w:rsidRPr="00D03C59">
        <w:rPr>
          <w:rFonts w:eastAsia="Times New Roman" w:cs="Times New Roman"/>
        </w:rPr>
        <w:t xml:space="preserve"> </w:t>
      </w:r>
      <w:r>
        <w:rPr>
          <w:rFonts w:eastAsia="Times New Roman" w:cs="Times New Roman"/>
        </w:rPr>
        <w:t xml:space="preserve">denoted </w:t>
      </w:r>
      <w:r w:rsidRPr="00D03C59">
        <w:rPr>
          <w:rFonts w:eastAsia="Times New Roman" w:cs="Times New Roman"/>
        </w:rPr>
        <w:t>T</w:t>
      </w:r>
      <w:r>
        <w:rPr>
          <w:rFonts w:eastAsia="Times New Roman" w:cs="Times New Roman"/>
        </w:rPr>
        <w:t>,</w:t>
      </w:r>
      <w:r w:rsidRPr="00D03C59">
        <w:rPr>
          <w:rFonts w:eastAsia="Times New Roman" w:cs="Times New Roman"/>
        </w:rPr>
        <w:t xml:space="preserve"> controls the </w:t>
      </w:r>
      <w:r w:rsidR="004F3A29">
        <w:rPr>
          <w:rFonts w:eastAsia="Times New Roman" w:cs="Times New Roman"/>
        </w:rPr>
        <w:t>width</w:t>
      </w:r>
      <w:r w:rsidRPr="00D03C59">
        <w:rPr>
          <w:rFonts w:eastAsia="Times New Roman" w:cs="Times New Roman"/>
        </w:rPr>
        <w:t xml:space="preserve"> of a neuron’s neighborhood.</w:t>
      </w:r>
      <w:r>
        <w:rPr>
          <w:rFonts w:eastAsia="Times New Roman" w:cs="Times New Roman"/>
        </w:rPr>
        <w:t xml:space="preserve"> F</w:t>
      </w:r>
      <w:r w:rsidRPr="00D03C59">
        <w:rPr>
          <w:rFonts w:eastAsia="Times New Roman" w:cs="Times New Roman"/>
        </w:rPr>
        <w:t xml:space="preserve">or small values of T, a stress-scape is not conditionally dependent on any other stress-scapes. For large values of T, a stress-scape depends on its neighboring stress-scapes </w:t>
      </w:r>
      <w:r>
        <w:rPr>
          <w:rFonts w:eastAsia="Times New Roman" w:cs="Times New Roman"/>
        </w:rPr>
        <w:t>(up to T edges out)</w:t>
      </w:r>
      <w:r w:rsidRPr="00D03C59">
        <w:rPr>
          <w:rFonts w:eastAsia="Times New Roman" w:cs="Times New Roman"/>
        </w:rPr>
        <w:t>. In our application, we set the maximum (initial value) of T to 3 and the minimum (final value) to 1.01. Initially, all the stress-scapes are conditionally independent of one another</w:t>
      </w:r>
      <w:r w:rsidR="009E62A1">
        <w:rPr>
          <w:rFonts w:eastAsia="Times New Roman" w:cs="Times New Roman"/>
        </w:rPr>
        <w:t xml:space="preserve"> and the weight vector update resembles the EM algorithm</w:t>
      </w:r>
      <w:r w:rsidR="00653B58">
        <w:rPr>
          <w:rFonts w:eastAsia="Times New Roman" w:cs="Times New Roman"/>
        </w:rPr>
        <w:t>. A</w:t>
      </w:r>
      <w:r w:rsidRPr="00D03C59">
        <w:rPr>
          <w:rFonts w:eastAsia="Times New Roman" w:cs="Times New Roman"/>
        </w:rPr>
        <w:t xml:space="preserve">s the approximation of the distribution </w:t>
      </w:r>
      <w:r>
        <w:rPr>
          <w:rFonts w:eastAsia="Times New Roman" w:cs="Times New Roman"/>
        </w:rPr>
        <w:t>becomes more precise</w:t>
      </w:r>
      <w:r w:rsidRPr="00D03C59">
        <w:rPr>
          <w:rFonts w:eastAsia="Times New Roman" w:cs="Times New Roman"/>
        </w:rPr>
        <w:t xml:space="preserve">, we slowly </w:t>
      </w:r>
      <w:r w:rsidR="00E059B0">
        <w:rPr>
          <w:rFonts w:eastAsia="Times New Roman" w:cs="Times New Roman"/>
        </w:rPr>
        <w:t>decrease the neighborhood width (T)</w:t>
      </w:r>
      <w:r w:rsidR="009420B8">
        <w:rPr>
          <w:rFonts w:eastAsia="Times New Roman" w:cs="Times New Roman"/>
        </w:rPr>
        <w:t xml:space="preserve"> to a value of 1.01</w:t>
      </w:r>
      <w:r w:rsidR="004F3A29">
        <w:rPr>
          <w:rFonts w:eastAsia="Times New Roman" w:cs="Times New Roman"/>
        </w:rPr>
        <w:t xml:space="preserve"> </w:t>
      </w:r>
      <w:r w:rsidR="0030766D">
        <w:rPr>
          <w:rFonts w:eastAsia="Times New Roman" w:cs="Times New Roman"/>
        </w:rPr>
        <w:t xml:space="preserve">and the </w:t>
      </w:r>
      <w:r w:rsidR="00C11F67">
        <w:rPr>
          <w:rFonts w:eastAsia="Times New Roman" w:cs="Times New Roman"/>
        </w:rPr>
        <w:t>weight vector update resembles the K-Means algorithm</w:t>
      </w:r>
      <w:r w:rsidRPr="00D03C59">
        <w:rPr>
          <w:rFonts w:eastAsia="Times New Roman" w:cs="Times New Roman"/>
        </w:rPr>
        <w:t>.</w:t>
      </w:r>
    </w:p>
    <w:p w14:paraId="3ECC7FA0" w14:textId="416296A0" w:rsidR="00F13B0C" w:rsidRDefault="00F13B0C" w:rsidP="00F13B0C">
      <w:pPr>
        <w:ind w:firstLine="567"/>
        <w:rPr>
          <w:rFonts w:eastAsia="Times New Roman" w:cs="Times New Roman"/>
        </w:rPr>
      </w:pPr>
      <w:r w:rsidRPr="3D4F8853">
        <w:rPr>
          <w:rFonts w:eastAsia="Times New Roman" w:cs="Times New Roman"/>
        </w:rPr>
        <w:t xml:space="preserve">The prSOM algorithm fits a mixture of spherical Gaussians (multivariate normal distributions with no covariance) to approximate the distribution of SST, SGR, and </w:t>
      </w:r>
      <w:r w:rsidRPr="7EBFD61E">
        <w:rPr>
          <w:rFonts w:eastAsiaTheme="minorEastAsia"/>
        </w:rPr>
        <w:t>pCO</w:t>
      </w:r>
      <w:r w:rsidRPr="7EBFD61E">
        <w:rPr>
          <w:rFonts w:eastAsiaTheme="minorEastAsia"/>
          <w:vertAlign w:val="subscript"/>
        </w:rPr>
        <w:t>2</w:t>
      </w:r>
      <w:r w:rsidRPr="3D4F8853">
        <w:rPr>
          <w:rFonts w:eastAsia="Times New Roman" w:cs="Times New Roman"/>
        </w:rPr>
        <w:t xml:space="preserve"> through time. </w:t>
      </w:r>
      <w:r w:rsidR="00CC428F" w:rsidRPr="3D4F8853">
        <w:rPr>
          <w:rFonts w:eastAsia="Times New Roman" w:cs="Times New Roman"/>
        </w:rPr>
        <w:t>Like</w:t>
      </w:r>
      <w:r w:rsidRPr="3D4F8853">
        <w:rPr>
          <w:rFonts w:eastAsia="Times New Roman" w:cs="Times New Roman"/>
        </w:rPr>
        <w:t xml:space="preserve"> the Expectation-Maximization algorithm, the prSOM is trained by adjusting the neuron centers to minimize the</w:t>
      </w:r>
      <w:r w:rsidR="00B60FA8">
        <w:rPr>
          <w:rFonts w:eastAsia="Times New Roman" w:cs="Times New Roman"/>
        </w:rPr>
        <w:t xml:space="preserve"> least-squares</w:t>
      </w:r>
      <w:r w:rsidRPr="3D4F8853">
        <w:rPr>
          <w:rFonts w:eastAsia="Times New Roman" w:cs="Times New Roman"/>
        </w:rPr>
        <w:t xml:space="preserve"> </w:t>
      </w:r>
      <w:r>
        <w:rPr>
          <w:rFonts w:eastAsia="Times New Roman" w:cs="Times New Roman"/>
        </w:rPr>
        <w:t>error</w:t>
      </w:r>
      <w:r w:rsidR="008A1979">
        <w:rPr>
          <w:rFonts w:eastAsia="Times New Roman" w:cs="Times New Roman"/>
        </w:rPr>
        <w:t xml:space="preserve"> “</w:t>
      </w:r>
      <m:oMath>
        <m:r>
          <w:rPr>
            <w:rFonts w:ascii="Cambria Math" w:eastAsia="Times New Roman" w:hAnsi="Cambria Math" w:cs="Times New Roman"/>
          </w:rPr>
          <m:t>E</m:t>
        </m:r>
      </m:oMath>
      <w:r w:rsidR="005002AA">
        <w:rPr>
          <w:rFonts w:eastAsia="Times New Roman" w:cs="Times New Roman"/>
        </w:rPr>
        <w:t>”</w:t>
      </w:r>
      <w:r>
        <w:rPr>
          <w:rFonts w:eastAsia="Times New Roman" w:cs="Times New Roman"/>
        </w:rPr>
        <w:t xml:space="preserve"> between the estimated remotely sensed data at each pixel and the mean values of each class assigned to the pixel</w:t>
      </w:r>
      <w:r w:rsidRPr="00127CBB">
        <w:rPr>
          <w:rFonts w:eastAsia="Times New Roman" w:cs="Times New Roman"/>
        </w:rPr>
        <w:t>:</w:t>
      </w:r>
      <w:r w:rsidRPr="3D4F8853">
        <w:rPr>
          <w:rFonts w:eastAsia="Times New Roman" w:cs="Times New Roman"/>
        </w:rPr>
        <w:t xml:space="preserve"> </w:t>
      </w:r>
    </w:p>
    <w:p w14:paraId="46490068" w14:textId="77777777" w:rsidR="00F13B0C" w:rsidRPr="005E2A1E" w:rsidRDefault="00F13B0C" w:rsidP="00F13B0C">
      <w:pPr>
        <w:ind w:firstLine="567"/>
        <w:rPr>
          <w:rFonts w:eastAsia="Times New Roman" w:cs="Times New Roman"/>
          <w:szCs w:val="24"/>
        </w:rPr>
      </w:pPr>
      <m:oMathPara>
        <m:oMath>
          <m:r>
            <w:rPr>
              <w:rFonts w:ascii="Cambria Math" w:eastAsia="Times New Roman" w:hAnsi="Cambria Math" w:cs="Times New Roman"/>
              <w:szCs w:val="24"/>
            </w:rPr>
            <m:t>E=</m:t>
          </m:r>
          <m:nary>
            <m:naryPr>
              <m:chr m:val="∑"/>
              <m:subHide m:val="1"/>
              <m:supHide m:val="1"/>
              <m:ctrlPr>
                <w:rPr>
                  <w:rFonts w:ascii="Cambria Math" w:eastAsia="Times New Roman" w:hAnsi="Cambria Math" w:cs="Times New Roman"/>
                  <w:i/>
                  <w:szCs w:val="24"/>
                </w:rPr>
              </m:ctrlPr>
            </m:naryPr>
            <m:sub/>
            <m:sup/>
            <m:e>
              <m:sSup>
                <m:sSupPr>
                  <m:ctrlPr>
                    <w:rPr>
                      <w:rFonts w:ascii="Cambria Math" w:eastAsia="Times New Roman" w:hAnsi="Cambria Math" w:cs="Times New Roman"/>
                      <w:i/>
                      <w:szCs w:val="24"/>
                    </w:rPr>
                  </m:ctrlPr>
                </m:sSupPr>
                <m:e>
                  <m:d>
                    <m:dPr>
                      <m:begChr m:val="|"/>
                      <m:endChr m:val="|"/>
                      <m:ctrlPr>
                        <w:rPr>
                          <w:rFonts w:ascii="Cambria Math" w:eastAsia="Times New Roman" w:hAnsi="Cambria Math" w:cs="Times New Roman"/>
                          <w:i/>
                          <w:szCs w:val="24"/>
                        </w:rPr>
                      </m:ctrlPr>
                    </m:dPr>
                    <m:e>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y</m:t>
                          </m:r>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θ,ϕ,m</m:t>
                                  </m:r>
                                </m:e>
                              </m:d>
                            </m:e>
                          </m:d>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i</m:t>
                              </m:r>
                            </m:sub>
                          </m:sSub>
                        </m:e>
                      </m:d>
                    </m:e>
                  </m:d>
                </m:e>
                <m:sup>
                  <m:r>
                    <w:rPr>
                      <w:rFonts w:ascii="Cambria Math" w:eastAsia="Times New Roman" w:hAnsi="Cambria Math" w:cs="Times New Roman"/>
                      <w:szCs w:val="24"/>
                    </w:rPr>
                    <m:t>2</m:t>
                  </m:r>
                </m:sup>
              </m:sSup>
            </m:e>
          </m:nary>
        </m:oMath>
      </m:oMathPara>
    </w:p>
    <w:p w14:paraId="79A1631B" w14:textId="77777777" w:rsidR="00F13B0C" w:rsidRDefault="00F13B0C" w:rsidP="00F13B0C">
      <w:pPr>
        <w:rPr>
          <w:rFonts w:eastAsia="Times New Roman" w:cs="Times New Roman"/>
          <w:szCs w:val="24"/>
        </w:rPr>
      </w:pPr>
      <w:r>
        <w:rPr>
          <w:rFonts w:eastAsia="Times New Roman" w:cs="Times New Roman"/>
          <w:szCs w:val="24"/>
        </w:rPr>
        <w:t xml:space="preserve">Where </w:t>
      </w:r>
      <m:oMath>
        <m:r>
          <w:rPr>
            <w:rFonts w:ascii="Cambria Math" w:eastAsia="Times New Roman" w:hAnsi="Cambria Math" w:cs="Times New Roman"/>
            <w:szCs w:val="24"/>
          </w:rPr>
          <m:t>y(</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θ,ϕ,m</m:t>
            </m:r>
          </m:e>
        </m:d>
        <m:r>
          <w:rPr>
            <w:rFonts w:ascii="Cambria Math" w:eastAsia="Times New Roman" w:hAnsi="Cambria Math" w:cs="Times New Roman"/>
            <w:szCs w:val="24"/>
          </w:rPr>
          <m:t>)</m:t>
        </m:r>
      </m:oMath>
      <w:r>
        <w:rPr>
          <w:rFonts w:eastAsia="Times New Roman" w:cs="Times New Roman"/>
          <w:szCs w:val="24"/>
        </w:rPr>
        <w:t xml:space="preserve"> is the predicted stress-scape of an ocean pixel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i</m:t>
            </m:r>
          </m:sub>
        </m:sSub>
      </m:oMath>
      <w:r>
        <w:rPr>
          <w:rFonts w:eastAsia="Times New Roman" w:cs="Times New Roman"/>
          <w:szCs w:val="24"/>
        </w:rPr>
        <w:t xml:space="preserve"> is a desired stress-scape that minimizes </w:t>
      </w:r>
      <m:oMath>
        <m:r>
          <w:rPr>
            <w:rFonts w:ascii="Cambria Math" w:eastAsia="Times New Roman" w:hAnsi="Cambria Math" w:cs="Times New Roman"/>
            <w:szCs w:val="24"/>
          </w:rPr>
          <m:t>E</m:t>
        </m:r>
      </m:oMath>
      <w:r>
        <w:rPr>
          <w:rFonts w:eastAsia="Times New Roman" w:cs="Times New Roman"/>
          <w:szCs w:val="24"/>
        </w:rPr>
        <w:t xml:space="preserve">. Since the GOA is not labeled, the correct stress-scapes are not known. So, we use an unsupervised iterative algorithm to first estimate each ocean class label according to the data and neurons that are nearby. Hence,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t</m:t>
            </m:r>
          </m:e>
          <m:sub>
            <m:r>
              <w:rPr>
                <w:rFonts w:ascii="Cambria Math" w:eastAsia="Times New Roman" w:hAnsi="Cambria Math" w:cs="Times New Roman"/>
                <w:szCs w:val="24"/>
              </w:rPr>
              <m:t>i</m:t>
            </m:r>
          </m:sub>
        </m:sSub>
      </m:oMath>
      <w:r>
        <w:rPr>
          <w:rFonts w:eastAsia="Times New Roman" w:cs="Times New Roman"/>
          <w:szCs w:val="24"/>
        </w:rPr>
        <w:t xml:space="preserve"> is the remotely sensed data at each ocean pixel. At each iteration of the prSOM algorithm, the centers of all the neurons are updated to maximize the probability that the neuron generates nearby data. The probability that the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k</m:t>
            </m:r>
          </m:e>
          <m:sup>
            <m:r>
              <w:rPr>
                <w:rFonts w:ascii="Cambria Math" w:eastAsia="Times New Roman" w:hAnsi="Cambria Math" w:cs="Times New Roman"/>
                <w:szCs w:val="24"/>
              </w:rPr>
              <m:t>th</m:t>
            </m:r>
          </m:sup>
        </m:sSup>
      </m:oMath>
      <w:r>
        <w:rPr>
          <w:rFonts w:eastAsia="Times New Roman" w:cs="Times New Roman"/>
          <w:szCs w:val="24"/>
        </w:rPr>
        <w:t xml:space="preserve"> neuron generated the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i</m:t>
            </m:r>
          </m:e>
          <m:sup>
            <m:r>
              <w:rPr>
                <w:rFonts w:ascii="Cambria Math" w:eastAsia="Times New Roman" w:hAnsi="Cambria Math" w:cs="Times New Roman"/>
                <w:szCs w:val="24"/>
              </w:rPr>
              <m:t>th</m:t>
            </m:r>
          </m:sup>
        </m:sSup>
        <m:r>
          <w:rPr>
            <w:rFonts w:ascii="Cambria Math" w:eastAsia="Times New Roman" w:hAnsi="Cambria Math" w:cs="Times New Roman"/>
            <w:szCs w:val="24"/>
          </w:rPr>
          <m:t xml:space="preserve"> </m:t>
        </m:r>
      </m:oMath>
      <w:r>
        <w:rPr>
          <w:rFonts w:eastAsia="Times New Roman" w:cs="Times New Roman"/>
          <w:szCs w:val="24"/>
        </w:rPr>
        <w:t xml:space="preserve">observation in the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j</m:t>
            </m:r>
          </m:e>
          <m:sup>
            <m:r>
              <w:rPr>
                <w:rFonts w:ascii="Cambria Math" w:eastAsia="Times New Roman" w:hAnsi="Cambria Math" w:cs="Times New Roman"/>
                <w:szCs w:val="24"/>
              </w:rPr>
              <m:t>th</m:t>
            </m:r>
          </m:sup>
        </m:sSup>
      </m:oMath>
      <w:r>
        <w:rPr>
          <w:rFonts w:eastAsia="Times New Roman" w:cs="Times New Roman"/>
          <w:szCs w:val="24"/>
        </w:rPr>
        <w:t xml:space="preserve"> iteration of the prSOM is given by:</w:t>
      </w:r>
    </w:p>
    <w:p w14:paraId="3F63EE08" w14:textId="77777777" w:rsidR="00F13B0C" w:rsidRPr="00C70E1F" w:rsidRDefault="00F13B0C" w:rsidP="00F13B0C">
      <w:pPr>
        <w:ind w:firstLine="567"/>
        <w:jc w:val="center"/>
        <w:rPr>
          <w:rFonts w:eastAsia="Times New Roman" w:cs="Times New Roman"/>
          <w:szCs w:val="24"/>
        </w:rPr>
      </w:pPr>
      <m:oMathPara>
        <m:oMath>
          <m:r>
            <w:rPr>
              <w:rFonts w:ascii="Cambria Math" w:eastAsia="Times New Roman" w:hAnsi="Cambria Math" w:cs="Times New Roman"/>
              <w:szCs w:val="24"/>
            </w:rPr>
            <m:t>p</m:t>
          </m:r>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θ,ϕ,m</m:t>
                  </m:r>
                </m:e>
              </m:d>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μ</m:t>
                  </m:r>
                </m:e>
                <m:sub>
                  <m:r>
                    <w:rPr>
                      <w:rFonts w:ascii="Cambria Math" w:eastAsia="Times New Roman" w:hAnsi="Cambria Math" w:cs="Times New Roman"/>
                      <w:szCs w:val="24"/>
                    </w:rPr>
                    <m:t>k</m:t>
                  </m:r>
                </m:sub>
                <m:sup>
                  <m:r>
                    <w:rPr>
                      <w:rFonts w:ascii="Cambria Math" w:eastAsia="Times New Roman" w:hAnsi="Cambria Math" w:cs="Times New Roman"/>
                      <w:szCs w:val="24"/>
                    </w:rPr>
                    <m:t>j</m:t>
                  </m:r>
                </m:sup>
              </m:sSubSup>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σ</m:t>
                  </m:r>
                </m:e>
                <m:sub>
                  <m:r>
                    <w:rPr>
                      <w:rFonts w:ascii="Cambria Math" w:eastAsia="Times New Roman" w:hAnsi="Cambria Math" w:cs="Times New Roman"/>
                      <w:szCs w:val="24"/>
                    </w:rPr>
                    <m:t>k</m:t>
                  </m:r>
                </m:sub>
                <m:sup>
                  <m:r>
                    <w:rPr>
                      <w:rFonts w:ascii="Cambria Math" w:eastAsia="Times New Roman" w:hAnsi="Cambria Math" w:cs="Times New Roman"/>
                      <w:szCs w:val="24"/>
                    </w:rPr>
                    <m:t>j</m:t>
                  </m:r>
                </m:sup>
              </m:sSubSup>
            </m:e>
          </m:d>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k</m:t>
                  </m:r>
                </m:sub>
              </m:sSub>
            </m:den>
          </m:f>
          <m:func>
            <m:funcPr>
              <m:ctrlPr>
                <w:rPr>
                  <w:rFonts w:ascii="Cambria Math" w:eastAsia="Times New Roman" w:hAnsi="Cambria Math" w:cs="Times New Roman"/>
                  <w:i/>
                  <w:szCs w:val="24"/>
                </w:rPr>
              </m:ctrlPr>
            </m:funcPr>
            <m:fName>
              <m:r>
                <m:rPr>
                  <m:sty m:val="p"/>
                </m:rPr>
                <w:rPr>
                  <w:rFonts w:ascii="Cambria Math" w:eastAsia="Times New Roman" w:hAnsi="Cambria Math" w:cs="Times New Roman"/>
                  <w:szCs w:val="24"/>
                </w:rPr>
                <m:t>exp</m:t>
              </m:r>
            </m:fName>
            <m:e>
              <m:d>
                <m:dPr>
                  <m:ctrlPr>
                    <w:rPr>
                      <w:rFonts w:ascii="Cambria Math" w:eastAsia="Times New Roman" w:hAnsi="Cambria Math" w:cs="Times New Roman"/>
                      <w:i/>
                      <w:szCs w:val="24"/>
                    </w:rPr>
                  </m:ctrlPr>
                </m:dPr>
                <m:e>
                  <m:r>
                    <w:rPr>
                      <w:rFonts w:ascii="Cambria Math" w:eastAsia="Times New Roman" w:hAnsi="Cambria Math" w:cs="Times New Roman"/>
                      <w:szCs w:val="24"/>
                    </w:rPr>
                    <m:t>-</m:t>
                  </m:r>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d>
                            <m:dPr>
                              <m:begChr m:val="|"/>
                              <m:endChr m:val="|"/>
                              <m:ctrlPr>
                                <w:rPr>
                                  <w:rFonts w:ascii="Cambria Math" w:eastAsia="Times New Roman" w:hAnsi="Cambria Math" w:cs="Times New Roman"/>
                                  <w:i/>
                                  <w:szCs w:val="24"/>
                                </w:rPr>
                              </m:ctrlPr>
                            </m:dPr>
                            <m:e>
                              <m:d>
                                <m:dPr>
                                  <m:begChr m:val="|"/>
                                  <m:endChr m:val="|"/>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θ,ϕ,m</m:t>
                                      </m:r>
                                    </m:e>
                                  </m:d>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μ</m:t>
                                      </m:r>
                                    </m:e>
                                    <m:sub>
                                      <m:r>
                                        <w:rPr>
                                          <w:rFonts w:ascii="Cambria Math" w:eastAsia="Times New Roman" w:hAnsi="Cambria Math" w:cs="Times New Roman"/>
                                          <w:szCs w:val="24"/>
                                        </w:rPr>
                                        <m:t>k</m:t>
                                      </m:r>
                                    </m:sub>
                                    <m:sup>
                                      <m:r>
                                        <w:rPr>
                                          <w:rFonts w:ascii="Cambria Math" w:eastAsia="Times New Roman" w:hAnsi="Cambria Math" w:cs="Times New Roman"/>
                                          <w:szCs w:val="24"/>
                                        </w:rPr>
                                        <m:t>j</m:t>
                                      </m:r>
                                    </m:sup>
                                  </m:sSubSup>
                                </m:e>
                              </m:d>
                            </m:e>
                          </m:d>
                        </m:e>
                        <m:sup>
                          <m:r>
                            <w:rPr>
                              <w:rFonts w:ascii="Cambria Math" w:eastAsia="Times New Roman" w:hAnsi="Cambria Math" w:cs="Times New Roman"/>
                              <w:szCs w:val="24"/>
                            </w:rPr>
                            <m:t>2</m:t>
                          </m:r>
                        </m:sup>
                      </m:sSup>
                    </m:num>
                    <m:den>
                      <m:r>
                        <w:rPr>
                          <w:rFonts w:ascii="Cambria Math" w:eastAsia="Times New Roman" w:hAnsi="Cambria Math" w:cs="Times New Roman"/>
                          <w:szCs w:val="24"/>
                        </w:rPr>
                        <m:t>2</m:t>
                      </m:r>
                      <m:sSup>
                        <m:sSupPr>
                          <m:ctrlPr>
                            <w:rPr>
                              <w:rFonts w:ascii="Cambria Math" w:eastAsia="Times New Roman" w:hAnsi="Cambria Math" w:cs="Times New Roman"/>
                              <w:i/>
                              <w:szCs w:val="24"/>
                            </w:rPr>
                          </m:ctrlPr>
                        </m:sSupPr>
                        <m:e>
                          <m:d>
                            <m:dPr>
                              <m:ctrlPr>
                                <w:rPr>
                                  <w:rFonts w:ascii="Cambria Math" w:eastAsia="Times New Roman" w:hAnsi="Cambria Math" w:cs="Times New Roman"/>
                                  <w:i/>
                                  <w:szCs w:val="24"/>
                                </w:rPr>
                              </m:ctrlPr>
                            </m:dPr>
                            <m:e>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σ</m:t>
                                  </m:r>
                                </m:e>
                                <m:sub>
                                  <m:r>
                                    <w:rPr>
                                      <w:rFonts w:ascii="Cambria Math" w:eastAsia="Times New Roman" w:hAnsi="Cambria Math" w:cs="Times New Roman"/>
                                      <w:szCs w:val="24"/>
                                    </w:rPr>
                                    <m:t>k</m:t>
                                  </m:r>
                                </m:sub>
                                <m:sup>
                                  <m:r>
                                    <w:rPr>
                                      <w:rFonts w:ascii="Cambria Math" w:eastAsia="Times New Roman" w:hAnsi="Cambria Math" w:cs="Times New Roman"/>
                                      <w:szCs w:val="24"/>
                                    </w:rPr>
                                    <m:t>j</m:t>
                                  </m:r>
                                </m:sup>
                              </m:sSubSup>
                            </m:e>
                          </m:d>
                        </m:e>
                        <m:sup>
                          <m:r>
                            <w:rPr>
                              <w:rFonts w:ascii="Cambria Math" w:eastAsia="Times New Roman" w:hAnsi="Cambria Math" w:cs="Times New Roman"/>
                              <w:szCs w:val="24"/>
                            </w:rPr>
                            <m:t>2</m:t>
                          </m:r>
                        </m:sup>
                      </m:sSup>
                    </m:den>
                  </m:f>
                </m:e>
              </m:d>
            </m:e>
          </m:func>
        </m:oMath>
      </m:oMathPara>
    </w:p>
    <w:p w14:paraId="77AF800B" w14:textId="77777777" w:rsidR="00F13B0C" w:rsidRDefault="00F13B0C" w:rsidP="00F13B0C">
      <w:pPr>
        <w:rPr>
          <w:rFonts w:eastAsia="Times New Roman" w:cs="Times New Roman"/>
          <w:szCs w:val="24"/>
        </w:rPr>
      </w:pPr>
      <w:r>
        <w:rPr>
          <w:rFonts w:eastAsia="Times New Roman" w:cs="Times New Roman"/>
          <w:szCs w:val="24"/>
        </w:rPr>
        <w:lastRenderedPageBreak/>
        <w:t xml:space="preserve">At iteration </w:t>
      </w:r>
      <m:oMath>
        <m:r>
          <w:rPr>
            <w:rFonts w:ascii="Cambria Math" w:eastAsia="Times New Roman" w:hAnsi="Cambria Math" w:cs="Times New Roman"/>
            <w:szCs w:val="24"/>
          </w:rPr>
          <m:t>j</m:t>
        </m:r>
      </m:oMath>
      <w:r>
        <w:rPr>
          <w:rFonts w:eastAsia="Times New Roman" w:cs="Times New Roman"/>
          <w:szCs w:val="24"/>
        </w:rPr>
        <w:t xml:space="preserve">, an observation is labeled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0</m:t>
            </m:r>
          </m:sub>
        </m:sSub>
      </m:oMath>
      <w:r>
        <w:rPr>
          <w:rFonts w:eastAsia="Times New Roman" w:cs="Times New Roman"/>
          <w:szCs w:val="24"/>
        </w:rPr>
        <w:t xml:space="preserve"> if</w:t>
      </w:r>
    </w:p>
    <w:p w14:paraId="22D02FB7" w14:textId="77777777" w:rsidR="00F13B0C" w:rsidRPr="006F01BC" w:rsidRDefault="00F13B0C" w:rsidP="00F13B0C">
      <w:pPr>
        <w:rPr>
          <w:rFonts w:eastAsia="Times New Roman" w:cs="Times New Roman"/>
          <w:szCs w:val="24"/>
        </w:rPr>
      </w:pPr>
      <m:oMathPara>
        <m:oMathParaPr>
          <m:jc m:val="center"/>
        </m:oMathParaPr>
        <m:oMath>
          <m:r>
            <w:rPr>
              <w:rFonts w:ascii="Cambria Math" w:eastAsia="Times New Roman" w:hAnsi="Cambria Math" w:cs="Times New Roman"/>
              <w:szCs w:val="24"/>
            </w:rPr>
            <m:t>p</m:t>
          </m:r>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θ,ϕ,m</m:t>
                  </m:r>
                </m:e>
              </m:d>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μ</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0</m:t>
                      </m:r>
                    </m:sub>
                  </m:sSub>
                </m:sub>
                <m:sup>
                  <m:r>
                    <w:rPr>
                      <w:rFonts w:ascii="Cambria Math" w:eastAsia="Times New Roman" w:hAnsi="Cambria Math" w:cs="Times New Roman"/>
                      <w:szCs w:val="24"/>
                    </w:rPr>
                    <m:t>j</m:t>
                  </m:r>
                </m:sup>
              </m:sSubSup>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σ</m:t>
                  </m:r>
                </m:e>
                <m:sub>
                  <m:sSub>
                    <m:sSubPr>
                      <m:ctrlPr>
                        <w:rPr>
                          <w:rFonts w:ascii="Cambria Math" w:eastAsia="Times New Roman" w:hAnsi="Cambria Math" w:cs="Times New Roman"/>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0</m:t>
                      </m:r>
                    </m:sub>
                  </m:sSub>
                </m:sub>
                <m:sup>
                  <m:r>
                    <w:rPr>
                      <w:rFonts w:ascii="Cambria Math" w:eastAsia="Times New Roman" w:hAnsi="Cambria Math" w:cs="Times New Roman"/>
                      <w:szCs w:val="24"/>
                    </w:rPr>
                    <m:t>j</m:t>
                  </m:r>
                </m:sup>
              </m:sSubSup>
            </m:e>
          </m:d>
          <m:r>
            <w:rPr>
              <w:rFonts w:ascii="Cambria Math" w:eastAsia="Times New Roman" w:hAnsi="Cambria Math" w:cs="Times New Roman"/>
              <w:szCs w:val="24"/>
            </w:rPr>
            <m:t>=</m:t>
          </m:r>
          <m:func>
            <m:funcPr>
              <m:ctrlPr>
                <w:rPr>
                  <w:rFonts w:ascii="Cambria Math" w:eastAsia="Times New Roman" w:hAnsi="Cambria Math" w:cs="Times New Roman"/>
                  <w:i/>
                  <w:szCs w:val="24"/>
                </w:rPr>
              </m:ctrlPr>
            </m:funcPr>
            <m:fName>
              <m:limLow>
                <m:limLowPr>
                  <m:ctrlPr>
                    <w:rPr>
                      <w:rFonts w:ascii="Cambria Math" w:eastAsia="Times New Roman" w:hAnsi="Cambria Math" w:cs="Times New Roman"/>
                      <w:i/>
                      <w:szCs w:val="24"/>
                    </w:rPr>
                  </m:ctrlPr>
                </m:limLowPr>
                <m:e>
                  <m:r>
                    <m:rPr>
                      <m:sty m:val="p"/>
                    </m:rPr>
                    <w:rPr>
                      <w:rFonts w:ascii="Cambria Math" w:eastAsia="Times New Roman" w:hAnsi="Cambria Math" w:cs="Times New Roman"/>
                      <w:szCs w:val="24"/>
                    </w:rPr>
                    <m:t>max</m:t>
                  </m:r>
                  <m:ctrlPr>
                    <w:rPr>
                      <w:rFonts w:ascii="Cambria Math" w:eastAsia="Times New Roman" w:hAnsi="Cambria Math" w:cs="Times New Roman"/>
                      <w:szCs w:val="24"/>
                    </w:rPr>
                  </m:ctrlPr>
                </m:e>
                <m:lim>
                  <m:r>
                    <w:rPr>
                      <w:rFonts w:ascii="Cambria Math" w:eastAsia="Times New Roman" w:hAnsi="Cambria Math" w:cs="Times New Roman"/>
                      <w:szCs w:val="24"/>
                    </w:rPr>
                    <m:t>k</m:t>
                  </m:r>
                  <m:ctrlPr>
                    <w:rPr>
                      <w:rFonts w:ascii="Cambria Math" w:eastAsia="Times New Roman" w:hAnsi="Cambria Math" w:cs="Times New Roman"/>
                      <w:szCs w:val="24"/>
                    </w:rPr>
                  </m:ctrlPr>
                </m:lim>
              </m:limLow>
            </m:fName>
            <m:e>
              <m:r>
                <w:rPr>
                  <w:rFonts w:ascii="Cambria Math" w:eastAsia="Times New Roman" w:hAnsi="Cambria Math" w:cs="Times New Roman"/>
                  <w:szCs w:val="24"/>
                </w:rPr>
                <m:t>p</m:t>
              </m:r>
              <m:d>
                <m:dPr>
                  <m:ctrlPr>
                    <w:rPr>
                      <w:rFonts w:ascii="Cambria Math" w:eastAsia="Times New Roman" w:hAnsi="Cambria Math" w:cs="Times New Roman"/>
                      <w:i/>
                      <w:szCs w:val="24"/>
                    </w:rPr>
                  </m:ctrlPr>
                </m:d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θ,ϕ,m</m:t>
                      </m:r>
                    </m:e>
                  </m:d>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μ</m:t>
                      </m:r>
                    </m:e>
                    <m:sub>
                      <m:r>
                        <w:rPr>
                          <w:rFonts w:ascii="Cambria Math" w:eastAsia="Times New Roman" w:hAnsi="Cambria Math" w:cs="Times New Roman"/>
                          <w:szCs w:val="24"/>
                        </w:rPr>
                        <m:t>k</m:t>
                      </m:r>
                    </m:sub>
                    <m:sup>
                      <m:r>
                        <w:rPr>
                          <w:rFonts w:ascii="Cambria Math" w:eastAsia="Times New Roman" w:hAnsi="Cambria Math" w:cs="Times New Roman"/>
                          <w:szCs w:val="24"/>
                        </w:rPr>
                        <m:t>j</m:t>
                      </m:r>
                    </m:sup>
                  </m:sSubSup>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σ</m:t>
                      </m:r>
                    </m:e>
                    <m:sub>
                      <m:r>
                        <w:rPr>
                          <w:rFonts w:ascii="Cambria Math" w:eastAsia="Times New Roman" w:hAnsi="Cambria Math" w:cs="Times New Roman"/>
                          <w:szCs w:val="24"/>
                        </w:rPr>
                        <m:t>k</m:t>
                      </m:r>
                    </m:sub>
                    <m:sup>
                      <m:r>
                        <w:rPr>
                          <w:rFonts w:ascii="Cambria Math" w:eastAsia="Times New Roman" w:hAnsi="Cambria Math" w:cs="Times New Roman"/>
                          <w:szCs w:val="24"/>
                        </w:rPr>
                        <m:t>j</m:t>
                      </m:r>
                    </m:sup>
                  </m:sSubSup>
                </m:e>
              </m:d>
              <m:r>
                <w:rPr>
                  <w:rFonts w:ascii="Cambria Math" w:eastAsia="Times New Roman" w:hAnsi="Cambria Math" w:cs="Times New Roman"/>
                  <w:szCs w:val="24"/>
                </w:rPr>
                <m:t>.</m:t>
              </m:r>
            </m:e>
          </m:func>
        </m:oMath>
      </m:oMathPara>
    </w:p>
    <w:p w14:paraId="27C353ED" w14:textId="799ABE16" w:rsidR="00F13B0C" w:rsidRPr="009E0DB3" w:rsidRDefault="00F13B0C" w:rsidP="00F13B0C">
      <w:pPr>
        <w:ind w:firstLine="720"/>
        <w:rPr>
          <w:rFonts w:eastAsia="Times New Roman" w:cs="Times New Roman"/>
        </w:rPr>
      </w:pPr>
      <w:r w:rsidRPr="1BB21545">
        <w:rPr>
          <w:rFonts w:eastAsia="Times New Roman" w:cs="Times New Roman"/>
        </w:rPr>
        <w:t xml:space="preserve">The prSOM seeks a placement of the spherical Gaussians that maximize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k</m:t>
            </m:r>
          </m:sub>
        </m:sSub>
        <m:d>
          <m:dPr>
            <m:ctrlPr>
              <w:rPr>
                <w:rFonts w:ascii="Cambria Math" w:eastAsia="Times New Roman" w:hAnsi="Cambria Math" w:cs="Times New Roman"/>
                <w:i/>
                <w:szCs w:val="24"/>
              </w:rPr>
            </m:ctrlPr>
          </m:dPr>
          <m:e>
            <m:r>
              <w:rPr>
                <w:rFonts w:ascii="Cambria Math" w:eastAsia="Times New Roman" w:hAnsi="Cambria Math" w:cs="Times New Roman"/>
                <w:szCs w:val="24"/>
              </w:rPr>
              <m:t>x</m:t>
            </m:r>
            <m:d>
              <m:dPr>
                <m:ctrlPr>
                  <w:rPr>
                    <w:rFonts w:ascii="Cambria Math" w:eastAsia="Times New Roman" w:hAnsi="Cambria Math" w:cs="Times New Roman"/>
                    <w:i/>
                    <w:szCs w:val="24"/>
                  </w:rPr>
                </m:ctrlPr>
              </m:dPr>
              <m:e>
                <m:r>
                  <w:rPr>
                    <w:rFonts w:ascii="Cambria Math" w:eastAsia="Times New Roman" w:hAnsi="Cambria Math" w:cs="Times New Roman"/>
                    <w:szCs w:val="24"/>
                  </w:rPr>
                  <m:t>θ,ϕ,t</m:t>
                </m:r>
              </m:e>
            </m:d>
          </m:e>
        </m:d>
      </m:oMath>
      <w:r w:rsidRPr="1BB21545">
        <w:rPr>
          <w:rFonts w:eastAsia="Times New Roman" w:cs="Times New Roman"/>
        </w:rPr>
        <w:t xml:space="preserve"> across the entire dataset. To do this, it proceeds iteratively</w:t>
      </w:r>
      <w:r>
        <w:rPr>
          <w:rFonts w:eastAsia="Times New Roman" w:cs="Times New Roman"/>
        </w:rPr>
        <w:t xml:space="preserve"> in two steps as described by Anouar (1998). First the neuron means and variances are computed. </w:t>
      </w:r>
      <w:r w:rsidRPr="3D4F8853">
        <w:rPr>
          <w:rFonts w:eastAsia="Times New Roman" w:cs="Times New Roman"/>
        </w:rPr>
        <w:t xml:space="preserve">Then, the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z</m:t>
            </m:r>
          </m:e>
          <m:sub>
            <m:r>
              <w:rPr>
                <w:rFonts w:ascii="Cambria Math" w:eastAsia="Times New Roman" w:hAnsi="Cambria Math" w:cs="Times New Roman"/>
                <w:szCs w:val="24"/>
              </w:rPr>
              <m:t>i</m:t>
            </m:r>
          </m:sub>
        </m:sSub>
      </m:oMath>
      <w:r w:rsidRPr="3D4F8853">
        <w:rPr>
          <w:rFonts w:eastAsia="Times New Roman" w:cs="Times New Roman"/>
        </w:rPr>
        <w:t xml:space="preserve"> </w:t>
      </w:r>
      <w:r>
        <w:rPr>
          <w:rFonts w:eastAsia="Times New Roman" w:cs="Times New Roman"/>
        </w:rPr>
        <w:t xml:space="preserve">(remotely sensed SST and the SGR data) </w:t>
      </w:r>
      <w:r w:rsidRPr="3D4F8853">
        <w:rPr>
          <w:rFonts w:eastAsia="Times New Roman" w:cs="Times New Roman"/>
        </w:rPr>
        <w:t xml:space="preserve">are all reclassified according to the stress-scapes given by </w:t>
      </w:r>
      <w:r>
        <w:rPr>
          <w:rFonts w:eastAsia="Times New Roman" w:cs="Times New Roman"/>
        </w:rPr>
        <w:t>the new means and variances of the neurons according to the new classification</w:t>
      </w:r>
      <w:r w:rsidRPr="3D4F8853">
        <w:rPr>
          <w:rFonts w:eastAsia="Times New Roman" w:cs="Times New Roman"/>
        </w:rPr>
        <w:t xml:space="preserve">. These two steps are repeated until the algorithm converges. A proof of convergence can be found in Anouar </w:t>
      </w:r>
      <w:r w:rsidR="00EB1522">
        <w:rPr>
          <w:rFonts w:eastAsia="Times New Roman" w:cs="Times New Roman"/>
        </w:rPr>
        <w:t>(</w:t>
      </w:r>
      <w:r w:rsidRPr="3D4F8853">
        <w:rPr>
          <w:rFonts w:eastAsia="Times New Roman" w:cs="Times New Roman"/>
        </w:rPr>
        <w:t xml:space="preserve">1998). But the key point of the proof is that the likelihood that the stress-scapes at iteration </w:t>
      </w:r>
      <m:oMath>
        <m:r>
          <w:rPr>
            <w:rFonts w:ascii="Cambria Math" w:eastAsia="Times New Roman" w:hAnsi="Cambria Math" w:cs="Times New Roman"/>
            <w:szCs w:val="24"/>
          </w:rPr>
          <m:t>i</m:t>
        </m:r>
      </m:oMath>
      <w:r w:rsidRPr="3D4F8853">
        <w:rPr>
          <w:rFonts w:eastAsia="Times New Roman" w:cs="Times New Roman"/>
        </w:rPr>
        <w:t xml:space="preserve"> generate the data is less than the probability that the stress-scapes at iteration </w:t>
      </w:r>
      <m:oMath>
        <m:r>
          <w:rPr>
            <w:rFonts w:ascii="Cambria Math" w:eastAsia="Times New Roman" w:hAnsi="Cambria Math" w:cs="Times New Roman"/>
            <w:szCs w:val="24"/>
          </w:rPr>
          <m:t>i+1</m:t>
        </m:r>
      </m:oMath>
      <w:r w:rsidRPr="3D4F8853">
        <w:rPr>
          <w:rFonts w:eastAsia="Times New Roman" w:cs="Times New Roman"/>
        </w:rPr>
        <w:t xml:space="preserve"> generate the data (the probability is an increasing sequence), and the probability is bounded above by </w:t>
      </w:r>
      <m:oMath>
        <m:r>
          <w:rPr>
            <w:rFonts w:ascii="Cambria Math" w:eastAsia="Times New Roman" w:hAnsi="Cambria Math" w:cs="Times New Roman"/>
            <w:szCs w:val="24"/>
          </w:rPr>
          <m:t>1</m:t>
        </m:r>
      </m:oMath>
      <w:r w:rsidRPr="3D4F8853">
        <w:rPr>
          <w:rFonts w:eastAsia="Times New Roman" w:cs="Times New Roman"/>
        </w:rPr>
        <w:t>. However, the stress-scapes are only one of many “most likely”, not the most likely generative stress-scapes, so convergence is to a local maximum, not the global maximum.</w:t>
      </w:r>
      <w:r>
        <w:rPr>
          <w:rFonts w:eastAsia="Times New Roman" w:cs="Times New Roman"/>
        </w:rPr>
        <w:t xml:space="preserve"> Our prSOM is initialized using the weight vectors of a self-organizing map trained for 50 iterations. Our prSOM is trained for 40 iterations. We modified Anouar’s original algorithm so that at each iteration a random subset (batch) was used to update the weights. This substantially improved the performance of the algorithm while preventing overfitting by preserving the variance in the underlying data.</w:t>
      </w:r>
    </w:p>
    <w:p w14:paraId="49A65A38" w14:textId="54FE61EF" w:rsidR="62F8D814" w:rsidRDefault="004B5390" w:rsidP="004B5390">
      <w:pPr>
        <w:ind w:firstLine="567"/>
      </w:pPr>
      <w:r w:rsidRPr="004B5390">
        <w:t xml:space="preserve">We used the hierarchical agglomerative algorithm implemented by ALGLIB (a portmanteau of </w:t>
      </w:r>
      <w:r w:rsidRPr="009664A8">
        <w:rPr>
          <w:b/>
          <w:bCs/>
        </w:rPr>
        <w:t>Alg</w:t>
      </w:r>
      <w:r w:rsidRPr="004B5390">
        <w:t xml:space="preserve">orithm </w:t>
      </w:r>
      <w:r w:rsidRPr="009664A8">
        <w:rPr>
          <w:b/>
          <w:bCs/>
        </w:rPr>
        <w:t>Lib</w:t>
      </w:r>
      <w:r w:rsidRPr="004B5390">
        <w:t>rary) (Bochkanov, 2013), a collection of numerical analysis and data processing algorithms that are implemented in C++ with source code publicly available for peer review. We applied the HAC algorithm using Ward Linkages in order to minimize the dispersion of the data within each cluster of neurons and maximize the difference between the cluster centers. Using Ward linkages, the HAC algorithm proceeds by merging pairs of nearby clusters of neurons until the 225 neurons are agglomerated into the desired number of stress-</w:t>
      </w:r>
      <w:proofErr w:type="spellStart"/>
      <w:r w:rsidRPr="004B5390">
        <w:t>scapes</w:t>
      </w:r>
      <w:proofErr w:type="spellEnd"/>
      <w:r w:rsidRPr="004B5390">
        <w:t>.</w:t>
      </w:r>
    </w:p>
    <w:p w14:paraId="5CEA889C" w14:textId="1BFE7D41" w:rsidR="00A517D7" w:rsidRPr="00A517D7" w:rsidRDefault="00A517D7" w:rsidP="00A517D7">
      <w:pPr>
        <w:spacing w:after="0"/>
        <w:ind w:left="562" w:hanging="562"/>
        <w:jc w:val="center"/>
        <w:rPr>
          <w:b/>
          <w:bCs/>
          <w:u w:val="single"/>
        </w:rPr>
      </w:pPr>
      <w:r w:rsidRPr="00A517D7">
        <w:rPr>
          <w:b/>
          <w:bCs/>
          <w:u w:val="single"/>
        </w:rPr>
        <w:t>Additional References</w:t>
      </w:r>
    </w:p>
    <w:p w14:paraId="3DFFFB72" w14:textId="6F8F061D" w:rsidR="00A517D7" w:rsidRPr="00A517D7" w:rsidRDefault="00A517D7" w:rsidP="00A517D7">
      <w:pPr>
        <w:spacing w:after="0"/>
        <w:ind w:left="562" w:hanging="562"/>
      </w:pPr>
      <w:proofErr w:type="spellStart"/>
      <w:r w:rsidRPr="00A517D7">
        <w:t>Bochkanov</w:t>
      </w:r>
      <w:proofErr w:type="spellEnd"/>
      <w:r w:rsidRPr="00A517D7">
        <w:t xml:space="preserve">, S., and </w:t>
      </w:r>
      <w:proofErr w:type="spellStart"/>
      <w:r w:rsidRPr="00A517D7">
        <w:t>Bystritsky</w:t>
      </w:r>
      <w:proofErr w:type="spellEnd"/>
      <w:r w:rsidRPr="00A517D7">
        <w:t>, V. (2013). "</w:t>
      </w:r>
      <w:proofErr w:type="spellStart"/>
      <w:r w:rsidRPr="00A517D7">
        <w:t>Alglib</w:t>
      </w:r>
      <w:proofErr w:type="spellEnd"/>
      <w:r w:rsidRPr="00A517D7">
        <w:t xml:space="preserve">". Available from: </w:t>
      </w:r>
      <w:hyperlink r:id="rId14" w:history="1">
        <w:r w:rsidRPr="00A517D7">
          <w:t>www.alglib.net</w:t>
        </w:r>
      </w:hyperlink>
      <w:r w:rsidRPr="00A517D7">
        <w:t xml:space="preserve"> 1 Jan. 2020</w:t>
      </w:r>
    </w:p>
    <w:p w14:paraId="6506C42B" w14:textId="29F85F43" w:rsidR="00A517D7" w:rsidRPr="00A517D7" w:rsidRDefault="00A517D7" w:rsidP="00A517D7">
      <w:pPr>
        <w:spacing w:after="0"/>
        <w:ind w:left="562" w:hanging="562"/>
      </w:pPr>
      <w:r w:rsidRPr="00A517D7">
        <w:t>Chen, D. G., and Ware, D. M. (1999). A neural network model for forecasting fish</w:t>
      </w:r>
      <w:r w:rsidRPr="00A517D7">
        <w:t xml:space="preserve"> </w:t>
      </w:r>
      <w:r w:rsidRPr="00A517D7">
        <w:t xml:space="preserve">stock recruitment. Can. J. Fish. </w:t>
      </w:r>
      <w:proofErr w:type="spellStart"/>
      <w:r w:rsidRPr="00A517D7">
        <w:t>Aquat</w:t>
      </w:r>
      <w:proofErr w:type="spellEnd"/>
      <w:r w:rsidRPr="00A517D7">
        <w:t xml:space="preserve">. Sci. 56, 2385–2396. </w:t>
      </w:r>
      <w:proofErr w:type="spellStart"/>
      <w:r w:rsidRPr="00A517D7">
        <w:t>doi</w:t>
      </w:r>
      <w:proofErr w:type="spellEnd"/>
      <w:r w:rsidRPr="00A517D7">
        <w:t>: 10.1139/f99-178</w:t>
      </w:r>
    </w:p>
    <w:p w14:paraId="27F837EA" w14:textId="386B5F76" w:rsidR="00A517D7" w:rsidRPr="00A517D7" w:rsidRDefault="00A517D7" w:rsidP="00A517D7">
      <w:pPr>
        <w:spacing w:after="0"/>
        <w:ind w:left="562" w:hanging="562"/>
      </w:pPr>
      <w:r w:rsidRPr="00A517D7">
        <w:t>Oliver, M. J., and Irwin, A. J. (2008). Objective global ocean biogeographic</w:t>
      </w:r>
      <w:r w:rsidRPr="00A517D7">
        <w:t xml:space="preserve"> </w:t>
      </w:r>
      <w:r w:rsidRPr="00A517D7">
        <w:t xml:space="preserve">provinces. </w:t>
      </w:r>
      <w:proofErr w:type="spellStart"/>
      <w:r w:rsidRPr="00A517D7">
        <w:t>Geophys</w:t>
      </w:r>
      <w:proofErr w:type="spellEnd"/>
      <w:r w:rsidRPr="00A517D7">
        <w:t xml:space="preserve">. Res. Lett. </w:t>
      </w:r>
      <w:proofErr w:type="gramStart"/>
      <w:r w:rsidRPr="00A517D7">
        <w:t>35:L</w:t>
      </w:r>
      <w:proofErr w:type="gramEnd"/>
      <w:r w:rsidRPr="00A517D7">
        <w:t xml:space="preserve">15601. </w:t>
      </w:r>
      <w:proofErr w:type="spellStart"/>
      <w:r w:rsidRPr="00A517D7">
        <w:t>doi</w:t>
      </w:r>
      <w:proofErr w:type="spellEnd"/>
      <w:r w:rsidRPr="00A517D7">
        <w:t>: 10.1029/2008GL</w:t>
      </w:r>
    </w:p>
    <w:p w14:paraId="0A3A0EB5" w14:textId="507259EB" w:rsidR="00A517D7" w:rsidRPr="00A517D7" w:rsidRDefault="00A517D7" w:rsidP="00A517D7">
      <w:pPr>
        <w:spacing w:after="0"/>
        <w:ind w:left="562" w:hanging="562"/>
      </w:pPr>
      <w:proofErr w:type="spellStart"/>
      <w:r w:rsidRPr="00A517D7">
        <w:t>Reygondeau</w:t>
      </w:r>
      <w:proofErr w:type="spellEnd"/>
      <w:r w:rsidRPr="00A517D7">
        <w:t xml:space="preserve">, G., Longhurst, A., Martinez, E., </w:t>
      </w:r>
      <w:proofErr w:type="spellStart"/>
      <w:r w:rsidRPr="00A517D7">
        <w:t>Beaugrand</w:t>
      </w:r>
      <w:proofErr w:type="spellEnd"/>
      <w:r w:rsidRPr="00A517D7">
        <w:t>, G., Antoine, D., and</w:t>
      </w:r>
      <w:r w:rsidRPr="00A517D7">
        <w:t xml:space="preserve"> </w:t>
      </w:r>
      <w:r w:rsidRPr="00A517D7">
        <w:t>Maury, O. (2013). Dynamic biogeochemical provinces in the global ocean. Glob.</w:t>
      </w:r>
      <w:r w:rsidRPr="00A517D7">
        <w:t xml:space="preserve"> </w:t>
      </w:r>
      <w:proofErr w:type="spellStart"/>
      <w:r w:rsidRPr="00A517D7">
        <w:t>Biogeochem</w:t>
      </w:r>
      <w:proofErr w:type="spellEnd"/>
      <w:r w:rsidRPr="00A517D7">
        <w:t xml:space="preserve">. Cy. 27, 1046–1058. </w:t>
      </w:r>
      <w:proofErr w:type="spellStart"/>
      <w:r w:rsidRPr="00A517D7">
        <w:t>doi</w:t>
      </w:r>
      <w:proofErr w:type="spellEnd"/>
      <w:r w:rsidRPr="00A517D7">
        <w:t>: 10.1002/gbc.20089</w:t>
      </w:r>
    </w:p>
    <w:p w14:paraId="69853DBD" w14:textId="45D78DB0" w:rsidR="3C0686B9" w:rsidRDefault="3C0686B9" w:rsidP="00A517D7">
      <w:pPr>
        <w:pStyle w:val="Heading1"/>
        <w:numPr>
          <w:ilvl w:val="0"/>
          <w:numId w:val="0"/>
        </w:numPr>
        <w:ind w:left="567"/>
      </w:pPr>
      <w:r>
        <w:br w:type="page"/>
      </w:r>
      <w:r w:rsidR="0877EA2B">
        <w:lastRenderedPageBreak/>
        <w:t>Appendix D – Otolith Back Calculation Models</w:t>
      </w:r>
    </w:p>
    <w:p w14:paraId="6F4FD300" w14:textId="1493AAF5" w:rsidR="3C0686B9" w:rsidRDefault="3C0686B9" w:rsidP="57DA0C46"/>
    <w:p w14:paraId="4B2A2CA5" w14:textId="08E8BF6F" w:rsidR="3C0686B9" w:rsidRDefault="67D643E6" w:rsidP="6D10BE3C">
      <w:pPr>
        <w:rPr>
          <w:rFonts w:eastAsia="Calibri" w:cs="Arial"/>
          <w:b/>
          <w:bCs/>
        </w:rPr>
      </w:pPr>
      <w:r>
        <w:rPr>
          <w:noProof/>
        </w:rPr>
        <w:drawing>
          <wp:inline distT="0" distB="0" distL="0" distR="0" wp14:anchorId="028E4E19" wp14:editId="2E806A19">
            <wp:extent cx="5555693" cy="5772150"/>
            <wp:effectExtent l="0" t="0" r="0" b="0"/>
            <wp:docPr id="2066624222" name="Picture 206662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55693" cy="5772150"/>
                    </a:xfrm>
                    <a:prstGeom prst="rect">
                      <a:avLst/>
                    </a:prstGeom>
                  </pic:spPr>
                </pic:pic>
              </a:graphicData>
            </a:graphic>
          </wp:inline>
        </w:drawing>
      </w:r>
    </w:p>
    <w:p w14:paraId="55F87097" w14:textId="0A8350A4" w:rsidR="0967E531" w:rsidRDefault="0967E531" w:rsidP="3C0686B9"/>
    <w:p w14:paraId="2F56D985" w14:textId="5C72ED0C" w:rsidR="7B31961F" w:rsidRDefault="0967E531" w:rsidP="3C0686B9">
      <w:r w:rsidRPr="28702D15">
        <w:rPr>
          <w:b/>
          <w:bCs/>
        </w:rPr>
        <w:t xml:space="preserve">Supplementary Figure </w:t>
      </w:r>
      <w:r w:rsidR="7A7F0AAC" w:rsidRPr="28702D15">
        <w:rPr>
          <w:b/>
          <w:bCs/>
        </w:rPr>
        <w:t>7</w:t>
      </w:r>
      <w:r w:rsidRPr="28702D15">
        <w:rPr>
          <w:b/>
          <w:bCs/>
        </w:rPr>
        <w:t>:</w:t>
      </w:r>
      <w:r w:rsidR="30CEC2B1" w:rsidRPr="28702D15">
        <w:rPr>
          <w:b/>
          <w:bCs/>
        </w:rPr>
        <w:t xml:space="preserve"> </w:t>
      </w:r>
      <w:r w:rsidR="30CEC2B1" w:rsidRPr="28702D15">
        <w:rPr>
          <w:rFonts w:eastAsia="Times New Roman" w:cs="Times New Roman"/>
          <w:lang w:val="en"/>
        </w:rPr>
        <w:t xml:space="preserve">Relationship between the natural log-transformed Kodiak Island juvenile Pacific Cod </w:t>
      </w:r>
      <w:r w:rsidR="30CEC2B1" w:rsidRPr="28702D15">
        <w:rPr>
          <w:rFonts w:eastAsia="Times New Roman" w:cs="Times New Roman"/>
          <w:i/>
          <w:iCs/>
          <w:lang w:val="en"/>
        </w:rPr>
        <w:t xml:space="preserve">(Gadus macrocephalus) </w:t>
      </w:r>
      <w:r w:rsidR="30CEC2B1" w:rsidRPr="28702D15">
        <w:rPr>
          <w:rFonts w:eastAsia="Times New Roman" w:cs="Times New Roman"/>
          <w:lang w:val="en"/>
        </w:rPr>
        <w:t>standard length (mm) and otolith radius (</w:t>
      </w:r>
      <w:r w:rsidR="4FD54BDE" w:rsidRPr="28702D15">
        <w:rPr>
          <w:rFonts w:eastAsia="Times New Roman" w:cs="Times New Roman"/>
          <w:lang w:val="en"/>
        </w:rPr>
        <w:t>µm</w:t>
      </w:r>
      <w:r w:rsidR="30CEC2B1" w:rsidRPr="28702D15">
        <w:rPr>
          <w:rFonts w:eastAsia="Times New Roman" w:cs="Times New Roman"/>
          <w:lang w:val="en"/>
        </w:rPr>
        <w:t xml:space="preserve">) in July 2010 and 2012-2016.  </w:t>
      </w:r>
    </w:p>
    <w:p w14:paraId="5E36D74E" w14:textId="1D315CAC" w:rsidR="3C0686B9" w:rsidRDefault="3C0686B9">
      <w:r>
        <w:br w:type="page"/>
      </w:r>
      <w:r w:rsidR="2A5924DE">
        <w:rPr>
          <w:noProof/>
        </w:rPr>
        <w:lastRenderedPageBreak/>
        <w:drawing>
          <wp:inline distT="0" distB="0" distL="0" distR="0" wp14:anchorId="712D58C7" wp14:editId="7FE012CA">
            <wp:extent cx="5885736" cy="6115050"/>
            <wp:effectExtent l="0" t="0" r="0" b="0"/>
            <wp:docPr id="1805218804" name="Picture 180521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85736" cy="6115050"/>
                    </a:xfrm>
                    <a:prstGeom prst="rect">
                      <a:avLst/>
                    </a:prstGeom>
                  </pic:spPr>
                </pic:pic>
              </a:graphicData>
            </a:graphic>
          </wp:inline>
        </w:drawing>
      </w:r>
    </w:p>
    <w:p w14:paraId="468F5201" w14:textId="59D75115" w:rsidR="5E480A34" w:rsidRDefault="5E480A34" w:rsidP="3C0686B9"/>
    <w:p w14:paraId="25B68082" w14:textId="42515C18" w:rsidR="6D10BE3C" w:rsidRDefault="06A32063" w:rsidP="28702D15">
      <w:pPr>
        <w:rPr>
          <w:rFonts w:eastAsia="Times New Roman" w:cs="Times New Roman"/>
          <w:lang w:val="en"/>
        </w:rPr>
      </w:pPr>
      <w:r w:rsidRPr="28702D15">
        <w:rPr>
          <w:rFonts w:eastAsia="Calibri" w:cs="Arial"/>
          <w:b/>
          <w:bCs/>
        </w:rPr>
        <w:t xml:space="preserve">Supplementary Figure </w:t>
      </w:r>
      <w:r w:rsidR="7588BB94" w:rsidRPr="28702D15">
        <w:rPr>
          <w:rFonts w:eastAsia="Calibri" w:cs="Arial"/>
          <w:b/>
          <w:bCs/>
        </w:rPr>
        <w:t>8</w:t>
      </w:r>
      <w:r w:rsidRPr="28702D15">
        <w:rPr>
          <w:rFonts w:eastAsia="Calibri" w:cs="Arial"/>
          <w:b/>
          <w:bCs/>
        </w:rPr>
        <w:t xml:space="preserve">: </w:t>
      </w:r>
      <w:r w:rsidR="431AE2CB" w:rsidRPr="28702D15">
        <w:rPr>
          <w:rFonts w:eastAsia="Times New Roman" w:cs="Times New Roman"/>
          <w:lang w:val="en"/>
        </w:rPr>
        <w:t>Relationship</w:t>
      </w:r>
      <w:r w:rsidR="63DD5126" w:rsidRPr="28702D15">
        <w:rPr>
          <w:rFonts w:eastAsia="Times New Roman" w:cs="Times New Roman"/>
          <w:lang w:val="en"/>
        </w:rPr>
        <w:t xml:space="preserve"> between the natural log-transformed Kodiak Island juvenile Pacific Cod </w:t>
      </w:r>
      <w:r w:rsidR="63DD5126" w:rsidRPr="28702D15">
        <w:rPr>
          <w:rFonts w:eastAsia="Times New Roman" w:cs="Times New Roman"/>
          <w:i/>
          <w:iCs/>
          <w:lang w:val="en"/>
        </w:rPr>
        <w:t xml:space="preserve">(Gadus macrocephalus) </w:t>
      </w:r>
      <w:r w:rsidR="63DD5126" w:rsidRPr="28702D15">
        <w:rPr>
          <w:rFonts w:eastAsia="Times New Roman" w:cs="Times New Roman"/>
          <w:lang w:val="en"/>
        </w:rPr>
        <w:t xml:space="preserve">wet weight (g) and standard length (mm) in July 2010 and 2012-2016.  </w:t>
      </w:r>
    </w:p>
    <w:p w14:paraId="75EB89D4" w14:textId="63E85876" w:rsidR="6D10BE3C" w:rsidRDefault="6D10BE3C" w:rsidP="28702D15">
      <w:pPr>
        <w:rPr>
          <w:rFonts w:eastAsia="Calibri"/>
          <w:b/>
          <w:bCs/>
          <w:szCs w:val="24"/>
          <w:lang w:val="en"/>
        </w:rPr>
      </w:pPr>
    </w:p>
    <w:p w14:paraId="6889F927" w14:textId="15963D06" w:rsidR="6D10BE3C" w:rsidRDefault="6D10BE3C" w:rsidP="6D10BE3C">
      <w:pPr>
        <w:rPr>
          <w:rFonts w:eastAsia="Times New Roman" w:cs="Times New Roman"/>
          <w:b/>
          <w:bCs/>
          <w:szCs w:val="24"/>
          <w:lang w:val="en"/>
        </w:rPr>
      </w:pPr>
    </w:p>
    <w:p w14:paraId="41C6D30C" w14:textId="10D68396" w:rsidR="28702D15" w:rsidRDefault="28702D15" w:rsidP="28702D15">
      <w:pPr>
        <w:rPr>
          <w:rFonts w:eastAsia="Times New Roman" w:cs="Times New Roman"/>
          <w:b/>
          <w:bCs/>
          <w:szCs w:val="24"/>
          <w:lang w:val="en"/>
        </w:rPr>
      </w:pPr>
    </w:p>
    <w:p w14:paraId="5600295F" w14:textId="7F1FF6BB" w:rsidR="2175E669" w:rsidRDefault="2175E669" w:rsidP="6D10BE3C">
      <w:pPr>
        <w:rPr>
          <w:rFonts w:eastAsia="Times New Roman" w:cs="Times New Roman"/>
          <w:szCs w:val="24"/>
          <w:lang w:val="en"/>
        </w:rPr>
      </w:pPr>
      <w:r w:rsidRPr="6D10BE3C">
        <w:rPr>
          <w:rFonts w:eastAsia="Times New Roman" w:cs="Times New Roman"/>
          <w:b/>
          <w:bCs/>
          <w:szCs w:val="24"/>
          <w:lang w:val="en"/>
        </w:rPr>
        <w:lastRenderedPageBreak/>
        <w:t xml:space="preserve">Supplementary Table 1: </w:t>
      </w:r>
      <w:r w:rsidRPr="6D10BE3C">
        <w:rPr>
          <w:rFonts w:eastAsia="Times New Roman" w:cs="Times New Roman"/>
          <w:szCs w:val="24"/>
          <w:lang w:val="en"/>
        </w:rPr>
        <w:t xml:space="preserve">Juvenile Pacific Cod capture dates for July 2010, </w:t>
      </w:r>
      <w:r w:rsidR="1221D35B" w:rsidRPr="6D10BE3C">
        <w:rPr>
          <w:rFonts w:eastAsia="Times New Roman" w:cs="Times New Roman"/>
          <w:szCs w:val="24"/>
          <w:lang w:val="en"/>
        </w:rPr>
        <w:t>and 2012-2016, and prSOM 8-day composites for mid- and late-July for 2010, and 2012-2016.  No juvenile Pacific Cod samples were available in 20</w:t>
      </w:r>
      <w:r w:rsidR="7948BA0D" w:rsidRPr="6D10BE3C">
        <w:rPr>
          <w:rFonts w:eastAsia="Times New Roman" w:cs="Times New Roman"/>
          <w:szCs w:val="24"/>
          <w:lang w:val="en"/>
        </w:rPr>
        <w:t xml:space="preserve">11. </w:t>
      </w:r>
    </w:p>
    <w:tbl>
      <w:tblPr>
        <w:tblW w:w="8910" w:type="dxa"/>
        <w:jc w:val="center"/>
        <w:tblLayout w:type="fixed"/>
        <w:tblLook w:val="04A0" w:firstRow="1" w:lastRow="0" w:firstColumn="1" w:lastColumn="0" w:noHBand="0" w:noVBand="1"/>
      </w:tblPr>
      <w:tblGrid>
        <w:gridCol w:w="1317"/>
        <w:gridCol w:w="1277"/>
        <w:gridCol w:w="1456"/>
        <w:gridCol w:w="1683"/>
        <w:gridCol w:w="387"/>
        <w:gridCol w:w="1350"/>
        <w:gridCol w:w="1440"/>
      </w:tblGrid>
      <w:tr w:rsidR="002221E0" w:rsidRPr="002221E0" w14:paraId="49939286" w14:textId="77777777" w:rsidTr="002221E0">
        <w:trPr>
          <w:trHeight w:val="615"/>
          <w:jc w:val="center"/>
        </w:trPr>
        <w:tc>
          <w:tcPr>
            <w:tcW w:w="1317" w:type="dxa"/>
            <w:tcBorders>
              <w:top w:val="single" w:sz="4" w:space="0" w:color="auto"/>
              <w:left w:val="nil"/>
              <w:bottom w:val="single" w:sz="4" w:space="0" w:color="auto"/>
              <w:right w:val="nil"/>
            </w:tcBorders>
            <w:shd w:val="clear" w:color="auto" w:fill="auto"/>
            <w:vAlign w:val="bottom"/>
            <w:hideMark/>
          </w:tcPr>
          <w:p w14:paraId="5970CA63" w14:textId="77777777" w:rsidR="002221E0" w:rsidRPr="002221E0" w:rsidRDefault="002221E0" w:rsidP="002221E0">
            <w:pPr>
              <w:spacing w:before="0" w:after="0"/>
              <w:jc w:val="center"/>
              <w:rPr>
                <w:rFonts w:eastAsia="Times New Roman" w:cs="Times New Roman"/>
                <w:b/>
                <w:bCs/>
                <w:color w:val="000000"/>
                <w:szCs w:val="24"/>
              </w:rPr>
            </w:pPr>
            <w:r w:rsidRPr="002221E0">
              <w:rPr>
                <w:rFonts w:eastAsia="Times New Roman" w:cs="Times New Roman"/>
                <w:b/>
                <w:bCs/>
                <w:color w:val="000000"/>
                <w:szCs w:val="24"/>
              </w:rPr>
              <w:t>Year</w:t>
            </w:r>
          </w:p>
        </w:tc>
        <w:tc>
          <w:tcPr>
            <w:tcW w:w="1277" w:type="dxa"/>
            <w:tcBorders>
              <w:top w:val="single" w:sz="4" w:space="0" w:color="auto"/>
              <w:left w:val="nil"/>
              <w:bottom w:val="single" w:sz="4" w:space="0" w:color="auto"/>
              <w:right w:val="nil"/>
            </w:tcBorders>
            <w:shd w:val="clear" w:color="auto" w:fill="auto"/>
            <w:vAlign w:val="bottom"/>
            <w:hideMark/>
          </w:tcPr>
          <w:p w14:paraId="57111C5E" w14:textId="77777777" w:rsidR="002221E0" w:rsidRPr="002221E0" w:rsidRDefault="002221E0" w:rsidP="002221E0">
            <w:pPr>
              <w:spacing w:before="0" w:after="0"/>
              <w:jc w:val="center"/>
              <w:rPr>
                <w:rFonts w:eastAsia="Times New Roman" w:cs="Times New Roman"/>
                <w:b/>
                <w:bCs/>
                <w:color w:val="000000"/>
                <w:szCs w:val="24"/>
              </w:rPr>
            </w:pPr>
            <w:r w:rsidRPr="002221E0">
              <w:rPr>
                <w:rFonts w:eastAsia="Times New Roman" w:cs="Times New Roman"/>
                <w:b/>
                <w:bCs/>
                <w:color w:val="000000"/>
                <w:szCs w:val="24"/>
              </w:rPr>
              <w:t>Sample Size (n)</w:t>
            </w:r>
          </w:p>
        </w:tc>
        <w:tc>
          <w:tcPr>
            <w:tcW w:w="1456" w:type="dxa"/>
            <w:tcBorders>
              <w:top w:val="single" w:sz="4" w:space="0" w:color="auto"/>
              <w:left w:val="nil"/>
              <w:bottom w:val="single" w:sz="4" w:space="0" w:color="auto"/>
              <w:right w:val="nil"/>
            </w:tcBorders>
            <w:shd w:val="clear" w:color="auto" w:fill="auto"/>
            <w:vAlign w:val="bottom"/>
            <w:hideMark/>
          </w:tcPr>
          <w:p w14:paraId="467A2B46" w14:textId="77777777" w:rsidR="002221E0" w:rsidRPr="002221E0" w:rsidRDefault="002221E0" w:rsidP="002221E0">
            <w:pPr>
              <w:spacing w:before="0" w:after="0"/>
              <w:jc w:val="center"/>
              <w:rPr>
                <w:rFonts w:eastAsia="Times New Roman" w:cs="Times New Roman"/>
                <w:b/>
                <w:bCs/>
                <w:color w:val="000000"/>
                <w:szCs w:val="24"/>
              </w:rPr>
            </w:pPr>
            <w:r w:rsidRPr="002221E0">
              <w:rPr>
                <w:rFonts w:eastAsia="Times New Roman" w:cs="Times New Roman"/>
                <w:b/>
                <w:bCs/>
                <w:color w:val="000000"/>
                <w:szCs w:val="24"/>
              </w:rPr>
              <w:t xml:space="preserve">Fish size (SL; mm) </w:t>
            </w:r>
          </w:p>
        </w:tc>
        <w:tc>
          <w:tcPr>
            <w:tcW w:w="2070" w:type="dxa"/>
            <w:gridSpan w:val="2"/>
            <w:tcBorders>
              <w:top w:val="single" w:sz="4" w:space="0" w:color="auto"/>
              <w:left w:val="nil"/>
              <w:bottom w:val="single" w:sz="4" w:space="0" w:color="auto"/>
              <w:right w:val="nil"/>
            </w:tcBorders>
            <w:shd w:val="clear" w:color="auto" w:fill="auto"/>
            <w:vAlign w:val="bottom"/>
            <w:hideMark/>
          </w:tcPr>
          <w:p w14:paraId="57DAF033" w14:textId="77777777" w:rsidR="002221E0" w:rsidRPr="002221E0" w:rsidRDefault="002221E0" w:rsidP="002221E0">
            <w:pPr>
              <w:spacing w:before="0" w:after="0"/>
              <w:jc w:val="center"/>
              <w:rPr>
                <w:rFonts w:eastAsia="Times New Roman" w:cs="Times New Roman"/>
                <w:b/>
                <w:bCs/>
                <w:color w:val="000000"/>
                <w:szCs w:val="24"/>
              </w:rPr>
            </w:pPr>
            <w:r w:rsidRPr="002221E0">
              <w:rPr>
                <w:rFonts w:eastAsia="Times New Roman" w:cs="Times New Roman"/>
                <w:b/>
                <w:bCs/>
                <w:color w:val="000000"/>
                <w:szCs w:val="24"/>
              </w:rPr>
              <w:t>July Temperature (°C)</w:t>
            </w:r>
          </w:p>
        </w:tc>
        <w:tc>
          <w:tcPr>
            <w:tcW w:w="1350" w:type="dxa"/>
            <w:tcBorders>
              <w:top w:val="single" w:sz="4" w:space="0" w:color="auto"/>
              <w:left w:val="nil"/>
              <w:bottom w:val="single" w:sz="4" w:space="0" w:color="auto"/>
              <w:right w:val="nil"/>
            </w:tcBorders>
            <w:shd w:val="clear" w:color="auto" w:fill="auto"/>
            <w:vAlign w:val="bottom"/>
            <w:hideMark/>
          </w:tcPr>
          <w:p w14:paraId="053DB138" w14:textId="12405B3E" w:rsidR="002221E0" w:rsidRPr="002221E0" w:rsidRDefault="002221E0" w:rsidP="002221E0">
            <w:pPr>
              <w:spacing w:before="0" w:after="0"/>
              <w:jc w:val="center"/>
              <w:rPr>
                <w:rFonts w:eastAsia="Times New Roman" w:cs="Times New Roman"/>
                <w:b/>
                <w:bCs/>
                <w:color w:val="000000"/>
                <w:szCs w:val="24"/>
              </w:rPr>
            </w:pPr>
            <w:r w:rsidRPr="002221E0">
              <w:rPr>
                <w:rFonts w:eastAsia="Times New Roman" w:cs="Times New Roman"/>
                <w:b/>
                <w:bCs/>
                <w:color w:val="000000"/>
                <w:szCs w:val="24"/>
              </w:rPr>
              <w:t>July pCO2 (</w:t>
            </w:r>
            <w:r w:rsidR="005A4729" w:rsidRPr="005A4729">
              <w:rPr>
                <w:rFonts w:eastAsia="Times New Roman" w:cs="Times New Roman"/>
                <w:b/>
                <w:bCs/>
                <w:color w:val="000000"/>
                <w:szCs w:val="24"/>
              </w:rPr>
              <w:t>μ</w:t>
            </w:r>
            <w:r w:rsidR="00EC2BFC">
              <w:rPr>
                <w:rFonts w:eastAsia="Times New Roman" w:cs="Times New Roman"/>
                <w:b/>
                <w:bCs/>
                <w:color w:val="000000"/>
                <w:szCs w:val="24"/>
              </w:rPr>
              <w:t>atm</w:t>
            </w:r>
            <w:r w:rsidRPr="002221E0">
              <w:rPr>
                <w:rFonts w:eastAsia="Times New Roman" w:cs="Times New Roman"/>
                <w:b/>
                <w:bCs/>
                <w:color w:val="000000"/>
                <w:szCs w:val="24"/>
              </w:rPr>
              <w:t>)</w:t>
            </w:r>
          </w:p>
        </w:tc>
        <w:tc>
          <w:tcPr>
            <w:tcW w:w="1440" w:type="dxa"/>
            <w:tcBorders>
              <w:top w:val="single" w:sz="4" w:space="0" w:color="auto"/>
              <w:left w:val="nil"/>
              <w:bottom w:val="single" w:sz="4" w:space="0" w:color="auto"/>
              <w:right w:val="nil"/>
            </w:tcBorders>
            <w:shd w:val="clear" w:color="auto" w:fill="auto"/>
            <w:vAlign w:val="bottom"/>
            <w:hideMark/>
          </w:tcPr>
          <w:p w14:paraId="2AC458E8" w14:textId="77777777" w:rsidR="002221E0" w:rsidRPr="002221E0" w:rsidRDefault="002221E0" w:rsidP="002221E0">
            <w:pPr>
              <w:spacing w:before="0" w:after="0"/>
              <w:jc w:val="center"/>
              <w:rPr>
                <w:rFonts w:eastAsia="Times New Roman" w:cs="Times New Roman"/>
                <w:b/>
                <w:bCs/>
                <w:color w:val="000000"/>
                <w:szCs w:val="24"/>
              </w:rPr>
            </w:pPr>
            <w:r w:rsidRPr="002221E0">
              <w:rPr>
                <w:rFonts w:eastAsia="Times New Roman" w:cs="Times New Roman"/>
                <w:b/>
                <w:bCs/>
                <w:color w:val="000000"/>
                <w:szCs w:val="24"/>
              </w:rPr>
              <w:t>Ocean Conditions</w:t>
            </w:r>
          </w:p>
        </w:tc>
      </w:tr>
      <w:tr w:rsidR="002221E0" w:rsidRPr="002221E0" w14:paraId="61EEA2A3" w14:textId="77777777" w:rsidTr="002221E0">
        <w:trPr>
          <w:trHeight w:val="315"/>
          <w:jc w:val="center"/>
        </w:trPr>
        <w:tc>
          <w:tcPr>
            <w:tcW w:w="1317" w:type="dxa"/>
            <w:tcBorders>
              <w:top w:val="nil"/>
              <w:left w:val="nil"/>
              <w:bottom w:val="nil"/>
              <w:right w:val="nil"/>
            </w:tcBorders>
            <w:shd w:val="clear" w:color="auto" w:fill="auto"/>
            <w:noWrap/>
            <w:vAlign w:val="bottom"/>
            <w:hideMark/>
          </w:tcPr>
          <w:p w14:paraId="3D68FB24"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2010</w:t>
            </w:r>
          </w:p>
        </w:tc>
        <w:tc>
          <w:tcPr>
            <w:tcW w:w="1277" w:type="dxa"/>
            <w:tcBorders>
              <w:top w:val="nil"/>
              <w:left w:val="nil"/>
              <w:bottom w:val="nil"/>
              <w:right w:val="nil"/>
            </w:tcBorders>
            <w:shd w:val="clear" w:color="auto" w:fill="auto"/>
            <w:noWrap/>
            <w:vAlign w:val="bottom"/>
            <w:hideMark/>
          </w:tcPr>
          <w:p w14:paraId="7F777375"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23</w:t>
            </w:r>
          </w:p>
        </w:tc>
        <w:tc>
          <w:tcPr>
            <w:tcW w:w="1456" w:type="dxa"/>
            <w:tcBorders>
              <w:top w:val="nil"/>
              <w:left w:val="nil"/>
              <w:bottom w:val="nil"/>
              <w:right w:val="nil"/>
            </w:tcBorders>
            <w:shd w:val="clear" w:color="auto" w:fill="auto"/>
            <w:noWrap/>
            <w:vAlign w:val="bottom"/>
            <w:hideMark/>
          </w:tcPr>
          <w:p w14:paraId="2495587A"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45.35 ± 0.82</w:t>
            </w:r>
          </w:p>
        </w:tc>
        <w:tc>
          <w:tcPr>
            <w:tcW w:w="1683" w:type="dxa"/>
            <w:tcBorders>
              <w:top w:val="nil"/>
              <w:left w:val="nil"/>
              <w:bottom w:val="nil"/>
              <w:right w:val="nil"/>
            </w:tcBorders>
            <w:shd w:val="clear" w:color="auto" w:fill="auto"/>
            <w:noWrap/>
            <w:vAlign w:val="bottom"/>
            <w:hideMark/>
          </w:tcPr>
          <w:p w14:paraId="106FF54C"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10.07 ± 0.15</w:t>
            </w:r>
          </w:p>
        </w:tc>
        <w:tc>
          <w:tcPr>
            <w:tcW w:w="1737" w:type="dxa"/>
            <w:gridSpan w:val="2"/>
            <w:tcBorders>
              <w:top w:val="nil"/>
              <w:left w:val="nil"/>
              <w:bottom w:val="nil"/>
              <w:right w:val="nil"/>
            </w:tcBorders>
            <w:shd w:val="clear" w:color="auto" w:fill="auto"/>
            <w:noWrap/>
            <w:vAlign w:val="bottom"/>
            <w:hideMark/>
          </w:tcPr>
          <w:p w14:paraId="32222832"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288.31</w:t>
            </w:r>
          </w:p>
        </w:tc>
        <w:tc>
          <w:tcPr>
            <w:tcW w:w="1440" w:type="dxa"/>
            <w:tcBorders>
              <w:top w:val="nil"/>
              <w:left w:val="nil"/>
              <w:bottom w:val="nil"/>
              <w:right w:val="nil"/>
            </w:tcBorders>
            <w:shd w:val="clear" w:color="auto" w:fill="auto"/>
            <w:noWrap/>
            <w:vAlign w:val="bottom"/>
            <w:hideMark/>
          </w:tcPr>
          <w:p w14:paraId="636CD9DB"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Normal</w:t>
            </w:r>
          </w:p>
        </w:tc>
      </w:tr>
      <w:tr w:rsidR="002221E0" w:rsidRPr="002221E0" w14:paraId="076831D6" w14:textId="77777777" w:rsidTr="002221E0">
        <w:trPr>
          <w:trHeight w:val="315"/>
          <w:jc w:val="center"/>
        </w:trPr>
        <w:tc>
          <w:tcPr>
            <w:tcW w:w="1317" w:type="dxa"/>
            <w:tcBorders>
              <w:top w:val="nil"/>
              <w:left w:val="nil"/>
              <w:bottom w:val="nil"/>
              <w:right w:val="nil"/>
            </w:tcBorders>
            <w:shd w:val="clear" w:color="auto" w:fill="auto"/>
            <w:noWrap/>
            <w:vAlign w:val="bottom"/>
            <w:hideMark/>
          </w:tcPr>
          <w:p w14:paraId="1AE23FA1"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2012</w:t>
            </w:r>
          </w:p>
        </w:tc>
        <w:tc>
          <w:tcPr>
            <w:tcW w:w="1277" w:type="dxa"/>
            <w:tcBorders>
              <w:top w:val="nil"/>
              <w:left w:val="nil"/>
              <w:bottom w:val="nil"/>
              <w:right w:val="nil"/>
            </w:tcBorders>
            <w:shd w:val="clear" w:color="auto" w:fill="auto"/>
            <w:noWrap/>
            <w:vAlign w:val="bottom"/>
            <w:hideMark/>
          </w:tcPr>
          <w:p w14:paraId="74AFB2FD"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17</w:t>
            </w:r>
          </w:p>
        </w:tc>
        <w:tc>
          <w:tcPr>
            <w:tcW w:w="1456" w:type="dxa"/>
            <w:tcBorders>
              <w:top w:val="nil"/>
              <w:left w:val="nil"/>
              <w:bottom w:val="nil"/>
              <w:right w:val="nil"/>
            </w:tcBorders>
            <w:shd w:val="clear" w:color="auto" w:fill="auto"/>
            <w:noWrap/>
            <w:vAlign w:val="bottom"/>
            <w:hideMark/>
          </w:tcPr>
          <w:p w14:paraId="13729A42"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41.47 ± 1.17</w:t>
            </w:r>
          </w:p>
        </w:tc>
        <w:tc>
          <w:tcPr>
            <w:tcW w:w="1683" w:type="dxa"/>
            <w:tcBorders>
              <w:top w:val="nil"/>
              <w:left w:val="nil"/>
              <w:bottom w:val="nil"/>
              <w:right w:val="nil"/>
            </w:tcBorders>
            <w:shd w:val="clear" w:color="auto" w:fill="auto"/>
            <w:noWrap/>
            <w:vAlign w:val="bottom"/>
            <w:hideMark/>
          </w:tcPr>
          <w:p w14:paraId="2E94A3AE"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10.04 ± 0.32</w:t>
            </w:r>
          </w:p>
        </w:tc>
        <w:tc>
          <w:tcPr>
            <w:tcW w:w="1737" w:type="dxa"/>
            <w:gridSpan w:val="2"/>
            <w:tcBorders>
              <w:top w:val="nil"/>
              <w:left w:val="nil"/>
              <w:bottom w:val="nil"/>
              <w:right w:val="nil"/>
            </w:tcBorders>
            <w:shd w:val="clear" w:color="auto" w:fill="auto"/>
            <w:noWrap/>
            <w:vAlign w:val="bottom"/>
            <w:hideMark/>
          </w:tcPr>
          <w:p w14:paraId="17580B8D"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291.00</w:t>
            </w:r>
          </w:p>
        </w:tc>
        <w:tc>
          <w:tcPr>
            <w:tcW w:w="1440" w:type="dxa"/>
            <w:tcBorders>
              <w:top w:val="nil"/>
              <w:left w:val="nil"/>
              <w:bottom w:val="nil"/>
              <w:right w:val="nil"/>
            </w:tcBorders>
            <w:shd w:val="clear" w:color="auto" w:fill="auto"/>
            <w:noWrap/>
            <w:vAlign w:val="bottom"/>
            <w:hideMark/>
          </w:tcPr>
          <w:p w14:paraId="27BFE2B0"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Normal</w:t>
            </w:r>
          </w:p>
        </w:tc>
      </w:tr>
      <w:tr w:rsidR="002221E0" w:rsidRPr="002221E0" w14:paraId="1A6E8783" w14:textId="77777777" w:rsidTr="002221E0">
        <w:trPr>
          <w:trHeight w:val="315"/>
          <w:jc w:val="center"/>
        </w:trPr>
        <w:tc>
          <w:tcPr>
            <w:tcW w:w="1317" w:type="dxa"/>
            <w:tcBorders>
              <w:top w:val="nil"/>
              <w:left w:val="nil"/>
              <w:bottom w:val="nil"/>
              <w:right w:val="nil"/>
            </w:tcBorders>
            <w:shd w:val="clear" w:color="auto" w:fill="auto"/>
            <w:noWrap/>
            <w:vAlign w:val="bottom"/>
            <w:hideMark/>
          </w:tcPr>
          <w:p w14:paraId="434CA58D"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2013</w:t>
            </w:r>
          </w:p>
        </w:tc>
        <w:tc>
          <w:tcPr>
            <w:tcW w:w="1277" w:type="dxa"/>
            <w:tcBorders>
              <w:top w:val="nil"/>
              <w:left w:val="nil"/>
              <w:bottom w:val="nil"/>
              <w:right w:val="nil"/>
            </w:tcBorders>
            <w:shd w:val="clear" w:color="auto" w:fill="auto"/>
            <w:noWrap/>
            <w:vAlign w:val="bottom"/>
            <w:hideMark/>
          </w:tcPr>
          <w:p w14:paraId="6E77DEA6"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19</w:t>
            </w:r>
          </w:p>
        </w:tc>
        <w:tc>
          <w:tcPr>
            <w:tcW w:w="1456" w:type="dxa"/>
            <w:tcBorders>
              <w:top w:val="nil"/>
              <w:left w:val="nil"/>
              <w:bottom w:val="nil"/>
              <w:right w:val="nil"/>
            </w:tcBorders>
            <w:shd w:val="clear" w:color="auto" w:fill="auto"/>
            <w:noWrap/>
            <w:vAlign w:val="bottom"/>
            <w:hideMark/>
          </w:tcPr>
          <w:p w14:paraId="07A56AA3"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50.00 ± 1.43</w:t>
            </w:r>
          </w:p>
        </w:tc>
        <w:tc>
          <w:tcPr>
            <w:tcW w:w="1683" w:type="dxa"/>
            <w:tcBorders>
              <w:top w:val="nil"/>
              <w:left w:val="nil"/>
              <w:bottom w:val="nil"/>
              <w:right w:val="nil"/>
            </w:tcBorders>
            <w:shd w:val="clear" w:color="auto" w:fill="auto"/>
            <w:noWrap/>
            <w:vAlign w:val="bottom"/>
            <w:hideMark/>
          </w:tcPr>
          <w:p w14:paraId="6FF8AB14"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11.64 ± 0.40</w:t>
            </w:r>
          </w:p>
        </w:tc>
        <w:tc>
          <w:tcPr>
            <w:tcW w:w="1737" w:type="dxa"/>
            <w:gridSpan w:val="2"/>
            <w:tcBorders>
              <w:top w:val="nil"/>
              <w:left w:val="nil"/>
              <w:bottom w:val="nil"/>
              <w:right w:val="nil"/>
            </w:tcBorders>
            <w:shd w:val="clear" w:color="auto" w:fill="auto"/>
            <w:noWrap/>
            <w:vAlign w:val="bottom"/>
            <w:hideMark/>
          </w:tcPr>
          <w:p w14:paraId="31C8237D"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295.02</w:t>
            </w:r>
          </w:p>
        </w:tc>
        <w:tc>
          <w:tcPr>
            <w:tcW w:w="1440" w:type="dxa"/>
            <w:tcBorders>
              <w:top w:val="nil"/>
              <w:left w:val="nil"/>
              <w:bottom w:val="nil"/>
              <w:right w:val="nil"/>
            </w:tcBorders>
            <w:shd w:val="clear" w:color="auto" w:fill="auto"/>
            <w:noWrap/>
            <w:vAlign w:val="bottom"/>
            <w:hideMark/>
          </w:tcPr>
          <w:p w14:paraId="66064AC0"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Normal</w:t>
            </w:r>
          </w:p>
        </w:tc>
      </w:tr>
      <w:tr w:rsidR="002221E0" w:rsidRPr="002221E0" w14:paraId="4354C4B8" w14:textId="77777777" w:rsidTr="002221E0">
        <w:trPr>
          <w:trHeight w:val="315"/>
          <w:jc w:val="center"/>
        </w:trPr>
        <w:tc>
          <w:tcPr>
            <w:tcW w:w="1317" w:type="dxa"/>
            <w:tcBorders>
              <w:top w:val="nil"/>
              <w:left w:val="nil"/>
              <w:bottom w:val="nil"/>
              <w:right w:val="nil"/>
            </w:tcBorders>
            <w:shd w:val="clear" w:color="auto" w:fill="auto"/>
            <w:noWrap/>
            <w:vAlign w:val="bottom"/>
            <w:hideMark/>
          </w:tcPr>
          <w:p w14:paraId="1D516550"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2014</w:t>
            </w:r>
          </w:p>
        </w:tc>
        <w:tc>
          <w:tcPr>
            <w:tcW w:w="1277" w:type="dxa"/>
            <w:tcBorders>
              <w:top w:val="nil"/>
              <w:left w:val="nil"/>
              <w:bottom w:val="nil"/>
              <w:right w:val="nil"/>
            </w:tcBorders>
            <w:shd w:val="clear" w:color="auto" w:fill="auto"/>
            <w:noWrap/>
            <w:vAlign w:val="bottom"/>
            <w:hideMark/>
          </w:tcPr>
          <w:p w14:paraId="56A874CB"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19</w:t>
            </w:r>
          </w:p>
        </w:tc>
        <w:tc>
          <w:tcPr>
            <w:tcW w:w="1456" w:type="dxa"/>
            <w:tcBorders>
              <w:top w:val="nil"/>
              <w:left w:val="nil"/>
              <w:bottom w:val="nil"/>
              <w:right w:val="nil"/>
            </w:tcBorders>
            <w:shd w:val="clear" w:color="auto" w:fill="auto"/>
            <w:noWrap/>
            <w:vAlign w:val="bottom"/>
            <w:hideMark/>
          </w:tcPr>
          <w:p w14:paraId="17957B92"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51.79 ± 1.53</w:t>
            </w:r>
          </w:p>
        </w:tc>
        <w:tc>
          <w:tcPr>
            <w:tcW w:w="1683" w:type="dxa"/>
            <w:tcBorders>
              <w:top w:val="nil"/>
              <w:left w:val="nil"/>
              <w:bottom w:val="nil"/>
              <w:right w:val="nil"/>
            </w:tcBorders>
            <w:shd w:val="clear" w:color="auto" w:fill="auto"/>
            <w:noWrap/>
            <w:vAlign w:val="bottom"/>
            <w:hideMark/>
          </w:tcPr>
          <w:p w14:paraId="5CB25220"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12.52 ± 0.23</w:t>
            </w:r>
          </w:p>
        </w:tc>
        <w:tc>
          <w:tcPr>
            <w:tcW w:w="1737" w:type="dxa"/>
            <w:gridSpan w:val="2"/>
            <w:tcBorders>
              <w:top w:val="nil"/>
              <w:left w:val="nil"/>
              <w:bottom w:val="nil"/>
              <w:right w:val="nil"/>
            </w:tcBorders>
            <w:shd w:val="clear" w:color="auto" w:fill="auto"/>
            <w:noWrap/>
            <w:vAlign w:val="bottom"/>
            <w:hideMark/>
          </w:tcPr>
          <w:p w14:paraId="40057768"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287.90</w:t>
            </w:r>
          </w:p>
        </w:tc>
        <w:tc>
          <w:tcPr>
            <w:tcW w:w="1440" w:type="dxa"/>
            <w:tcBorders>
              <w:top w:val="nil"/>
              <w:left w:val="nil"/>
              <w:bottom w:val="nil"/>
              <w:right w:val="nil"/>
            </w:tcBorders>
            <w:shd w:val="clear" w:color="auto" w:fill="auto"/>
            <w:noWrap/>
            <w:vAlign w:val="bottom"/>
            <w:hideMark/>
          </w:tcPr>
          <w:p w14:paraId="2CC2AC32"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Heatwave</w:t>
            </w:r>
          </w:p>
        </w:tc>
      </w:tr>
      <w:tr w:rsidR="002221E0" w:rsidRPr="002221E0" w14:paraId="6654142C" w14:textId="77777777" w:rsidTr="002221E0">
        <w:trPr>
          <w:trHeight w:val="315"/>
          <w:jc w:val="center"/>
        </w:trPr>
        <w:tc>
          <w:tcPr>
            <w:tcW w:w="1317" w:type="dxa"/>
            <w:tcBorders>
              <w:top w:val="nil"/>
              <w:left w:val="nil"/>
              <w:bottom w:val="nil"/>
              <w:right w:val="nil"/>
            </w:tcBorders>
            <w:shd w:val="clear" w:color="auto" w:fill="auto"/>
            <w:noWrap/>
            <w:vAlign w:val="bottom"/>
            <w:hideMark/>
          </w:tcPr>
          <w:p w14:paraId="260B966B"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2015</w:t>
            </w:r>
          </w:p>
        </w:tc>
        <w:tc>
          <w:tcPr>
            <w:tcW w:w="1277" w:type="dxa"/>
            <w:tcBorders>
              <w:top w:val="nil"/>
              <w:left w:val="nil"/>
              <w:bottom w:val="nil"/>
              <w:right w:val="nil"/>
            </w:tcBorders>
            <w:shd w:val="clear" w:color="auto" w:fill="auto"/>
            <w:noWrap/>
            <w:vAlign w:val="bottom"/>
            <w:hideMark/>
          </w:tcPr>
          <w:p w14:paraId="25965CF7"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9</w:t>
            </w:r>
          </w:p>
        </w:tc>
        <w:tc>
          <w:tcPr>
            <w:tcW w:w="1456" w:type="dxa"/>
            <w:tcBorders>
              <w:top w:val="nil"/>
              <w:left w:val="nil"/>
              <w:bottom w:val="nil"/>
              <w:right w:val="nil"/>
            </w:tcBorders>
            <w:shd w:val="clear" w:color="auto" w:fill="auto"/>
            <w:noWrap/>
            <w:vAlign w:val="bottom"/>
            <w:hideMark/>
          </w:tcPr>
          <w:p w14:paraId="14793E42"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47.67 ± 1.29</w:t>
            </w:r>
          </w:p>
        </w:tc>
        <w:tc>
          <w:tcPr>
            <w:tcW w:w="1683" w:type="dxa"/>
            <w:tcBorders>
              <w:top w:val="nil"/>
              <w:left w:val="nil"/>
              <w:bottom w:val="nil"/>
              <w:right w:val="nil"/>
            </w:tcBorders>
            <w:shd w:val="clear" w:color="auto" w:fill="auto"/>
            <w:noWrap/>
            <w:vAlign w:val="bottom"/>
            <w:hideMark/>
          </w:tcPr>
          <w:p w14:paraId="0A562B3E"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11.69 ± 0.21</w:t>
            </w:r>
          </w:p>
        </w:tc>
        <w:tc>
          <w:tcPr>
            <w:tcW w:w="1737" w:type="dxa"/>
            <w:gridSpan w:val="2"/>
            <w:tcBorders>
              <w:top w:val="nil"/>
              <w:left w:val="nil"/>
              <w:bottom w:val="nil"/>
              <w:right w:val="nil"/>
            </w:tcBorders>
            <w:shd w:val="clear" w:color="auto" w:fill="auto"/>
            <w:noWrap/>
            <w:vAlign w:val="bottom"/>
            <w:hideMark/>
          </w:tcPr>
          <w:p w14:paraId="26C5A505"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300.08</w:t>
            </w:r>
          </w:p>
        </w:tc>
        <w:tc>
          <w:tcPr>
            <w:tcW w:w="1440" w:type="dxa"/>
            <w:tcBorders>
              <w:top w:val="nil"/>
              <w:left w:val="nil"/>
              <w:bottom w:val="nil"/>
              <w:right w:val="nil"/>
            </w:tcBorders>
            <w:shd w:val="clear" w:color="auto" w:fill="auto"/>
            <w:noWrap/>
            <w:vAlign w:val="bottom"/>
            <w:hideMark/>
          </w:tcPr>
          <w:p w14:paraId="07586CD6"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Heatwave</w:t>
            </w:r>
          </w:p>
        </w:tc>
      </w:tr>
      <w:tr w:rsidR="002221E0" w:rsidRPr="002221E0" w14:paraId="6DB2748B" w14:textId="77777777" w:rsidTr="002221E0">
        <w:trPr>
          <w:trHeight w:val="315"/>
          <w:jc w:val="center"/>
        </w:trPr>
        <w:tc>
          <w:tcPr>
            <w:tcW w:w="1317" w:type="dxa"/>
            <w:tcBorders>
              <w:top w:val="nil"/>
              <w:left w:val="nil"/>
              <w:bottom w:val="single" w:sz="4" w:space="0" w:color="auto"/>
              <w:right w:val="nil"/>
            </w:tcBorders>
            <w:shd w:val="clear" w:color="auto" w:fill="auto"/>
            <w:noWrap/>
            <w:vAlign w:val="bottom"/>
            <w:hideMark/>
          </w:tcPr>
          <w:p w14:paraId="4296D24C"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2016</w:t>
            </w:r>
          </w:p>
        </w:tc>
        <w:tc>
          <w:tcPr>
            <w:tcW w:w="1277" w:type="dxa"/>
            <w:tcBorders>
              <w:top w:val="nil"/>
              <w:left w:val="nil"/>
              <w:bottom w:val="single" w:sz="4" w:space="0" w:color="auto"/>
              <w:right w:val="nil"/>
            </w:tcBorders>
            <w:shd w:val="clear" w:color="auto" w:fill="auto"/>
            <w:noWrap/>
            <w:vAlign w:val="bottom"/>
            <w:hideMark/>
          </w:tcPr>
          <w:p w14:paraId="2F0E802F"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20</w:t>
            </w:r>
          </w:p>
        </w:tc>
        <w:tc>
          <w:tcPr>
            <w:tcW w:w="1456" w:type="dxa"/>
            <w:tcBorders>
              <w:top w:val="nil"/>
              <w:left w:val="nil"/>
              <w:bottom w:val="single" w:sz="4" w:space="0" w:color="auto"/>
              <w:right w:val="nil"/>
            </w:tcBorders>
            <w:shd w:val="clear" w:color="auto" w:fill="auto"/>
            <w:noWrap/>
            <w:vAlign w:val="bottom"/>
            <w:hideMark/>
          </w:tcPr>
          <w:p w14:paraId="5A5844FE"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62.40 ± 1.16</w:t>
            </w:r>
          </w:p>
        </w:tc>
        <w:tc>
          <w:tcPr>
            <w:tcW w:w="1683" w:type="dxa"/>
            <w:tcBorders>
              <w:top w:val="nil"/>
              <w:left w:val="nil"/>
              <w:bottom w:val="single" w:sz="4" w:space="0" w:color="auto"/>
              <w:right w:val="nil"/>
            </w:tcBorders>
            <w:shd w:val="clear" w:color="auto" w:fill="auto"/>
            <w:noWrap/>
            <w:vAlign w:val="bottom"/>
            <w:hideMark/>
          </w:tcPr>
          <w:p w14:paraId="075BADC7"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12.85 ± 0.25</w:t>
            </w:r>
          </w:p>
        </w:tc>
        <w:tc>
          <w:tcPr>
            <w:tcW w:w="1737" w:type="dxa"/>
            <w:gridSpan w:val="2"/>
            <w:tcBorders>
              <w:top w:val="nil"/>
              <w:left w:val="nil"/>
              <w:bottom w:val="single" w:sz="4" w:space="0" w:color="auto"/>
              <w:right w:val="nil"/>
            </w:tcBorders>
            <w:shd w:val="clear" w:color="auto" w:fill="auto"/>
            <w:noWrap/>
            <w:vAlign w:val="bottom"/>
            <w:hideMark/>
          </w:tcPr>
          <w:p w14:paraId="6326552D"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313.57</w:t>
            </w:r>
          </w:p>
        </w:tc>
        <w:tc>
          <w:tcPr>
            <w:tcW w:w="1440" w:type="dxa"/>
            <w:tcBorders>
              <w:top w:val="nil"/>
              <w:left w:val="nil"/>
              <w:bottom w:val="single" w:sz="4" w:space="0" w:color="auto"/>
              <w:right w:val="nil"/>
            </w:tcBorders>
            <w:shd w:val="clear" w:color="auto" w:fill="auto"/>
            <w:noWrap/>
            <w:vAlign w:val="bottom"/>
            <w:hideMark/>
          </w:tcPr>
          <w:p w14:paraId="509E8DCB" w14:textId="77777777" w:rsidR="002221E0" w:rsidRPr="002221E0" w:rsidRDefault="002221E0" w:rsidP="002221E0">
            <w:pPr>
              <w:spacing w:before="0" w:after="0"/>
              <w:jc w:val="center"/>
              <w:rPr>
                <w:rFonts w:eastAsia="Times New Roman" w:cs="Times New Roman"/>
                <w:color w:val="000000"/>
                <w:szCs w:val="24"/>
              </w:rPr>
            </w:pPr>
            <w:r w:rsidRPr="002221E0">
              <w:rPr>
                <w:rFonts w:eastAsia="Times New Roman" w:cs="Times New Roman"/>
                <w:color w:val="000000"/>
                <w:szCs w:val="24"/>
              </w:rPr>
              <w:t>Heatwave</w:t>
            </w:r>
          </w:p>
        </w:tc>
      </w:tr>
    </w:tbl>
    <w:p w14:paraId="664C5EC2" w14:textId="5DD6B7AA" w:rsidR="28702D15" w:rsidRDefault="28702D15">
      <w:r>
        <w:br w:type="page"/>
      </w:r>
    </w:p>
    <w:p w14:paraId="04FBF272" w14:textId="28F165A5" w:rsidR="6D10BE3C" w:rsidRDefault="6D10BE3C" w:rsidP="6D10BE3C">
      <w:pPr>
        <w:rPr>
          <w:rFonts w:eastAsia="Calibri"/>
          <w:szCs w:val="24"/>
          <w:lang w:val="en"/>
        </w:rPr>
      </w:pPr>
    </w:p>
    <w:tbl>
      <w:tblPr>
        <w:tblW w:w="10783" w:type="dxa"/>
        <w:jc w:val="center"/>
        <w:tblLook w:val="04A0" w:firstRow="1" w:lastRow="0" w:firstColumn="1" w:lastColumn="0" w:noHBand="0" w:noVBand="1"/>
      </w:tblPr>
      <w:tblGrid>
        <w:gridCol w:w="1260"/>
        <w:gridCol w:w="1622"/>
        <w:gridCol w:w="1557"/>
        <w:gridCol w:w="1138"/>
        <w:gridCol w:w="1642"/>
        <w:gridCol w:w="1138"/>
        <w:gridCol w:w="1557"/>
        <w:gridCol w:w="869"/>
      </w:tblGrid>
      <w:tr w:rsidR="00BE2281" w:rsidRPr="00BE2281" w14:paraId="6F85BDD9" w14:textId="77777777" w:rsidTr="00EC2D6A">
        <w:trPr>
          <w:trHeight w:val="282"/>
          <w:jc w:val="center"/>
        </w:trPr>
        <w:tc>
          <w:tcPr>
            <w:tcW w:w="1260" w:type="dxa"/>
            <w:vMerge w:val="restart"/>
            <w:tcBorders>
              <w:top w:val="nil"/>
              <w:left w:val="nil"/>
              <w:bottom w:val="single" w:sz="8" w:space="0" w:color="000000"/>
              <w:right w:val="nil"/>
            </w:tcBorders>
            <w:shd w:val="clear" w:color="auto" w:fill="auto"/>
            <w:vAlign w:val="center"/>
            <w:hideMark/>
          </w:tcPr>
          <w:p w14:paraId="08D95CE1"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Standard Length to Otolith Radius</w:t>
            </w:r>
          </w:p>
        </w:tc>
        <w:tc>
          <w:tcPr>
            <w:tcW w:w="9523" w:type="dxa"/>
            <w:gridSpan w:val="7"/>
            <w:tcBorders>
              <w:top w:val="single" w:sz="8" w:space="0" w:color="auto"/>
              <w:left w:val="nil"/>
              <w:bottom w:val="single" w:sz="4" w:space="0" w:color="auto"/>
              <w:right w:val="nil"/>
            </w:tcBorders>
            <w:shd w:val="clear" w:color="auto" w:fill="auto"/>
            <w:vAlign w:val="bottom"/>
            <w:hideMark/>
          </w:tcPr>
          <w:p w14:paraId="610B8878" w14:textId="58920B35" w:rsidR="00BE2281" w:rsidRPr="00BE2281" w:rsidRDefault="00BE2281" w:rsidP="00BE2281">
            <w:pPr>
              <w:spacing w:before="0" w:after="0"/>
              <w:jc w:val="center"/>
              <w:rPr>
                <w:rFonts w:ascii="Calibri" w:eastAsia="Times New Roman" w:hAnsi="Calibri" w:cs="Calibri"/>
                <w:b/>
                <w:bCs/>
                <w:color w:val="000000"/>
                <w:szCs w:val="24"/>
                <w:u w:val="single"/>
              </w:rPr>
            </w:pPr>
            <w:r w:rsidRPr="00BE2281">
              <w:rPr>
                <w:rFonts w:ascii="Calibri" w:eastAsia="Times New Roman" w:hAnsi="Calibri" w:cs="Calibri"/>
                <w:b/>
                <w:bCs/>
                <w:color w:val="000000"/>
                <w:szCs w:val="24"/>
                <w:u w:val="single"/>
              </w:rPr>
              <w:t>Parameter Estimates</w:t>
            </w:r>
            <w:r>
              <w:rPr>
                <w:rFonts w:ascii="Calibri" w:eastAsia="Times New Roman" w:hAnsi="Calibri" w:cs="Calibri"/>
                <w:b/>
                <w:bCs/>
                <w:color w:val="000000"/>
                <w:szCs w:val="24"/>
                <w:u w:val="single"/>
              </w:rPr>
              <w:t>:</w:t>
            </w:r>
          </w:p>
          <w:p w14:paraId="15CCDEA3" w14:textId="4B6E49A1"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ln(Standard Length) = y₀ + a[ln(Otolith Radius)] + b[Year] + c[ln(Otolith Radius) * Year]</w:t>
            </w:r>
          </w:p>
        </w:tc>
      </w:tr>
      <w:tr w:rsidR="00EC2D6A" w:rsidRPr="00BE2281" w14:paraId="67213B5E" w14:textId="77777777" w:rsidTr="00EC2D6A">
        <w:trPr>
          <w:trHeight w:val="282"/>
          <w:jc w:val="center"/>
        </w:trPr>
        <w:tc>
          <w:tcPr>
            <w:tcW w:w="1260" w:type="dxa"/>
            <w:vMerge/>
            <w:tcBorders>
              <w:top w:val="nil"/>
              <w:left w:val="nil"/>
              <w:bottom w:val="single" w:sz="8" w:space="0" w:color="000000"/>
              <w:right w:val="nil"/>
            </w:tcBorders>
            <w:vAlign w:val="center"/>
            <w:hideMark/>
          </w:tcPr>
          <w:p w14:paraId="78D1153B"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08286BC1"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y₀ mean ± SE</w:t>
            </w:r>
          </w:p>
        </w:tc>
        <w:tc>
          <w:tcPr>
            <w:tcW w:w="1557" w:type="dxa"/>
            <w:tcBorders>
              <w:top w:val="nil"/>
              <w:left w:val="nil"/>
              <w:bottom w:val="nil"/>
              <w:right w:val="nil"/>
            </w:tcBorders>
            <w:shd w:val="clear" w:color="auto" w:fill="auto"/>
            <w:noWrap/>
            <w:vAlign w:val="bottom"/>
            <w:hideMark/>
          </w:tcPr>
          <w:p w14:paraId="11BA6D35"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a mean ± SE</w:t>
            </w:r>
          </w:p>
        </w:tc>
        <w:tc>
          <w:tcPr>
            <w:tcW w:w="2780" w:type="dxa"/>
            <w:gridSpan w:val="2"/>
            <w:tcBorders>
              <w:top w:val="nil"/>
              <w:left w:val="nil"/>
              <w:bottom w:val="nil"/>
              <w:right w:val="nil"/>
            </w:tcBorders>
            <w:shd w:val="clear" w:color="auto" w:fill="auto"/>
            <w:noWrap/>
            <w:vAlign w:val="bottom"/>
            <w:hideMark/>
          </w:tcPr>
          <w:p w14:paraId="37FC5688"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b mean ± SE</w:t>
            </w:r>
          </w:p>
        </w:tc>
        <w:tc>
          <w:tcPr>
            <w:tcW w:w="2695" w:type="dxa"/>
            <w:gridSpan w:val="2"/>
            <w:tcBorders>
              <w:top w:val="nil"/>
              <w:left w:val="nil"/>
              <w:bottom w:val="nil"/>
              <w:right w:val="nil"/>
            </w:tcBorders>
            <w:shd w:val="clear" w:color="auto" w:fill="auto"/>
            <w:noWrap/>
            <w:vAlign w:val="bottom"/>
            <w:hideMark/>
          </w:tcPr>
          <w:p w14:paraId="669075CC"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c mean ± SE</w:t>
            </w:r>
          </w:p>
        </w:tc>
        <w:tc>
          <w:tcPr>
            <w:tcW w:w="869" w:type="dxa"/>
            <w:tcBorders>
              <w:top w:val="nil"/>
              <w:left w:val="nil"/>
              <w:bottom w:val="nil"/>
              <w:right w:val="nil"/>
            </w:tcBorders>
            <w:shd w:val="clear" w:color="auto" w:fill="auto"/>
            <w:noWrap/>
            <w:vAlign w:val="bottom"/>
            <w:hideMark/>
          </w:tcPr>
          <w:p w14:paraId="4F03FD82" w14:textId="696F41B5"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R</w:t>
            </w:r>
            <w:r w:rsidRPr="00BE2281">
              <w:rPr>
                <w:rFonts w:ascii="Calibri" w:eastAsia="Times New Roman" w:hAnsi="Calibri" w:cs="Calibri"/>
                <w:color w:val="000000"/>
                <w:szCs w:val="24"/>
                <w:vertAlign w:val="superscript"/>
              </w:rPr>
              <w:t>2</w:t>
            </w:r>
            <w:r w:rsidRPr="00BE2281">
              <w:rPr>
                <w:rFonts w:ascii="Calibri" w:eastAsia="Times New Roman" w:hAnsi="Calibri" w:cs="Calibri"/>
                <w:color w:val="000000"/>
                <w:szCs w:val="24"/>
              </w:rPr>
              <w:t xml:space="preserve"> adj</w:t>
            </w:r>
          </w:p>
        </w:tc>
      </w:tr>
      <w:tr w:rsidR="00EC2D6A" w:rsidRPr="00BE2281" w14:paraId="494A3974" w14:textId="77777777" w:rsidTr="00EC2D6A">
        <w:trPr>
          <w:trHeight w:val="282"/>
          <w:jc w:val="center"/>
        </w:trPr>
        <w:tc>
          <w:tcPr>
            <w:tcW w:w="1260" w:type="dxa"/>
            <w:vMerge/>
            <w:tcBorders>
              <w:top w:val="nil"/>
              <w:left w:val="nil"/>
              <w:bottom w:val="single" w:sz="8" w:space="0" w:color="000000"/>
              <w:right w:val="nil"/>
            </w:tcBorders>
            <w:vAlign w:val="center"/>
            <w:hideMark/>
          </w:tcPr>
          <w:p w14:paraId="00EF6882"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7B88F128"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0.647 ± 0.705</w:t>
            </w:r>
          </w:p>
        </w:tc>
        <w:tc>
          <w:tcPr>
            <w:tcW w:w="1557" w:type="dxa"/>
            <w:tcBorders>
              <w:top w:val="nil"/>
              <w:left w:val="nil"/>
              <w:bottom w:val="nil"/>
              <w:right w:val="nil"/>
            </w:tcBorders>
            <w:shd w:val="clear" w:color="auto" w:fill="auto"/>
            <w:noWrap/>
            <w:vAlign w:val="bottom"/>
            <w:hideMark/>
          </w:tcPr>
          <w:p w14:paraId="4F9872A2"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0.554 ± 0.123</w:t>
            </w:r>
          </w:p>
        </w:tc>
        <w:tc>
          <w:tcPr>
            <w:tcW w:w="1138" w:type="dxa"/>
            <w:tcBorders>
              <w:top w:val="nil"/>
              <w:left w:val="nil"/>
              <w:bottom w:val="nil"/>
              <w:right w:val="nil"/>
            </w:tcBorders>
            <w:shd w:val="clear" w:color="auto" w:fill="auto"/>
            <w:noWrap/>
            <w:vAlign w:val="bottom"/>
            <w:hideMark/>
          </w:tcPr>
          <w:p w14:paraId="267293D5"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Year2012</w:t>
            </w:r>
          </w:p>
        </w:tc>
        <w:tc>
          <w:tcPr>
            <w:tcW w:w="1642" w:type="dxa"/>
            <w:tcBorders>
              <w:top w:val="nil"/>
              <w:left w:val="nil"/>
              <w:bottom w:val="nil"/>
              <w:right w:val="nil"/>
            </w:tcBorders>
            <w:shd w:val="clear" w:color="auto" w:fill="auto"/>
            <w:noWrap/>
            <w:vAlign w:val="bottom"/>
            <w:hideMark/>
          </w:tcPr>
          <w:p w14:paraId="149E2A33"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-1.186 ± 1.188</w:t>
            </w:r>
          </w:p>
        </w:tc>
        <w:tc>
          <w:tcPr>
            <w:tcW w:w="1138" w:type="dxa"/>
            <w:tcBorders>
              <w:top w:val="nil"/>
              <w:left w:val="nil"/>
              <w:bottom w:val="nil"/>
              <w:right w:val="nil"/>
            </w:tcBorders>
            <w:shd w:val="clear" w:color="auto" w:fill="auto"/>
            <w:noWrap/>
            <w:vAlign w:val="bottom"/>
            <w:hideMark/>
          </w:tcPr>
          <w:p w14:paraId="12C59583"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Year2012</w:t>
            </w:r>
          </w:p>
        </w:tc>
        <w:tc>
          <w:tcPr>
            <w:tcW w:w="1557" w:type="dxa"/>
            <w:tcBorders>
              <w:top w:val="nil"/>
              <w:left w:val="nil"/>
              <w:bottom w:val="nil"/>
              <w:right w:val="nil"/>
            </w:tcBorders>
            <w:shd w:val="clear" w:color="auto" w:fill="auto"/>
            <w:noWrap/>
            <w:vAlign w:val="bottom"/>
            <w:hideMark/>
          </w:tcPr>
          <w:p w14:paraId="410571CC"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0.209 ± 0.211</w:t>
            </w:r>
          </w:p>
        </w:tc>
        <w:tc>
          <w:tcPr>
            <w:tcW w:w="869" w:type="dxa"/>
            <w:tcBorders>
              <w:top w:val="nil"/>
              <w:left w:val="nil"/>
              <w:bottom w:val="nil"/>
              <w:right w:val="nil"/>
            </w:tcBorders>
            <w:shd w:val="clear" w:color="auto" w:fill="auto"/>
            <w:noWrap/>
            <w:vAlign w:val="bottom"/>
            <w:hideMark/>
          </w:tcPr>
          <w:p w14:paraId="08EB6339"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0.847</w:t>
            </w:r>
          </w:p>
        </w:tc>
      </w:tr>
      <w:tr w:rsidR="00EC2D6A" w:rsidRPr="00BE2281" w14:paraId="29700BEE" w14:textId="77777777" w:rsidTr="00EC2D6A">
        <w:trPr>
          <w:trHeight w:val="282"/>
          <w:jc w:val="center"/>
        </w:trPr>
        <w:tc>
          <w:tcPr>
            <w:tcW w:w="1260" w:type="dxa"/>
            <w:vMerge/>
            <w:tcBorders>
              <w:top w:val="nil"/>
              <w:left w:val="nil"/>
              <w:bottom w:val="single" w:sz="8" w:space="0" w:color="000000"/>
              <w:right w:val="nil"/>
            </w:tcBorders>
            <w:vAlign w:val="center"/>
            <w:hideMark/>
          </w:tcPr>
          <w:p w14:paraId="3F8AF660"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511A958B" w14:textId="77777777" w:rsidR="00BE2281" w:rsidRPr="00BE2281" w:rsidRDefault="00BE2281" w:rsidP="00BE2281">
            <w:pPr>
              <w:spacing w:before="0" w:after="0"/>
              <w:jc w:val="center"/>
              <w:rPr>
                <w:rFonts w:ascii="Calibri" w:eastAsia="Times New Roman" w:hAnsi="Calibri" w:cs="Calibri"/>
                <w:color w:val="000000"/>
                <w:szCs w:val="24"/>
              </w:rPr>
            </w:pPr>
          </w:p>
        </w:tc>
        <w:tc>
          <w:tcPr>
            <w:tcW w:w="1557" w:type="dxa"/>
            <w:tcBorders>
              <w:top w:val="nil"/>
              <w:left w:val="nil"/>
              <w:bottom w:val="nil"/>
              <w:right w:val="nil"/>
            </w:tcBorders>
            <w:shd w:val="clear" w:color="auto" w:fill="auto"/>
            <w:noWrap/>
            <w:vAlign w:val="bottom"/>
            <w:hideMark/>
          </w:tcPr>
          <w:p w14:paraId="03E7D914" w14:textId="77777777" w:rsidR="00BE2281" w:rsidRPr="00BE2281" w:rsidRDefault="00BE2281" w:rsidP="00BE2281">
            <w:pPr>
              <w:spacing w:before="0" w:after="0"/>
              <w:jc w:val="center"/>
              <w:rPr>
                <w:rFonts w:eastAsia="Times New Roman" w:cs="Times New Roman"/>
                <w:sz w:val="20"/>
                <w:szCs w:val="20"/>
              </w:rPr>
            </w:pPr>
          </w:p>
        </w:tc>
        <w:tc>
          <w:tcPr>
            <w:tcW w:w="1138" w:type="dxa"/>
            <w:tcBorders>
              <w:top w:val="nil"/>
              <w:left w:val="nil"/>
              <w:bottom w:val="nil"/>
              <w:right w:val="nil"/>
            </w:tcBorders>
            <w:shd w:val="clear" w:color="auto" w:fill="auto"/>
            <w:noWrap/>
            <w:vAlign w:val="bottom"/>
            <w:hideMark/>
          </w:tcPr>
          <w:p w14:paraId="707F9719"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Year2013</w:t>
            </w:r>
          </w:p>
        </w:tc>
        <w:tc>
          <w:tcPr>
            <w:tcW w:w="1642" w:type="dxa"/>
            <w:tcBorders>
              <w:top w:val="nil"/>
              <w:left w:val="nil"/>
              <w:bottom w:val="nil"/>
              <w:right w:val="nil"/>
            </w:tcBorders>
            <w:shd w:val="clear" w:color="auto" w:fill="auto"/>
            <w:noWrap/>
            <w:vAlign w:val="bottom"/>
            <w:hideMark/>
          </w:tcPr>
          <w:p w14:paraId="69D49B2E"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-0.128 ± 0.880</w:t>
            </w:r>
          </w:p>
        </w:tc>
        <w:tc>
          <w:tcPr>
            <w:tcW w:w="1138" w:type="dxa"/>
            <w:tcBorders>
              <w:top w:val="nil"/>
              <w:left w:val="nil"/>
              <w:bottom w:val="nil"/>
              <w:right w:val="nil"/>
            </w:tcBorders>
            <w:shd w:val="clear" w:color="auto" w:fill="auto"/>
            <w:noWrap/>
            <w:vAlign w:val="bottom"/>
            <w:hideMark/>
          </w:tcPr>
          <w:p w14:paraId="1C5232B8"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Year2013</w:t>
            </w:r>
          </w:p>
        </w:tc>
        <w:tc>
          <w:tcPr>
            <w:tcW w:w="1557" w:type="dxa"/>
            <w:tcBorders>
              <w:top w:val="nil"/>
              <w:left w:val="nil"/>
              <w:bottom w:val="nil"/>
              <w:right w:val="nil"/>
            </w:tcBorders>
            <w:shd w:val="clear" w:color="auto" w:fill="auto"/>
            <w:noWrap/>
            <w:vAlign w:val="bottom"/>
            <w:hideMark/>
          </w:tcPr>
          <w:p w14:paraId="18706BC0"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0.030 ± 0.153</w:t>
            </w:r>
          </w:p>
        </w:tc>
        <w:tc>
          <w:tcPr>
            <w:tcW w:w="869" w:type="dxa"/>
            <w:tcBorders>
              <w:top w:val="nil"/>
              <w:left w:val="nil"/>
              <w:bottom w:val="nil"/>
              <w:right w:val="nil"/>
            </w:tcBorders>
            <w:shd w:val="clear" w:color="auto" w:fill="auto"/>
            <w:noWrap/>
            <w:vAlign w:val="bottom"/>
            <w:hideMark/>
          </w:tcPr>
          <w:p w14:paraId="2BE2735A" w14:textId="77777777" w:rsidR="00BE2281" w:rsidRPr="00BE2281" w:rsidRDefault="00BE2281" w:rsidP="00BE2281">
            <w:pPr>
              <w:spacing w:before="0" w:after="0"/>
              <w:jc w:val="center"/>
              <w:rPr>
                <w:rFonts w:ascii="Calibri" w:eastAsia="Times New Roman" w:hAnsi="Calibri" w:cs="Calibri"/>
                <w:color w:val="000000"/>
                <w:szCs w:val="24"/>
              </w:rPr>
            </w:pPr>
          </w:p>
        </w:tc>
      </w:tr>
      <w:tr w:rsidR="00EC2D6A" w:rsidRPr="00BE2281" w14:paraId="59D138A1" w14:textId="77777777" w:rsidTr="00EC2D6A">
        <w:trPr>
          <w:trHeight w:val="282"/>
          <w:jc w:val="center"/>
        </w:trPr>
        <w:tc>
          <w:tcPr>
            <w:tcW w:w="1260" w:type="dxa"/>
            <w:vMerge/>
            <w:tcBorders>
              <w:top w:val="nil"/>
              <w:left w:val="nil"/>
              <w:bottom w:val="single" w:sz="8" w:space="0" w:color="000000"/>
              <w:right w:val="nil"/>
            </w:tcBorders>
            <w:vAlign w:val="center"/>
            <w:hideMark/>
          </w:tcPr>
          <w:p w14:paraId="4A8660D5"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203DAE23" w14:textId="77777777" w:rsidR="00BE2281" w:rsidRPr="00BE2281" w:rsidRDefault="00BE2281" w:rsidP="00BE2281">
            <w:pPr>
              <w:spacing w:before="0" w:after="0"/>
              <w:jc w:val="center"/>
              <w:rPr>
                <w:rFonts w:eastAsia="Times New Roman" w:cs="Times New Roman"/>
                <w:sz w:val="20"/>
                <w:szCs w:val="20"/>
              </w:rPr>
            </w:pPr>
          </w:p>
        </w:tc>
        <w:tc>
          <w:tcPr>
            <w:tcW w:w="1557" w:type="dxa"/>
            <w:tcBorders>
              <w:top w:val="nil"/>
              <w:left w:val="nil"/>
              <w:bottom w:val="nil"/>
              <w:right w:val="nil"/>
            </w:tcBorders>
            <w:shd w:val="clear" w:color="auto" w:fill="auto"/>
            <w:noWrap/>
            <w:vAlign w:val="bottom"/>
            <w:hideMark/>
          </w:tcPr>
          <w:p w14:paraId="794E379F" w14:textId="77777777" w:rsidR="00BE2281" w:rsidRPr="00BE2281" w:rsidRDefault="00BE2281" w:rsidP="00BE2281">
            <w:pPr>
              <w:spacing w:before="0" w:after="0"/>
              <w:jc w:val="center"/>
              <w:rPr>
                <w:rFonts w:eastAsia="Times New Roman" w:cs="Times New Roman"/>
                <w:sz w:val="20"/>
                <w:szCs w:val="20"/>
              </w:rPr>
            </w:pPr>
          </w:p>
        </w:tc>
        <w:tc>
          <w:tcPr>
            <w:tcW w:w="1138" w:type="dxa"/>
            <w:tcBorders>
              <w:top w:val="nil"/>
              <w:left w:val="nil"/>
              <w:bottom w:val="nil"/>
              <w:right w:val="nil"/>
            </w:tcBorders>
            <w:shd w:val="clear" w:color="auto" w:fill="auto"/>
            <w:noWrap/>
            <w:vAlign w:val="bottom"/>
            <w:hideMark/>
          </w:tcPr>
          <w:p w14:paraId="48B8D6D5"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Year2014</w:t>
            </w:r>
          </w:p>
        </w:tc>
        <w:tc>
          <w:tcPr>
            <w:tcW w:w="1642" w:type="dxa"/>
            <w:tcBorders>
              <w:top w:val="nil"/>
              <w:left w:val="nil"/>
              <w:bottom w:val="nil"/>
              <w:right w:val="nil"/>
            </w:tcBorders>
            <w:shd w:val="clear" w:color="auto" w:fill="auto"/>
            <w:noWrap/>
            <w:vAlign w:val="bottom"/>
            <w:hideMark/>
          </w:tcPr>
          <w:p w14:paraId="76167DD2"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-1.988 ± 0.973</w:t>
            </w:r>
          </w:p>
        </w:tc>
        <w:tc>
          <w:tcPr>
            <w:tcW w:w="1138" w:type="dxa"/>
            <w:tcBorders>
              <w:top w:val="nil"/>
              <w:left w:val="nil"/>
              <w:bottom w:val="nil"/>
              <w:right w:val="nil"/>
            </w:tcBorders>
            <w:shd w:val="clear" w:color="auto" w:fill="auto"/>
            <w:noWrap/>
            <w:vAlign w:val="bottom"/>
            <w:hideMark/>
          </w:tcPr>
          <w:p w14:paraId="57E5D653"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Year2014</w:t>
            </w:r>
          </w:p>
        </w:tc>
        <w:tc>
          <w:tcPr>
            <w:tcW w:w="1557" w:type="dxa"/>
            <w:tcBorders>
              <w:top w:val="nil"/>
              <w:left w:val="nil"/>
              <w:bottom w:val="nil"/>
              <w:right w:val="nil"/>
            </w:tcBorders>
            <w:shd w:val="clear" w:color="auto" w:fill="auto"/>
            <w:noWrap/>
            <w:vAlign w:val="bottom"/>
            <w:hideMark/>
          </w:tcPr>
          <w:p w14:paraId="275C23DE"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0.347 ± 0.168</w:t>
            </w:r>
          </w:p>
        </w:tc>
        <w:tc>
          <w:tcPr>
            <w:tcW w:w="869" w:type="dxa"/>
            <w:tcBorders>
              <w:top w:val="nil"/>
              <w:left w:val="nil"/>
              <w:bottom w:val="nil"/>
              <w:right w:val="nil"/>
            </w:tcBorders>
            <w:shd w:val="clear" w:color="auto" w:fill="auto"/>
            <w:noWrap/>
            <w:vAlign w:val="bottom"/>
            <w:hideMark/>
          </w:tcPr>
          <w:p w14:paraId="14D8BCD7" w14:textId="77777777" w:rsidR="00BE2281" w:rsidRPr="00BE2281" w:rsidRDefault="00BE2281" w:rsidP="00BE2281">
            <w:pPr>
              <w:spacing w:before="0" w:after="0"/>
              <w:jc w:val="center"/>
              <w:rPr>
                <w:rFonts w:ascii="Calibri" w:eastAsia="Times New Roman" w:hAnsi="Calibri" w:cs="Calibri"/>
                <w:color w:val="000000"/>
                <w:szCs w:val="24"/>
              </w:rPr>
            </w:pPr>
          </w:p>
        </w:tc>
      </w:tr>
      <w:tr w:rsidR="00EC2D6A" w:rsidRPr="00BE2281" w14:paraId="78731F15" w14:textId="77777777" w:rsidTr="00EC2D6A">
        <w:trPr>
          <w:trHeight w:val="282"/>
          <w:jc w:val="center"/>
        </w:trPr>
        <w:tc>
          <w:tcPr>
            <w:tcW w:w="1260" w:type="dxa"/>
            <w:vMerge/>
            <w:tcBorders>
              <w:top w:val="nil"/>
              <w:left w:val="nil"/>
              <w:bottom w:val="single" w:sz="8" w:space="0" w:color="000000"/>
              <w:right w:val="nil"/>
            </w:tcBorders>
            <w:vAlign w:val="center"/>
            <w:hideMark/>
          </w:tcPr>
          <w:p w14:paraId="4A765EFD"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3A26FC55" w14:textId="77777777" w:rsidR="00BE2281" w:rsidRPr="00BE2281" w:rsidRDefault="00BE2281" w:rsidP="00BE2281">
            <w:pPr>
              <w:spacing w:before="0" w:after="0"/>
              <w:jc w:val="center"/>
              <w:rPr>
                <w:rFonts w:eastAsia="Times New Roman" w:cs="Times New Roman"/>
                <w:sz w:val="20"/>
                <w:szCs w:val="20"/>
              </w:rPr>
            </w:pPr>
          </w:p>
        </w:tc>
        <w:tc>
          <w:tcPr>
            <w:tcW w:w="1557" w:type="dxa"/>
            <w:tcBorders>
              <w:top w:val="nil"/>
              <w:left w:val="nil"/>
              <w:bottom w:val="nil"/>
              <w:right w:val="nil"/>
            </w:tcBorders>
            <w:shd w:val="clear" w:color="auto" w:fill="auto"/>
            <w:noWrap/>
            <w:vAlign w:val="bottom"/>
            <w:hideMark/>
          </w:tcPr>
          <w:p w14:paraId="04AB1C5A" w14:textId="77777777" w:rsidR="00BE2281" w:rsidRPr="00BE2281" w:rsidRDefault="00BE2281" w:rsidP="00BE2281">
            <w:pPr>
              <w:spacing w:before="0" w:after="0"/>
              <w:jc w:val="center"/>
              <w:rPr>
                <w:rFonts w:eastAsia="Times New Roman" w:cs="Times New Roman"/>
                <w:sz w:val="20"/>
                <w:szCs w:val="20"/>
              </w:rPr>
            </w:pPr>
          </w:p>
        </w:tc>
        <w:tc>
          <w:tcPr>
            <w:tcW w:w="1138" w:type="dxa"/>
            <w:tcBorders>
              <w:top w:val="nil"/>
              <w:left w:val="nil"/>
              <w:bottom w:val="nil"/>
              <w:right w:val="nil"/>
            </w:tcBorders>
            <w:shd w:val="clear" w:color="auto" w:fill="auto"/>
            <w:noWrap/>
            <w:vAlign w:val="bottom"/>
            <w:hideMark/>
          </w:tcPr>
          <w:p w14:paraId="336B6982"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Year2015</w:t>
            </w:r>
          </w:p>
        </w:tc>
        <w:tc>
          <w:tcPr>
            <w:tcW w:w="1642" w:type="dxa"/>
            <w:tcBorders>
              <w:top w:val="nil"/>
              <w:left w:val="nil"/>
              <w:bottom w:val="nil"/>
              <w:right w:val="nil"/>
            </w:tcBorders>
            <w:shd w:val="clear" w:color="auto" w:fill="auto"/>
            <w:noWrap/>
            <w:vAlign w:val="bottom"/>
            <w:hideMark/>
          </w:tcPr>
          <w:p w14:paraId="3ABB7EA3"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-2.114 ± 1.992</w:t>
            </w:r>
          </w:p>
        </w:tc>
        <w:tc>
          <w:tcPr>
            <w:tcW w:w="1138" w:type="dxa"/>
            <w:tcBorders>
              <w:top w:val="nil"/>
              <w:left w:val="nil"/>
              <w:bottom w:val="nil"/>
              <w:right w:val="nil"/>
            </w:tcBorders>
            <w:shd w:val="clear" w:color="auto" w:fill="auto"/>
            <w:noWrap/>
            <w:vAlign w:val="bottom"/>
            <w:hideMark/>
          </w:tcPr>
          <w:p w14:paraId="45F607F5"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Year2015</w:t>
            </w:r>
          </w:p>
        </w:tc>
        <w:tc>
          <w:tcPr>
            <w:tcW w:w="1557" w:type="dxa"/>
            <w:tcBorders>
              <w:top w:val="nil"/>
              <w:left w:val="nil"/>
              <w:bottom w:val="nil"/>
              <w:right w:val="nil"/>
            </w:tcBorders>
            <w:shd w:val="clear" w:color="auto" w:fill="auto"/>
            <w:noWrap/>
            <w:vAlign w:val="bottom"/>
            <w:hideMark/>
          </w:tcPr>
          <w:p w14:paraId="0A9C2C8E"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0.360 ± 0.343</w:t>
            </w:r>
          </w:p>
        </w:tc>
        <w:tc>
          <w:tcPr>
            <w:tcW w:w="869" w:type="dxa"/>
            <w:tcBorders>
              <w:top w:val="nil"/>
              <w:left w:val="nil"/>
              <w:bottom w:val="nil"/>
              <w:right w:val="nil"/>
            </w:tcBorders>
            <w:shd w:val="clear" w:color="auto" w:fill="auto"/>
            <w:noWrap/>
            <w:vAlign w:val="bottom"/>
            <w:hideMark/>
          </w:tcPr>
          <w:p w14:paraId="2466024E" w14:textId="77777777" w:rsidR="00BE2281" w:rsidRPr="00BE2281" w:rsidRDefault="00BE2281" w:rsidP="00BE2281">
            <w:pPr>
              <w:spacing w:before="0" w:after="0"/>
              <w:jc w:val="center"/>
              <w:rPr>
                <w:rFonts w:ascii="Calibri" w:eastAsia="Times New Roman" w:hAnsi="Calibri" w:cs="Calibri"/>
                <w:color w:val="000000"/>
                <w:szCs w:val="24"/>
              </w:rPr>
            </w:pPr>
          </w:p>
        </w:tc>
      </w:tr>
      <w:tr w:rsidR="00EC2D6A" w:rsidRPr="00BE2281" w14:paraId="73B46465" w14:textId="77777777" w:rsidTr="00EC2D6A">
        <w:trPr>
          <w:trHeight w:val="295"/>
          <w:jc w:val="center"/>
        </w:trPr>
        <w:tc>
          <w:tcPr>
            <w:tcW w:w="1260" w:type="dxa"/>
            <w:vMerge/>
            <w:tcBorders>
              <w:top w:val="nil"/>
              <w:left w:val="nil"/>
              <w:bottom w:val="single" w:sz="8" w:space="0" w:color="000000"/>
              <w:right w:val="nil"/>
            </w:tcBorders>
            <w:vAlign w:val="center"/>
            <w:hideMark/>
          </w:tcPr>
          <w:p w14:paraId="737C6408"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single" w:sz="8" w:space="0" w:color="auto"/>
              <w:right w:val="nil"/>
            </w:tcBorders>
            <w:shd w:val="clear" w:color="auto" w:fill="auto"/>
            <w:noWrap/>
            <w:vAlign w:val="bottom"/>
            <w:hideMark/>
          </w:tcPr>
          <w:p w14:paraId="06168D68"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c>
          <w:tcPr>
            <w:tcW w:w="1557" w:type="dxa"/>
            <w:tcBorders>
              <w:top w:val="nil"/>
              <w:left w:val="nil"/>
              <w:bottom w:val="single" w:sz="8" w:space="0" w:color="auto"/>
              <w:right w:val="nil"/>
            </w:tcBorders>
            <w:shd w:val="clear" w:color="auto" w:fill="auto"/>
            <w:noWrap/>
            <w:vAlign w:val="bottom"/>
            <w:hideMark/>
          </w:tcPr>
          <w:p w14:paraId="2A3B840F"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c>
          <w:tcPr>
            <w:tcW w:w="1138" w:type="dxa"/>
            <w:tcBorders>
              <w:top w:val="nil"/>
              <w:left w:val="nil"/>
              <w:bottom w:val="single" w:sz="8" w:space="0" w:color="auto"/>
              <w:right w:val="nil"/>
            </w:tcBorders>
            <w:shd w:val="clear" w:color="auto" w:fill="auto"/>
            <w:noWrap/>
            <w:vAlign w:val="bottom"/>
            <w:hideMark/>
          </w:tcPr>
          <w:p w14:paraId="4845EC8B"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Year2016</w:t>
            </w:r>
          </w:p>
        </w:tc>
        <w:tc>
          <w:tcPr>
            <w:tcW w:w="1642" w:type="dxa"/>
            <w:tcBorders>
              <w:top w:val="nil"/>
              <w:left w:val="nil"/>
              <w:bottom w:val="single" w:sz="8" w:space="0" w:color="auto"/>
              <w:right w:val="nil"/>
            </w:tcBorders>
            <w:shd w:val="clear" w:color="auto" w:fill="auto"/>
            <w:noWrap/>
            <w:vAlign w:val="bottom"/>
            <w:hideMark/>
          </w:tcPr>
          <w:p w14:paraId="3D907A12"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-0.693 ± 1.202</w:t>
            </w:r>
          </w:p>
        </w:tc>
        <w:tc>
          <w:tcPr>
            <w:tcW w:w="1138" w:type="dxa"/>
            <w:tcBorders>
              <w:top w:val="nil"/>
              <w:left w:val="nil"/>
              <w:bottom w:val="single" w:sz="8" w:space="0" w:color="auto"/>
              <w:right w:val="nil"/>
            </w:tcBorders>
            <w:shd w:val="clear" w:color="auto" w:fill="auto"/>
            <w:noWrap/>
            <w:vAlign w:val="bottom"/>
            <w:hideMark/>
          </w:tcPr>
          <w:p w14:paraId="6AA7DBC1"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Year2016</w:t>
            </w:r>
          </w:p>
        </w:tc>
        <w:tc>
          <w:tcPr>
            <w:tcW w:w="1557" w:type="dxa"/>
            <w:tcBorders>
              <w:top w:val="nil"/>
              <w:left w:val="nil"/>
              <w:bottom w:val="single" w:sz="8" w:space="0" w:color="auto"/>
              <w:right w:val="nil"/>
            </w:tcBorders>
            <w:shd w:val="clear" w:color="auto" w:fill="auto"/>
            <w:noWrap/>
            <w:vAlign w:val="bottom"/>
            <w:hideMark/>
          </w:tcPr>
          <w:p w14:paraId="44A66570"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0.146 ± 0.205</w:t>
            </w:r>
          </w:p>
        </w:tc>
        <w:tc>
          <w:tcPr>
            <w:tcW w:w="869" w:type="dxa"/>
            <w:tcBorders>
              <w:top w:val="nil"/>
              <w:left w:val="nil"/>
              <w:bottom w:val="single" w:sz="8" w:space="0" w:color="auto"/>
              <w:right w:val="nil"/>
            </w:tcBorders>
            <w:shd w:val="clear" w:color="auto" w:fill="auto"/>
            <w:noWrap/>
            <w:vAlign w:val="bottom"/>
            <w:hideMark/>
          </w:tcPr>
          <w:p w14:paraId="3E8E49DC"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r>
      <w:tr w:rsidR="00BE2281" w:rsidRPr="00BE2281" w14:paraId="7B754A4F" w14:textId="77777777" w:rsidTr="00EC2D6A">
        <w:trPr>
          <w:trHeight w:val="282"/>
          <w:jc w:val="center"/>
        </w:trPr>
        <w:tc>
          <w:tcPr>
            <w:tcW w:w="1260" w:type="dxa"/>
            <w:vMerge w:val="restart"/>
            <w:tcBorders>
              <w:top w:val="nil"/>
              <w:left w:val="nil"/>
              <w:bottom w:val="single" w:sz="8" w:space="0" w:color="000000"/>
              <w:right w:val="nil"/>
            </w:tcBorders>
            <w:shd w:val="clear" w:color="auto" w:fill="auto"/>
            <w:vAlign w:val="center"/>
            <w:hideMark/>
          </w:tcPr>
          <w:p w14:paraId="6A7C70F9"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Wet Weight to Standard Length</w:t>
            </w:r>
          </w:p>
        </w:tc>
        <w:tc>
          <w:tcPr>
            <w:tcW w:w="9523" w:type="dxa"/>
            <w:gridSpan w:val="7"/>
            <w:tcBorders>
              <w:top w:val="single" w:sz="8" w:space="0" w:color="auto"/>
              <w:left w:val="nil"/>
              <w:bottom w:val="single" w:sz="4" w:space="0" w:color="auto"/>
              <w:right w:val="nil"/>
            </w:tcBorders>
            <w:shd w:val="clear" w:color="auto" w:fill="auto"/>
            <w:noWrap/>
            <w:vAlign w:val="bottom"/>
            <w:hideMark/>
          </w:tcPr>
          <w:p w14:paraId="511CCA84" w14:textId="75C4E79D" w:rsid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b/>
                <w:bCs/>
                <w:color w:val="000000"/>
                <w:szCs w:val="24"/>
                <w:u w:val="single"/>
              </w:rPr>
              <w:t>Parameter Estimates</w:t>
            </w:r>
            <w:r>
              <w:rPr>
                <w:rFonts w:ascii="Calibri" w:eastAsia="Times New Roman" w:hAnsi="Calibri" w:cs="Calibri"/>
                <w:b/>
                <w:bCs/>
                <w:color w:val="000000"/>
                <w:szCs w:val="24"/>
                <w:u w:val="single"/>
              </w:rPr>
              <w:t>:</w:t>
            </w:r>
            <w:r w:rsidRPr="00BE2281">
              <w:rPr>
                <w:rFonts w:ascii="Calibri" w:eastAsia="Times New Roman" w:hAnsi="Calibri" w:cs="Calibri"/>
                <w:color w:val="000000"/>
                <w:szCs w:val="24"/>
              </w:rPr>
              <w:t xml:space="preserve"> </w:t>
            </w:r>
          </w:p>
          <w:p w14:paraId="4306EB15" w14:textId="312770BD"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ln(Wet Weight) = y0 + a[ln(Standard Length) + b[Year]</w:t>
            </w:r>
          </w:p>
        </w:tc>
      </w:tr>
      <w:tr w:rsidR="00EC2D6A" w:rsidRPr="00BE2281" w14:paraId="7DEBEDE1" w14:textId="77777777" w:rsidTr="00EC2D6A">
        <w:trPr>
          <w:trHeight w:val="282"/>
          <w:jc w:val="center"/>
        </w:trPr>
        <w:tc>
          <w:tcPr>
            <w:tcW w:w="1260" w:type="dxa"/>
            <w:vMerge/>
            <w:tcBorders>
              <w:top w:val="nil"/>
              <w:left w:val="nil"/>
              <w:bottom w:val="single" w:sz="8" w:space="0" w:color="000000"/>
              <w:right w:val="nil"/>
            </w:tcBorders>
            <w:vAlign w:val="center"/>
            <w:hideMark/>
          </w:tcPr>
          <w:p w14:paraId="5DB0B60E"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5F450C94" w14:textId="26D7D53B" w:rsidR="00BE2281" w:rsidRPr="00BE2281" w:rsidRDefault="00EC2D6A"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y₀</w:t>
            </w:r>
            <w:r w:rsidR="00BE2281" w:rsidRPr="00BE2281">
              <w:rPr>
                <w:rFonts w:ascii="Calibri" w:eastAsia="Times New Roman" w:hAnsi="Calibri" w:cs="Calibri"/>
                <w:color w:val="000000"/>
                <w:szCs w:val="24"/>
              </w:rPr>
              <w:t xml:space="preserve"> mean ± SE</w:t>
            </w:r>
          </w:p>
        </w:tc>
        <w:tc>
          <w:tcPr>
            <w:tcW w:w="1557" w:type="dxa"/>
            <w:tcBorders>
              <w:top w:val="nil"/>
              <w:left w:val="nil"/>
              <w:bottom w:val="nil"/>
              <w:right w:val="nil"/>
            </w:tcBorders>
            <w:shd w:val="clear" w:color="auto" w:fill="auto"/>
            <w:noWrap/>
            <w:vAlign w:val="bottom"/>
            <w:hideMark/>
          </w:tcPr>
          <w:p w14:paraId="77006D44"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a mean ± SE</w:t>
            </w:r>
          </w:p>
        </w:tc>
        <w:tc>
          <w:tcPr>
            <w:tcW w:w="2780" w:type="dxa"/>
            <w:gridSpan w:val="2"/>
            <w:tcBorders>
              <w:top w:val="nil"/>
              <w:left w:val="nil"/>
              <w:bottom w:val="nil"/>
              <w:right w:val="nil"/>
            </w:tcBorders>
            <w:shd w:val="clear" w:color="auto" w:fill="auto"/>
            <w:noWrap/>
            <w:vAlign w:val="bottom"/>
            <w:hideMark/>
          </w:tcPr>
          <w:p w14:paraId="666CD24C"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b mean ± SE</w:t>
            </w:r>
          </w:p>
        </w:tc>
        <w:tc>
          <w:tcPr>
            <w:tcW w:w="2695" w:type="dxa"/>
            <w:gridSpan w:val="2"/>
            <w:tcBorders>
              <w:top w:val="nil"/>
              <w:left w:val="nil"/>
              <w:bottom w:val="nil"/>
              <w:right w:val="nil"/>
            </w:tcBorders>
            <w:shd w:val="clear" w:color="auto" w:fill="auto"/>
            <w:noWrap/>
            <w:vAlign w:val="bottom"/>
            <w:hideMark/>
          </w:tcPr>
          <w:p w14:paraId="77CC8C8A" w14:textId="77777777" w:rsidR="00BE2281" w:rsidRPr="00BE2281" w:rsidRDefault="00BE2281" w:rsidP="00BE2281">
            <w:pPr>
              <w:spacing w:before="0" w:after="0"/>
              <w:jc w:val="center"/>
              <w:rPr>
                <w:rFonts w:ascii="Calibri" w:eastAsia="Times New Roman" w:hAnsi="Calibri" w:cs="Calibri"/>
                <w:color w:val="000000"/>
                <w:szCs w:val="24"/>
              </w:rPr>
            </w:pPr>
          </w:p>
        </w:tc>
        <w:tc>
          <w:tcPr>
            <w:tcW w:w="869" w:type="dxa"/>
            <w:tcBorders>
              <w:top w:val="nil"/>
              <w:left w:val="nil"/>
              <w:bottom w:val="nil"/>
              <w:right w:val="nil"/>
            </w:tcBorders>
            <w:shd w:val="clear" w:color="auto" w:fill="auto"/>
            <w:noWrap/>
            <w:vAlign w:val="bottom"/>
            <w:hideMark/>
          </w:tcPr>
          <w:p w14:paraId="7D388FA7" w14:textId="411BFABF"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R</w:t>
            </w:r>
            <w:r w:rsidRPr="00BE2281">
              <w:rPr>
                <w:rFonts w:ascii="Calibri" w:eastAsia="Times New Roman" w:hAnsi="Calibri" w:cs="Calibri"/>
                <w:color w:val="000000"/>
                <w:szCs w:val="24"/>
                <w:vertAlign w:val="superscript"/>
              </w:rPr>
              <w:t>2</w:t>
            </w:r>
            <w:r w:rsidRPr="00BE2281">
              <w:rPr>
                <w:rFonts w:ascii="Calibri" w:eastAsia="Times New Roman" w:hAnsi="Calibri" w:cs="Calibri"/>
                <w:color w:val="000000"/>
                <w:szCs w:val="24"/>
              </w:rPr>
              <w:t xml:space="preserve"> adj</w:t>
            </w:r>
          </w:p>
        </w:tc>
      </w:tr>
      <w:tr w:rsidR="00EC2D6A" w:rsidRPr="00BE2281" w14:paraId="12365CBD" w14:textId="77777777" w:rsidTr="00EC2D6A">
        <w:trPr>
          <w:trHeight w:val="282"/>
          <w:jc w:val="center"/>
        </w:trPr>
        <w:tc>
          <w:tcPr>
            <w:tcW w:w="1260" w:type="dxa"/>
            <w:vMerge/>
            <w:tcBorders>
              <w:top w:val="nil"/>
              <w:left w:val="nil"/>
              <w:bottom w:val="single" w:sz="8" w:space="0" w:color="000000"/>
              <w:right w:val="nil"/>
            </w:tcBorders>
            <w:vAlign w:val="center"/>
            <w:hideMark/>
          </w:tcPr>
          <w:p w14:paraId="5F11C673"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47F71167"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-11.169 ± 0.354</w:t>
            </w:r>
          </w:p>
        </w:tc>
        <w:tc>
          <w:tcPr>
            <w:tcW w:w="1557" w:type="dxa"/>
            <w:tcBorders>
              <w:top w:val="nil"/>
              <w:left w:val="nil"/>
              <w:bottom w:val="nil"/>
              <w:right w:val="nil"/>
            </w:tcBorders>
            <w:shd w:val="clear" w:color="auto" w:fill="auto"/>
            <w:noWrap/>
            <w:vAlign w:val="bottom"/>
            <w:hideMark/>
          </w:tcPr>
          <w:p w14:paraId="6C637E46"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2.939 ± 0.092</w:t>
            </w:r>
          </w:p>
        </w:tc>
        <w:tc>
          <w:tcPr>
            <w:tcW w:w="1138" w:type="dxa"/>
            <w:tcBorders>
              <w:top w:val="nil"/>
              <w:left w:val="nil"/>
              <w:bottom w:val="nil"/>
              <w:right w:val="nil"/>
            </w:tcBorders>
            <w:shd w:val="clear" w:color="auto" w:fill="auto"/>
            <w:noWrap/>
            <w:vAlign w:val="bottom"/>
            <w:hideMark/>
          </w:tcPr>
          <w:p w14:paraId="3FF025D0"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Year2012</w:t>
            </w:r>
          </w:p>
        </w:tc>
        <w:tc>
          <w:tcPr>
            <w:tcW w:w="1642" w:type="dxa"/>
            <w:tcBorders>
              <w:top w:val="nil"/>
              <w:left w:val="nil"/>
              <w:bottom w:val="nil"/>
              <w:right w:val="nil"/>
            </w:tcBorders>
            <w:shd w:val="clear" w:color="auto" w:fill="auto"/>
            <w:noWrap/>
            <w:vAlign w:val="bottom"/>
            <w:hideMark/>
          </w:tcPr>
          <w:p w14:paraId="7AE76311"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-0.126 ± 0.033</w:t>
            </w:r>
          </w:p>
        </w:tc>
        <w:tc>
          <w:tcPr>
            <w:tcW w:w="1138" w:type="dxa"/>
            <w:tcBorders>
              <w:top w:val="nil"/>
              <w:left w:val="nil"/>
              <w:bottom w:val="nil"/>
              <w:right w:val="nil"/>
            </w:tcBorders>
            <w:shd w:val="clear" w:color="auto" w:fill="auto"/>
            <w:noWrap/>
            <w:vAlign w:val="bottom"/>
            <w:hideMark/>
          </w:tcPr>
          <w:p w14:paraId="19D08075" w14:textId="77777777" w:rsidR="00BE2281" w:rsidRPr="00BE2281" w:rsidRDefault="00BE2281" w:rsidP="00BE2281">
            <w:pPr>
              <w:spacing w:before="0" w:after="0"/>
              <w:jc w:val="center"/>
              <w:rPr>
                <w:rFonts w:ascii="Calibri" w:eastAsia="Times New Roman" w:hAnsi="Calibri" w:cs="Calibri"/>
                <w:color w:val="000000"/>
                <w:szCs w:val="24"/>
              </w:rPr>
            </w:pPr>
          </w:p>
        </w:tc>
        <w:tc>
          <w:tcPr>
            <w:tcW w:w="1557" w:type="dxa"/>
            <w:tcBorders>
              <w:top w:val="nil"/>
              <w:left w:val="nil"/>
              <w:bottom w:val="nil"/>
              <w:right w:val="nil"/>
            </w:tcBorders>
            <w:shd w:val="clear" w:color="auto" w:fill="auto"/>
            <w:noWrap/>
            <w:vAlign w:val="bottom"/>
            <w:hideMark/>
          </w:tcPr>
          <w:p w14:paraId="6EDCD6F4" w14:textId="77777777" w:rsidR="00BE2281" w:rsidRPr="00BE2281" w:rsidRDefault="00BE2281" w:rsidP="00BE2281">
            <w:pPr>
              <w:spacing w:before="0" w:after="0"/>
              <w:jc w:val="center"/>
              <w:rPr>
                <w:rFonts w:eastAsia="Times New Roman" w:cs="Times New Roman"/>
                <w:sz w:val="20"/>
                <w:szCs w:val="20"/>
              </w:rPr>
            </w:pPr>
          </w:p>
        </w:tc>
        <w:tc>
          <w:tcPr>
            <w:tcW w:w="869" w:type="dxa"/>
            <w:tcBorders>
              <w:top w:val="nil"/>
              <w:left w:val="nil"/>
              <w:bottom w:val="nil"/>
              <w:right w:val="nil"/>
            </w:tcBorders>
            <w:shd w:val="clear" w:color="auto" w:fill="auto"/>
            <w:noWrap/>
            <w:vAlign w:val="bottom"/>
            <w:hideMark/>
          </w:tcPr>
          <w:p w14:paraId="292F2F4D"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0.961</w:t>
            </w:r>
          </w:p>
        </w:tc>
      </w:tr>
      <w:tr w:rsidR="00EC2D6A" w:rsidRPr="00BE2281" w14:paraId="3808BA2A" w14:textId="77777777" w:rsidTr="00EC2D6A">
        <w:trPr>
          <w:trHeight w:val="282"/>
          <w:jc w:val="center"/>
        </w:trPr>
        <w:tc>
          <w:tcPr>
            <w:tcW w:w="1260" w:type="dxa"/>
            <w:vMerge/>
            <w:tcBorders>
              <w:top w:val="nil"/>
              <w:left w:val="nil"/>
              <w:bottom w:val="single" w:sz="8" w:space="0" w:color="000000"/>
              <w:right w:val="nil"/>
            </w:tcBorders>
            <w:vAlign w:val="center"/>
            <w:hideMark/>
          </w:tcPr>
          <w:p w14:paraId="4A90883D"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25C7743D" w14:textId="77777777" w:rsidR="00BE2281" w:rsidRPr="00BE2281" w:rsidRDefault="00BE2281" w:rsidP="00BE2281">
            <w:pPr>
              <w:spacing w:before="0" w:after="0"/>
              <w:jc w:val="center"/>
              <w:rPr>
                <w:rFonts w:ascii="Calibri" w:eastAsia="Times New Roman" w:hAnsi="Calibri" w:cs="Calibri"/>
                <w:color w:val="000000"/>
                <w:szCs w:val="24"/>
              </w:rPr>
            </w:pPr>
          </w:p>
        </w:tc>
        <w:tc>
          <w:tcPr>
            <w:tcW w:w="1557" w:type="dxa"/>
            <w:tcBorders>
              <w:top w:val="nil"/>
              <w:left w:val="nil"/>
              <w:bottom w:val="nil"/>
              <w:right w:val="nil"/>
            </w:tcBorders>
            <w:shd w:val="clear" w:color="auto" w:fill="auto"/>
            <w:noWrap/>
            <w:vAlign w:val="bottom"/>
            <w:hideMark/>
          </w:tcPr>
          <w:p w14:paraId="6FC30719" w14:textId="77777777" w:rsidR="00BE2281" w:rsidRPr="00BE2281" w:rsidRDefault="00BE2281" w:rsidP="00BE2281">
            <w:pPr>
              <w:spacing w:before="0" w:after="0"/>
              <w:jc w:val="center"/>
              <w:rPr>
                <w:rFonts w:eastAsia="Times New Roman" w:cs="Times New Roman"/>
                <w:sz w:val="20"/>
                <w:szCs w:val="20"/>
              </w:rPr>
            </w:pPr>
          </w:p>
        </w:tc>
        <w:tc>
          <w:tcPr>
            <w:tcW w:w="1138" w:type="dxa"/>
            <w:tcBorders>
              <w:top w:val="nil"/>
              <w:left w:val="nil"/>
              <w:bottom w:val="nil"/>
              <w:right w:val="nil"/>
            </w:tcBorders>
            <w:shd w:val="clear" w:color="auto" w:fill="auto"/>
            <w:noWrap/>
            <w:vAlign w:val="bottom"/>
            <w:hideMark/>
          </w:tcPr>
          <w:p w14:paraId="27F43A1A"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Year2013</w:t>
            </w:r>
          </w:p>
        </w:tc>
        <w:tc>
          <w:tcPr>
            <w:tcW w:w="1642" w:type="dxa"/>
            <w:tcBorders>
              <w:top w:val="nil"/>
              <w:left w:val="nil"/>
              <w:bottom w:val="nil"/>
              <w:right w:val="nil"/>
            </w:tcBorders>
            <w:shd w:val="clear" w:color="auto" w:fill="auto"/>
            <w:noWrap/>
            <w:vAlign w:val="bottom"/>
            <w:hideMark/>
          </w:tcPr>
          <w:p w14:paraId="5F65C033"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-0.193 ± 0.033</w:t>
            </w:r>
          </w:p>
        </w:tc>
        <w:tc>
          <w:tcPr>
            <w:tcW w:w="1138" w:type="dxa"/>
            <w:tcBorders>
              <w:top w:val="nil"/>
              <w:left w:val="nil"/>
              <w:bottom w:val="nil"/>
              <w:right w:val="nil"/>
            </w:tcBorders>
            <w:shd w:val="clear" w:color="auto" w:fill="auto"/>
            <w:noWrap/>
            <w:vAlign w:val="bottom"/>
            <w:hideMark/>
          </w:tcPr>
          <w:p w14:paraId="5D8B4CAD" w14:textId="77777777" w:rsidR="00BE2281" w:rsidRPr="00BE2281" w:rsidRDefault="00BE2281" w:rsidP="00BE2281">
            <w:pPr>
              <w:spacing w:before="0" w:after="0"/>
              <w:jc w:val="center"/>
              <w:rPr>
                <w:rFonts w:ascii="Calibri" w:eastAsia="Times New Roman" w:hAnsi="Calibri" w:cs="Calibri"/>
                <w:color w:val="000000"/>
                <w:szCs w:val="24"/>
              </w:rPr>
            </w:pPr>
          </w:p>
        </w:tc>
        <w:tc>
          <w:tcPr>
            <w:tcW w:w="1557" w:type="dxa"/>
            <w:tcBorders>
              <w:top w:val="nil"/>
              <w:left w:val="nil"/>
              <w:bottom w:val="nil"/>
              <w:right w:val="nil"/>
            </w:tcBorders>
            <w:shd w:val="clear" w:color="auto" w:fill="auto"/>
            <w:noWrap/>
            <w:vAlign w:val="bottom"/>
            <w:hideMark/>
          </w:tcPr>
          <w:p w14:paraId="4409751E" w14:textId="77777777" w:rsidR="00BE2281" w:rsidRPr="00BE2281" w:rsidRDefault="00BE2281" w:rsidP="00BE2281">
            <w:pPr>
              <w:spacing w:before="0" w:after="0"/>
              <w:jc w:val="center"/>
              <w:rPr>
                <w:rFonts w:eastAsia="Times New Roman" w:cs="Times New Roman"/>
                <w:sz w:val="20"/>
                <w:szCs w:val="20"/>
              </w:rPr>
            </w:pPr>
          </w:p>
        </w:tc>
        <w:tc>
          <w:tcPr>
            <w:tcW w:w="869" w:type="dxa"/>
            <w:tcBorders>
              <w:top w:val="nil"/>
              <w:left w:val="nil"/>
              <w:bottom w:val="nil"/>
              <w:right w:val="nil"/>
            </w:tcBorders>
            <w:shd w:val="clear" w:color="auto" w:fill="auto"/>
            <w:noWrap/>
            <w:vAlign w:val="bottom"/>
            <w:hideMark/>
          </w:tcPr>
          <w:p w14:paraId="39DEEBCC" w14:textId="77777777" w:rsidR="00BE2281" w:rsidRPr="00BE2281" w:rsidRDefault="00BE2281" w:rsidP="00BE2281">
            <w:pPr>
              <w:spacing w:before="0" w:after="0"/>
              <w:jc w:val="center"/>
              <w:rPr>
                <w:rFonts w:eastAsia="Times New Roman" w:cs="Times New Roman"/>
                <w:sz w:val="20"/>
                <w:szCs w:val="20"/>
              </w:rPr>
            </w:pPr>
          </w:p>
        </w:tc>
      </w:tr>
      <w:tr w:rsidR="00EC2D6A" w:rsidRPr="00BE2281" w14:paraId="5A8E34BA" w14:textId="77777777" w:rsidTr="00EC2D6A">
        <w:trPr>
          <w:trHeight w:val="282"/>
          <w:jc w:val="center"/>
        </w:trPr>
        <w:tc>
          <w:tcPr>
            <w:tcW w:w="1260" w:type="dxa"/>
            <w:vMerge/>
            <w:tcBorders>
              <w:top w:val="nil"/>
              <w:left w:val="nil"/>
              <w:bottom w:val="single" w:sz="8" w:space="0" w:color="000000"/>
              <w:right w:val="nil"/>
            </w:tcBorders>
            <w:vAlign w:val="center"/>
            <w:hideMark/>
          </w:tcPr>
          <w:p w14:paraId="41DABAEB"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7F41A528" w14:textId="77777777" w:rsidR="00BE2281" w:rsidRPr="00BE2281" w:rsidRDefault="00BE2281" w:rsidP="00BE2281">
            <w:pPr>
              <w:spacing w:before="0" w:after="0"/>
              <w:jc w:val="center"/>
              <w:rPr>
                <w:rFonts w:eastAsia="Times New Roman" w:cs="Times New Roman"/>
                <w:sz w:val="20"/>
                <w:szCs w:val="20"/>
              </w:rPr>
            </w:pPr>
          </w:p>
        </w:tc>
        <w:tc>
          <w:tcPr>
            <w:tcW w:w="1557" w:type="dxa"/>
            <w:tcBorders>
              <w:top w:val="nil"/>
              <w:left w:val="nil"/>
              <w:bottom w:val="nil"/>
              <w:right w:val="nil"/>
            </w:tcBorders>
            <w:shd w:val="clear" w:color="auto" w:fill="auto"/>
            <w:noWrap/>
            <w:vAlign w:val="bottom"/>
            <w:hideMark/>
          </w:tcPr>
          <w:p w14:paraId="1469DCEE" w14:textId="77777777" w:rsidR="00BE2281" w:rsidRPr="00BE2281" w:rsidRDefault="00BE2281" w:rsidP="00BE2281">
            <w:pPr>
              <w:spacing w:before="0" w:after="0"/>
              <w:jc w:val="center"/>
              <w:rPr>
                <w:rFonts w:eastAsia="Times New Roman" w:cs="Times New Roman"/>
                <w:sz w:val="20"/>
                <w:szCs w:val="20"/>
              </w:rPr>
            </w:pPr>
          </w:p>
        </w:tc>
        <w:tc>
          <w:tcPr>
            <w:tcW w:w="1138" w:type="dxa"/>
            <w:tcBorders>
              <w:top w:val="nil"/>
              <w:left w:val="nil"/>
              <w:bottom w:val="nil"/>
              <w:right w:val="nil"/>
            </w:tcBorders>
            <w:shd w:val="clear" w:color="auto" w:fill="auto"/>
            <w:noWrap/>
            <w:vAlign w:val="bottom"/>
            <w:hideMark/>
          </w:tcPr>
          <w:p w14:paraId="3C4D516E"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Year2014</w:t>
            </w:r>
          </w:p>
        </w:tc>
        <w:tc>
          <w:tcPr>
            <w:tcW w:w="1642" w:type="dxa"/>
            <w:tcBorders>
              <w:top w:val="nil"/>
              <w:left w:val="nil"/>
              <w:bottom w:val="nil"/>
              <w:right w:val="nil"/>
            </w:tcBorders>
            <w:shd w:val="clear" w:color="auto" w:fill="auto"/>
            <w:noWrap/>
            <w:vAlign w:val="bottom"/>
            <w:hideMark/>
          </w:tcPr>
          <w:p w14:paraId="7D39C0EC"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-0.157 ± 0.033</w:t>
            </w:r>
          </w:p>
        </w:tc>
        <w:tc>
          <w:tcPr>
            <w:tcW w:w="1138" w:type="dxa"/>
            <w:tcBorders>
              <w:top w:val="nil"/>
              <w:left w:val="nil"/>
              <w:bottom w:val="nil"/>
              <w:right w:val="nil"/>
            </w:tcBorders>
            <w:shd w:val="clear" w:color="auto" w:fill="auto"/>
            <w:noWrap/>
            <w:vAlign w:val="bottom"/>
            <w:hideMark/>
          </w:tcPr>
          <w:p w14:paraId="2BAB2761" w14:textId="77777777" w:rsidR="00BE2281" w:rsidRPr="00BE2281" w:rsidRDefault="00BE2281" w:rsidP="00BE2281">
            <w:pPr>
              <w:spacing w:before="0" w:after="0"/>
              <w:jc w:val="center"/>
              <w:rPr>
                <w:rFonts w:ascii="Calibri" w:eastAsia="Times New Roman" w:hAnsi="Calibri" w:cs="Calibri"/>
                <w:color w:val="000000"/>
                <w:szCs w:val="24"/>
              </w:rPr>
            </w:pPr>
          </w:p>
        </w:tc>
        <w:tc>
          <w:tcPr>
            <w:tcW w:w="1557" w:type="dxa"/>
            <w:tcBorders>
              <w:top w:val="nil"/>
              <w:left w:val="nil"/>
              <w:bottom w:val="nil"/>
              <w:right w:val="nil"/>
            </w:tcBorders>
            <w:shd w:val="clear" w:color="auto" w:fill="auto"/>
            <w:noWrap/>
            <w:vAlign w:val="bottom"/>
            <w:hideMark/>
          </w:tcPr>
          <w:p w14:paraId="601281A3" w14:textId="77777777" w:rsidR="00BE2281" w:rsidRPr="00BE2281" w:rsidRDefault="00BE2281" w:rsidP="00BE2281">
            <w:pPr>
              <w:spacing w:before="0" w:after="0"/>
              <w:jc w:val="center"/>
              <w:rPr>
                <w:rFonts w:eastAsia="Times New Roman" w:cs="Times New Roman"/>
                <w:sz w:val="20"/>
                <w:szCs w:val="20"/>
              </w:rPr>
            </w:pPr>
          </w:p>
        </w:tc>
        <w:tc>
          <w:tcPr>
            <w:tcW w:w="869" w:type="dxa"/>
            <w:tcBorders>
              <w:top w:val="nil"/>
              <w:left w:val="nil"/>
              <w:bottom w:val="nil"/>
              <w:right w:val="nil"/>
            </w:tcBorders>
            <w:shd w:val="clear" w:color="auto" w:fill="auto"/>
            <w:noWrap/>
            <w:vAlign w:val="bottom"/>
            <w:hideMark/>
          </w:tcPr>
          <w:p w14:paraId="41043C68" w14:textId="77777777" w:rsidR="00BE2281" w:rsidRPr="00BE2281" w:rsidRDefault="00BE2281" w:rsidP="00BE2281">
            <w:pPr>
              <w:spacing w:before="0" w:after="0"/>
              <w:jc w:val="center"/>
              <w:rPr>
                <w:rFonts w:eastAsia="Times New Roman" w:cs="Times New Roman"/>
                <w:sz w:val="20"/>
                <w:szCs w:val="20"/>
              </w:rPr>
            </w:pPr>
          </w:p>
        </w:tc>
      </w:tr>
      <w:tr w:rsidR="00EC2D6A" w:rsidRPr="00BE2281" w14:paraId="240F5DA7" w14:textId="77777777" w:rsidTr="00EC2D6A">
        <w:trPr>
          <w:trHeight w:val="282"/>
          <w:jc w:val="center"/>
        </w:trPr>
        <w:tc>
          <w:tcPr>
            <w:tcW w:w="1260" w:type="dxa"/>
            <w:vMerge/>
            <w:tcBorders>
              <w:top w:val="nil"/>
              <w:left w:val="nil"/>
              <w:bottom w:val="single" w:sz="8" w:space="0" w:color="000000"/>
              <w:right w:val="nil"/>
            </w:tcBorders>
            <w:vAlign w:val="center"/>
            <w:hideMark/>
          </w:tcPr>
          <w:p w14:paraId="1C89A056"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nil"/>
              <w:right w:val="nil"/>
            </w:tcBorders>
            <w:shd w:val="clear" w:color="auto" w:fill="auto"/>
            <w:noWrap/>
            <w:vAlign w:val="bottom"/>
            <w:hideMark/>
          </w:tcPr>
          <w:p w14:paraId="66D8B1C5" w14:textId="77777777" w:rsidR="00BE2281" w:rsidRPr="00BE2281" w:rsidRDefault="00BE2281" w:rsidP="00BE2281">
            <w:pPr>
              <w:spacing w:before="0" w:after="0"/>
              <w:jc w:val="center"/>
              <w:rPr>
                <w:rFonts w:eastAsia="Times New Roman" w:cs="Times New Roman"/>
                <w:sz w:val="20"/>
                <w:szCs w:val="20"/>
              </w:rPr>
            </w:pPr>
          </w:p>
        </w:tc>
        <w:tc>
          <w:tcPr>
            <w:tcW w:w="1557" w:type="dxa"/>
            <w:tcBorders>
              <w:top w:val="nil"/>
              <w:left w:val="nil"/>
              <w:bottom w:val="nil"/>
              <w:right w:val="nil"/>
            </w:tcBorders>
            <w:shd w:val="clear" w:color="auto" w:fill="auto"/>
            <w:noWrap/>
            <w:vAlign w:val="bottom"/>
            <w:hideMark/>
          </w:tcPr>
          <w:p w14:paraId="2228CB0E" w14:textId="77777777" w:rsidR="00BE2281" w:rsidRPr="00BE2281" w:rsidRDefault="00BE2281" w:rsidP="00BE2281">
            <w:pPr>
              <w:spacing w:before="0" w:after="0"/>
              <w:jc w:val="center"/>
              <w:rPr>
                <w:rFonts w:eastAsia="Times New Roman" w:cs="Times New Roman"/>
                <w:sz w:val="20"/>
                <w:szCs w:val="20"/>
              </w:rPr>
            </w:pPr>
          </w:p>
        </w:tc>
        <w:tc>
          <w:tcPr>
            <w:tcW w:w="1138" w:type="dxa"/>
            <w:tcBorders>
              <w:top w:val="nil"/>
              <w:left w:val="nil"/>
              <w:bottom w:val="nil"/>
              <w:right w:val="nil"/>
            </w:tcBorders>
            <w:shd w:val="clear" w:color="auto" w:fill="auto"/>
            <w:noWrap/>
            <w:vAlign w:val="bottom"/>
            <w:hideMark/>
          </w:tcPr>
          <w:p w14:paraId="12028E90"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Year2015</w:t>
            </w:r>
          </w:p>
        </w:tc>
        <w:tc>
          <w:tcPr>
            <w:tcW w:w="1642" w:type="dxa"/>
            <w:tcBorders>
              <w:top w:val="nil"/>
              <w:left w:val="nil"/>
              <w:bottom w:val="nil"/>
              <w:right w:val="nil"/>
            </w:tcBorders>
            <w:shd w:val="clear" w:color="auto" w:fill="auto"/>
            <w:noWrap/>
            <w:vAlign w:val="bottom"/>
            <w:hideMark/>
          </w:tcPr>
          <w:p w14:paraId="0723DFD1"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-0.217 ± 0.039</w:t>
            </w:r>
          </w:p>
        </w:tc>
        <w:tc>
          <w:tcPr>
            <w:tcW w:w="1138" w:type="dxa"/>
            <w:tcBorders>
              <w:top w:val="nil"/>
              <w:left w:val="nil"/>
              <w:bottom w:val="nil"/>
              <w:right w:val="nil"/>
            </w:tcBorders>
            <w:shd w:val="clear" w:color="auto" w:fill="auto"/>
            <w:noWrap/>
            <w:vAlign w:val="bottom"/>
            <w:hideMark/>
          </w:tcPr>
          <w:p w14:paraId="064DFC91" w14:textId="77777777" w:rsidR="00BE2281" w:rsidRPr="00BE2281" w:rsidRDefault="00BE2281" w:rsidP="00BE2281">
            <w:pPr>
              <w:spacing w:before="0" w:after="0"/>
              <w:jc w:val="center"/>
              <w:rPr>
                <w:rFonts w:ascii="Calibri" w:eastAsia="Times New Roman" w:hAnsi="Calibri" w:cs="Calibri"/>
                <w:color w:val="000000"/>
                <w:szCs w:val="24"/>
              </w:rPr>
            </w:pPr>
          </w:p>
        </w:tc>
        <w:tc>
          <w:tcPr>
            <w:tcW w:w="1557" w:type="dxa"/>
            <w:tcBorders>
              <w:top w:val="nil"/>
              <w:left w:val="nil"/>
              <w:bottom w:val="nil"/>
              <w:right w:val="nil"/>
            </w:tcBorders>
            <w:shd w:val="clear" w:color="auto" w:fill="auto"/>
            <w:noWrap/>
            <w:vAlign w:val="bottom"/>
            <w:hideMark/>
          </w:tcPr>
          <w:p w14:paraId="78DEFD85" w14:textId="77777777" w:rsidR="00BE2281" w:rsidRPr="00BE2281" w:rsidRDefault="00BE2281" w:rsidP="00BE2281">
            <w:pPr>
              <w:spacing w:before="0" w:after="0"/>
              <w:jc w:val="center"/>
              <w:rPr>
                <w:rFonts w:eastAsia="Times New Roman" w:cs="Times New Roman"/>
                <w:sz w:val="20"/>
                <w:szCs w:val="20"/>
              </w:rPr>
            </w:pPr>
          </w:p>
        </w:tc>
        <w:tc>
          <w:tcPr>
            <w:tcW w:w="869" w:type="dxa"/>
            <w:tcBorders>
              <w:top w:val="nil"/>
              <w:left w:val="nil"/>
              <w:bottom w:val="nil"/>
              <w:right w:val="nil"/>
            </w:tcBorders>
            <w:shd w:val="clear" w:color="auto" w:fill="auto"/>
            <w:noWrap/>
            <w:vAlign w:val="bottom"/>
            <w:hideMark/>
          </w:tcPr>
          <w:p w14:paraId="1DB0D606" w14:textId="77777777" w:rsidR="00BE2281" w:rsidRPr="00BE2281" w:rsidRDefault="00BE2281" w:rsidP="00BE2281">
            <w:pPr>
              <w:spacing w:before="0" w:after="0"/>
              <w:jc w:val="center"/>
              <w:rPr>
                <w:rFonts w:eastAsia="Times New Roman" w:cs="Times New Roman"/>
                <w:sz w:val="20"/>
                <w:szCs w:val="20"/>
              </w:rPr>
            </w:pPr>
          </w:p>
        </w:tc>
      </w:tr>
      <w:tr w:rsidR="00EC2D6A" w:rsidRPr="00BE2281" w14:paraId="7FA487E4" w14:textId="77777777" w:rsidTr="00EC2D6A">
        <w:trPr>
          <w:trHeight w:val="295"/>
          <w:jc w:val="center"/>
        </w:trPr>
        <w:tc>
          <w:tcPr>
            <w:tcW w:w="1260" w:type="dxa"/>
            <w:vMerge/>
            <w:tcBorders>
              <w:top w:val="nil"/>
              <w:left w:val="nil"/>
              <w:bottom w:val="single" w:sz="8" w:space="0" w:color="000000"/>
              <w:right w:val="nil"/>
            </w:tcBorders>
            <w:vAlign w:val="center"/>
            <w:hideMark/>
          </w:tcPr>
          <w:p w14:paraId="7C888F5B" w14:textId="77777777" w:rsidR="00BE2281" w:rsidRPr="00BE2281" w:rsidRDefault="00BE2281" w:rsidP="00BE2281">
            <w:pPr>
              <w:spacing w:before="0" w:after="0"/>
              <w:rPr>
                <w:rFonts w:ascii="Calibri" w:eastAsia="Times New Roman" w:hAnsi="Calibri" w:cs="Calibri"/>
                <w:color w:val="000000"/>
                <w:szCs w:val="24"/>
              </w:rPr>
            </w:pPr>
          </w:p>
        </w:tc>
        <w:tc>
          <w:tcPr>
            <w:tcW w:w="1622" w:type="dxa"/>
            <w:tcBorders>
              <w:top w:val="nil"/>
              <w:left w:val="nil"/>
              <w:bottom w:val="single" w:sz="8" w:space="0" w:color="auto"/>
              <w:right w:val="nil"/>
            </w:tcBorders>
            <w:shd w:val="clear" w:color="auto" w:fill="auto"/>
            <w:noWrap/>
            <w:vAlign w:val="bottom"/>
            <w:hideMark/>
          </w:tcPr>
          <w:p w14:paraId="1DF07F09"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c>
          <w:tcPr>
            <w:tcW w:w="1557" w:type="dxa"/>
            <w:tcBorders>
              <w:top w:val="nil"/>
              <w:left w:val="nil"/>
              <w:bottom w:val="single" w:sz="8" w:space="0" w:color="auto"/>
              <w:right w:val="nil"/>
            </w:tcBorders>
            <w:shd w:val="clear" w:color="auto" w:fill="auto"/>
            <w:noWrap/>
            <w:vAlign w:val="bottom"/>
            <w:hideMark/>
          </w:tcPr>
          <w:p w14:paraId="2E46422E"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c>
          <w:tcPr>
            <w:tcW w:w="1138" w:type="dxa"/>
            <w:tcBorders>
              <w:top w:val="nil"/>
              <w:left w:val="nil"/>
              <w:bottom w:val="single" w:sz="8" w:space="0" w:color="auto"/>
              <w:right w:val="nil"/>
            </w:tcBorders>
            <w:shd w:val="clear" w:color="auto" w:fill="auto"/>
            <w:noWrap/>
            <w:vAlign w:val="bottom"/>
            <w:hideMark/>
          </w:tcPr>
          <w:p w14:paraId="5865A43E"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Year2016</w:t>
            </w:r>
          </w:p>
        </w:tc>
        <w:tc>
          <w:tcPr>
            <w:tcW w:w="1642" w:type="dxa"/>
            <w:tcBorders>
              <w:top w:val="nil"/>
              <w:left w:val="nil"/>
              <w:bottom w:val="single" w:sz="8" w:space="0" w:color="auto"/>
              <w:right w:val="nil"/>
            </w:tcBorders>
            <w:shd w:val="clear" w:color="auto" w:fill="auto"/>
            <w:noWrap/>
            <w:vAlign w:val="bottom"/>
            <w:hideMark/>
          </w:tcPr>
          <w:p w14:paraId="4E5ACDF1"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-0.113 ± 0.042</w:t>
            </w:r>
          </w:p>
        </w:tc>
        <w:tc>
          <w:tcPr>
            <w:tcW w:w="1138" w:type="dxa"/>
            <w:tcBorders>
              <w:top w:val="nil"/>
              <w:left w:val="nil"/>
              <w:bottom w:val="single" w:sz="8" w:space="0" w:color="auto"/>
              <w:right w:val="nil"/>
            </w:tcBorders>
            <w:shd w:val="clear" w:color="auto" w:fill="auto"/>
            <w:noWrap/>
            <w:vAlign w:val="bottom"/>
            <w:hideMark/>
          </w:tcPr>
          <w:p w14:paraId="0C9B7437"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c>
          <w:tcPr>
            <w:tcW w:w="1557" w:type="dxa"/>
            <w:tcBorders>
              <w:top w:val="nil"/>
              <w:left w:val="nil"/>
              <w:bottom w:val="single" w:sz="8" w:space="0" w:color="auto"/>
              <w:right w:val="nil"/>
            </w:tcBorders>
            <w:shd w:val="clear" w:color="auto" w:fill="auto"/>
            <w:noWrap/>
            <w:vAlign w:val="bottom"/>
            <w:hideMark/>
          </w:tcPr>
          <w:p w14:paraId="42C61768"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c>
          <w:tcPr>
            <w:tcW w:w="869" w:type="dxa"/>
            <w:tcBorders>
              <w:top w:val="nil"/>
              <w:left w:val="nil"/>
              <w:bottom w:val="single" w:sz="8" w:space="0" w:color="auto"/>
              <w:right w:val="nil"/>
            </w:tcBorders>
            <w:shd w:val="clear" w:color="auto" w:fill="auto"/>
            <w:noWrap/>
            <w:vAlign w:val="bottom"/>
            <w:hideMark/>
          </w:tcPr>
          <w:p w14:paraId="447CB7D0" w14:textId="77777777" w:rsidR="00BE2281" w:rsidRPr="00BE2281" w:rsidRDefault="00BE2281" w:rsidP="00BE2281">
            <w:pPr>
              <w:spacing w:before="0" w:after="0"/>
              <w:jc w:val="center"/>
              <w:rPr>
                <w:rFonts w:ascii="Calibri" w:eastAsia="Times New Roman" w:hAnsi="Calibri" w:cs="Calibri"/>
                <w:color w:val="000000"/>
                <w:szCs w:val="24"/>
              </w:rPr>
            </w:pPr>
            <w:r w:rsidRPr="00BE2281">
              <w:rPr>
                <w:rFonts w:ascii="Calibri" w:eastAsia="Times New Roman" w:hAnsi="Calibri" w:cs="Calibri"/>
                <w:color w:val="000000"/>
                <w:szCs w:val="24"/>
              </w:rPr>
              <w:t> </w:t>
            </w:r>
          </w:p>
        </w:tc>
      </w:tr>
    </w:tbl>
    <w:p w14:paraId="2841EBEA" w14:textId="77777777" w:rsidR="00BE2281" w:rsidRDefault="00BE2281" w:rsidP="28702D15">
      <w:pPr>
        <w:rPr>
          <w:rFonts w:eastAsia="Calibri"/>
          <w:b/>
          <w:bCs/>
          <w:szCs w:val="24"/>
          <w:lang w:val="en"/>
        </w:rPr>
      </w:pPr>
    </w:p>
    <w:p w14:paraId="0FF43047" w14:textId="3E03863F" w:rsidR="6025EDEC" w:rsidRDefault="6025EDEC" w:rsidP="28702D15">
      <w:pPr>
        <w:rPr>
          <w:rFonts w:eastAsia="Calibri"/>
          <w:szCs w:val="24"/>
          <w:lang w:val="en"/>
        </w:rPr>
      </w:pPr>
      <w:r w:rsidRPr="28702D15">
        <w:rPr>
          <w:rFonts w:eastAsia="Calibri"/>
          <w:b/>
          <w:bCs/>
          <w:szCs w:val="24"/>
          <w:lang w:val="en"/>
        </w:rPr>
        <w:t xml:space="preserve">Supplementary Table 2: </w:t>
      </w:r>
      <w:r w:rsidRPr="28702D15">
        <w:rPr>
          <w:rFonts w:eastAsia="Calibri"/>
          <w:szCs w:val="24"/>
          <w:lang w:val="en"/>
        </w:rPr>
        <w:t xml:space="preserve">Model parameters for juvenile Pacific Cod otolith back calculation models.  </w:t>
      </w:r>
      <w:r w:rsidRPr="00EF3E30">
        <w:rPr>
          <w:rFonts w:eastAsia="Calibri"/>
          <w:b/>
          <w:bCs/>
          <w:szCs w:val="24"/>
          <w:lang w:val="en"/>
        </w:rPr>
        <w:t>Top</w:t>
      </w:r>
      <w:r w:rsidRPr="28702D15">
        <w:rPr>
          <w:rFonts w:eastAsia="Calibri"/>
          <w:szCs w:val="24"/>
          <w:lang w:val="en"/>
        </w:rPr>
        <w:t xml:space="preserve">: ln(Standard Length) ~ ln(Otolith Radius) model.  </w:t>
      </w:r>
      <w:r w:rsidRPr="00EF3E30">
        <w:rPr>
          <w:rFonts w:eastAsia="Calibri"/>
          <w:b/>
          <w:bCs/>
          <w:szCs w:val="24"/>
          <w:lang w:val="en"/>
        </w:rPr>
        <w:t>Bottom</w:t>
      </w:r>
      <w:r w:rsidRPr="28702D15">
        <w:rPr>
          <w:rFonts w:eastAsia="Calibri"/>
          <w:szCs w:val="24"/>
          <w:lang w:val="en"/>
        </w:rPr>
        <w:t>: ln(</w:t>
      </w:r>
      <w:r w:rsidR="5A4389AA" w:rsidRPr="28702D15">
        <w:rPr>
          <w:rFonts w:eastAsia="Calibri"/>
          <w:szCs w:val="24"/>
          <w:lang w:val="en"/>
        </w:rPr>
        <w:t xml:space="preserve">Wet Weight) ~ ln(Standard Length) model.  </w:t>
      </w:r>
    </w:p>
    <w:p w14:paraId="402D78F1" w14:textId="5116A533" w:rsidR="6D10BE3C" w:rsidRDefault="6D10BE3C" w:rsidP="6D10BE3C">
      <w:pPr>
        <w:rPr>
          <w:rFonts w:eastAsia="Calibri"/>
          <w:szCs w:val="24"/>
          <w:lang w:val="en"/>
        </w:rPr>
      </w:pPr>
    </w:p>
    <w:p w14:paraId="20383177" w14:textId="77777777" w:rsidR="00785988" w:rsidRDefault="00785988">
      <w:pPr>
        <w:spacing w:before="0" w:after="200" w:line="276" w:lineRule="auto"/>
        <w:rPr>
          <w:rFonts w:eastAsia="Times New Roman" w:cs="Times New Roman"/>
          <w:lang w:val="en"/>
        </w:rPr>
      </w:pPr>
      <w:r>
        <w:rPr>
          <w:rFonts w:eastAsia="Times New Roman" w:cs="Times New Roman"/>
          <w:lang w:val="en"/>
        </w:rPr>
        <w:br w:type="page"/>
      </w:r>
    </w:p>
    <w:p w14:paraId="69814262" w14:textId="0F1F6799" w:rsidR="00A77458" w:rsidRDefault="76390B68" w:rsidP="6FBDC380">
      <w:pPr>
        <w:pStyle w:val="Heading1"/>
        <w:jc w:val="center"/>
      </w:pPr>
      <w:r>
        <w:lastRenderedPageBreak/>
        <w:t xml:space="preserve">Appendix </w:t>
      </w:r>
      <w:r w:rsidR="009D244B">
        <w:t>E</w:t>
      </w:r>
      <w:r>
        <w:t xml:space="preserve"> – Animated Stress-scape Figures</w:t>
      </w:r>
    </w:p>
    <w:p w14:paraId="1F3B7EA8" w14:textId="6FCDC741" w:rsidR="00637B85" w:rsidRPr="00637B85" w:rsidRDefault="00637B85" w:rsidP="00510486">
      <w:pPr>
        <w:rPr>
          <w:rFonts w:eastAsia="Calibri"/>
          <w:b/>
        </w:rPr>
      </w:pPr>
      <w:r w:rsidRPr="41874588">
        <w:rPr>
          <w:rFonts w:eastAsia="Calibri"/>
          <w:b/>
        </w:rPr>
        <w:t xml:space="preserve">Supplementary </w:t>
      </w:r>
      <w:r w:rsidR="00F549DE">
        <w:rPr>
          <w:rFonts w:eastAsia="Calibri"/>
          <w:b/>
        </w:rPr>
        <w:t>Video</w:t>
      </w:r>
      <w:r w:rsidRPr="41874588">
        <w:rPr>
          <w:rFonts w:eastAsia="Calibri"/>
          <w:b/>
        </w:rPr>
        <w:t xml:space="preserve"> </w:t>
      </w:r>
      <w:r w:rsidR="00EA2783">
        <w:rPr>
          <w:rFonts w:eastAsia="Calibri"/>
          <w:b/>
        </w:rPr>
        <w:t>1</w:t>
      </w:r>
      <w:r>
        <w:rPr>
          <w:rFonts w:eastAsia="Calibri"/>
          <w:b/>
        </w:rPr>
        <w:t xml:space="preserve"> Link:</w:t>
      </w:r>
      <w:r w:rsidR="00F549DE">
        <w:rPr>
          <w:rFonts w:eastAsia="Calibri"/>
          <w:b/>
        </w:rPr>
        <w:t xml:space="preserve"> </w:t>
      </w:r>
      <w:hyperlink r:id="rId17" w:history="1">
        <w:r w:rsidR="00662DC9" w:rsidRPr="00180DB6">
          <w:rPr>
            <w:rStyle w:val="Hyperlink"/>
            <w:rFonts w:eastAsia="Calibri"/>
            <w:bCs/>
          </w:rPr>
          <w:t>https://figshare.com/articles/media/14356751</w:t>
        </w:r>
      </w:hyperlink>
      <w:r w:rsidR="00662DC9">
        <w:rPr>
          <w:rFonts w:eastAsia="Calibri"/>
          <w:bCs/>
        </w:rPr>
        <w:t xml:space="preserve"> </w:t>
      </w:r>
      <w:r w:rsidR="00F549DE">
        <w:t>(DOI:</w:t>
      </w:r>
      <w:r w:rsidR="00662DC9" w:rsidRPr="00662DC9">
        <w:t xml:space="preserve"> 10.6084/m9.figshare.14356751</w:t>
      </w:r>
      <w:r w:rsidR="00662DC9">
        <w:t>)</w:t>
      </w:r>
    </w:p>
    <w:p w14:paraId="2A884A9C" w14:textId="0001AB5D" w:rsidR="00510486" w:rsidRDefault="557DF76A" w:rsidP="00510486">
      <w:pPr>
        <w:rPr>
          <w:rFonts w:eastAsia="Times New Roman" w:cs="Times New Roman"/>
        </w:rPr>
      </w:pPr>
      <w:r w:rsidRPr="41874588">
        <w:rPr>
          <w:rFonts w:eastAsia="Calibri"/>
          <w:b/>
        </w:rPr>
        <w:t xml:space="preserve">Supplementary Figure </w:t>
      </w:r>
      <w:r w:rsidR="00EA2783">
        <w:rPr>
          <w:rFonts w:eastAsia="Calibri"/>
          <w:b/>
        </w:rPr>
        <w:t>1</w:t>
      </w:r>
      <w:r w:rsidRPr="41874588">
        <w:rPr>
          <w:rFonts w:eastAsia="Calibri"/>
          <w:b/>
        </w:rPr>
        <w:t xml:space="preserve">: </w:t>
      </w:r>
      <w:r w:rsidR="5FB7C3D6" w:rsidRPr="5AE00C95">
        <w:rPr>
          <w:rFonts w:eastAsia="Times New Roman" w:cs="Times New Roman"/>
        </w:rPr>
        <w:t>Animated multi-panel</w:t>
      </w:r>
      <w:r w:rsidR="5FB7C3D6" w:rsidRPr="7232C319">
        <w:rPr>
          <w:rFonts w:eastAsia="Times New Roman" w:cs="Times New Roman"/>
        </w:rPr>
        <w:t xml:space="preserve"> figure showing the progression of </w:t>
      </w:r>
      <w:r w:rsidR="5FB7C3D6" w:rsidRPr="423023AB">
        <w:rPr>
          <w:rFonts w:eastAsia="Times New Roman" w:cs="Times New Roman"/>
        </w:rPr>
        <w:t>stress-scapes</w:t>
      </w:r>
      <w:r w:rsidR="5FB7C3D6" w:rsidRPr="2B958777">
        <w:rPr>
          <w:rFonts w:eastAsia="Times New Roman" w:cs="Times New Roman"/>
        </w:rPr>
        <w:t xml:space="preserve"> near </w:t>
      </w:r>
      <w:r w:rsidR="5FB7C3D6" w:rsidRPr="44DD3F17">
        <w:rPr>
          <w:rFonts w:eastAsia="Times New Roman" w:cs="Times New Roman"/>
        </w:rPr>
        <w:t>Kodiak Island from 2010-2016</w:t>
      </w:r>
      <w:r w:rsidR="006C70DA">
        <w:rPr>
          <w:rFonts w:eastAsia="Times New Roman" w:cs="Times New Roman"/>
        </w:rPr>
        <w:t xml:space="preserve"> (see </w:t>
      </w:r>
      <w:r w:rsidR="006C70DA">
        <w:rPr>
          <w:rFonts w:eastAsia="Times New Roman" w:cs="Times New Roman"/>
          <w:b/>
          <w:bCs/>
        </w:rPr>
        <w:t>Figure 2</w:t>
      </w:r>
      <w:r w:rsidR="006C70DA">
        <w:rPr>
          <w:rFonts w:eastAsia="Times New Roman" w:cs="Times New Roman"/>
        </w:rPr>
        <w:t>)</w:t>
      </w:r>
      <w:r w:rsidR="5FB7C3D6" w:rsidRPr="44DD3F17">
        <w:rPr>
          <w:rFonts w:eastAsia="Times New Roman" w:cs="Times New Roman"/>
        </w:rPr>
        <w:t xml:space="preserve">. </w:t>
      </w:r>
      <w:r w:rsidR="5FB7C3D6" w:rsidRPr="3C14E8DE">
        <w:rPr>
          <w:rFonts w:eastAsia="Times New Roman" w:cs="Times New Roman"/>
        </w:rPr>
        <w:t xml:space="preserve">The leftmost column shows the </w:t>
      </w:r>
      <w:r w:rsidR="5FB7C3D6" w:rsidRPr="7A35B5A2">
        <w:rPr>
          <w:rFonts w:eastAsia="Times New Roman" w:cs="Times New Roman"/>
        </w:rPr>
        <w:t xml:space="preserve">classified stress-scape per </w:t>
      </w:r>
      <w:r w:rsidR="5FB7C3D6" w:rsidRPr="257C1312">
        <w:rPr>
          <w:rFonts w:eastAsia="Times New Roman" w:cs="Times New Roman"/>
        </w:rPr>
        <w:t>pixe</w:t>
      </w:r>
      <w:r w:rsidR="1209B2FC" w:rsidRPr="257C1312">
        <w:rPr>
          <w:rFonts w:eastAsia="Times New Roman" w:cs="Times New Roman"/>
        </w:rPr>
        <w:t>l</w:t>
      </w:r>
      <w:r w:rsidR="5FB7C3D6" w:rsidRPr="286EEFB6">
        <w:rPr>
          <w:rFonts w:eastAsia="Times New Roman" w:cs="Times New Roman"/>
        </w:rPr>
        <w:t xml:space="preserve"> for each time step, while the next </w:t>
      </w:r>
      <w:r w:rsidR="5FB7C3D6" w:rsidRPr="23B0E74F">
        <w:rPr>
          <w:rFonts w:eastAsia="Times New Roman" w:cs="Times New Roman"/>
        </w:rPr>
        <w:t xml:space="preserve">three columns show the </w:t>
      </w:r>
      <w:r w:rsidR="75CCAA09" w:rsidRPr="4417DB67">
        <w:rPr>
          <w:rFonts w:eastAsia="Times New Roman" w:cs="Times New Roman"/>
        </w:rPr>
        <w:t>z-scores of the SST</w:t>
      </w:r>
      <w:r w:rsidR="75CCAA09" w:rsidRPr="544B5573">
        <w:rPr>
          <w:rFonts w:eastAsia="Times New Roman" w:cs="Times New Roman"/>
        </w:rPr>
        <w:t>,</w:t>
      </w:r>
      <w:r w:rsidR="6F22F1BB" w:rsidRPr="1FF8A6FB">
        <w:rPr>
          <w:rFonts w:eastAsia="Times New Roman" w:cs="Times New Roman"/>
        </w:rPr>
        <w:t xml:space="preserve"> </w:t>
      </w:r>
      <w:r w:rsidR="6F22F1BB" w:rsidRPr="250296BD">
        <w:rPr>
          <w:rFonts w:eastAsia="Times New Roman" w:cs="Times New Roman"/>
        </w:rPr>
        <w:t xml:space="preserve">pCO2, and SGR </w:t>
      </w:r>
      <w:r w:rsidR="6F22F1BB" w:rsidRPr="0748BE11">
        <w:rPr>
          <w:rFonts w:eastAsia="Times New Roman" w:cs="Times New Roman"/>
        </w:rPr>
        <w:t>variables used to classify each stress</w:t>
      </w:r>
      <w:r w:rsidR="6F22F1BB" w:rsidRPr="60C68F2B">
        <w:rPr>
          <w:rFonts w:eastAsia="Times New Roman" w:cs="Times New Roman"/>
        </w:rPr>
        <w:t xml:space="preserve">-scape. </w:t>
      </w:r>
      <w:r w:rsidR="6F22F1BB" w:rsidRPr="1EE75BF0">
        <w:rPr>
          <w:rFonts w:eastAsia="Times New Roman" w:cs="Times New Roman"/>
        </w:rPr>
        <w:t xml:space="preserve">The last column is a </w:t>
      </w:r>
      <w:r w:rsidR="6F22F1BB" w:rsidRPr="61127686">
        <w:rPr>
          <w:rFonts w:eastAsia="Times New Roman" w:cs="Times New Roman"/>
        </w:rPr>
        <w:t xml:space="preserve">ribbon plot for </w:t>
      </w:r>
      <w:r w:rsidR="6F22F1BB" w:rsidRPr="1F33434B">
        <w:rPr>
          <w:rFonts w:eastAsia="Times New Roman" w:cs="Times New Roman"/>
        </w:rPr>
        <w:t xml:space="preserve">each year that shows the </w:t>
      </w:r>
      <w:r w:rsidR="6F22F1BB" w:rsidRPr="78B11465">
        <w:rPr>
          <w:rFonts w:eastAsia="Times New Roman" w:cs="Times New Roman"/>
        </w:rPr>
        <w:t>areal extent of each stress-scape at each time step</w:t>
      </w:r>
      <w:r w:rsidR="6F22F1BB" w:rsidRPr="2FB2A4B2">
        <w:rPr>
          <w:rFonts w:eastAsia="Times New Roman" w:cs="Times New Roman"/>
        </w:rPr>
        <w:t>.</w:t>
      </w:r>
    </w:p>
    <w:p w14:paraId="3DA0F688" w14:textId="39AF7413" w:rsidR="00637B85" w:rsidRPr="00637B85" w:rsidRDefault="00637B85" w:rsidP="00510486">
      <w:pPr>
        <w:rPr>
          <w:rFonts w:eastAsia="Times New Roman" w:cs="Times New Roman"/>
          <w:b/>
          <w:bCs/>
        </w:rPr>
      </w:pPr>
      <w:r>
        <w:rPr>
          <w:rFonts w:eastAsia="Times New Roman" w:cs="Times New Roman"/>
          <w:b/>
          <w:bCs/>
        </w:rPr>
        <w:t xml:space="preserve">Supplemental Figure </w:t>
      </w:r>
      <w:r w:rsidR="00EA2783">
        <w:rPr>
          <w:rFonts w:eastAsia="Times New Roman" w:cs="Times New Roman"/>
          <w:b/>
          <w:bCs/>
        </w:rPr>
        <w:t>2</w:t>
      </w:r>
      <w:r>
        <w:rPr>
          <w:rFonts w:eastAsia="Times New Roman" w:cs="Times New Roman"/>
          <w:b/>
          <w:bCs/>
        </w:rPr>
        <w:t xml:space="preserve"> Link: </w:t>
      </w:r>
      <w:hyperlink r:id="rId18" w:history="1">
        <w:r w:rsidR="00662DC9" w:rsidRPr="00180DB6">
          <w:rPr>
            <w:rStyle w:val="Hyperlink"/>
          </w:rPr>
          <w:t>https://figshare.com/articles/media/14356793</w:t>
        </w:r>
      </w:hyperlink>
      <w:r w:rsidR="00662DC9">
        <w:t xml:space="preserve"> </w:t>
      </w:r>
      <w:r w:rsidR="00F549DE">
        <w:t xml:space="preserve">(DOI: </w:t>
      </w:r>
      <w:r w:rsidR="00662DC9" w:rsidRPr="00662DC9">
        <w:t>10.6084/m9.figshare.14356793</w:t>
      </w:r>
      <w:r w:rsidR="00F549DE">
        <w:t>)</w:t>
      </w:r>
    </w:p>
    <w:p w14:paraId="63BF31B5" w14:textId="6C94DF8F" w:rsidR="00E56B70" w:rsidRDefault="5557ED57" w:rsidP="00E56B70">
      <w:pPr>
        <w:rPr>
          <w:rFonts w:eastAsia="Times New Roman" w:cs="Times New Roman"/>
        </w:rPr>
      </w:pPr>
      <w:r w:rsidRPr="7A1F4FCC">
        <w:rPr>
          <w:rFonts w:eastAsia="Calibri"/>
          <w:b/>
          <w:bCs/>
        </w:rPr>
        <w:t xml:space="preserve">Supplementary Figure </w:t>
      </w:r>
      <w:r w:rsidR="00EA2783">
        <w:rPr>
          <w:rFonts w:eastAsia="Calibri"/>
          <w:b/>
          <w:bCs/>
        </w:rPr>
        <w:t>2</w:t>
      </w:r>
      <w:r w:rsidRPr="7A1F4FCC">
        <w:rPr>
          <w:rFonts w:eastAsia="Calibri"/>
          <w:b/>
          <w:bCs/>
        </w:rPr>
        <w:t xml:space="preserve">: </w:t>
      </w:r>
      <w:proofErr w:type="gramStart"/>
      <w:r w:rsidR="2DBD2231" w:rsidRPr="7A1F4FCC">
        <w:rPr>
          <w:rFonts w:eastAsia="Times New Roman" w:cs="Times New Roman"/>
        </w:rPr>
        <w:t>Similar to</w:t>
      </w:r>
      <w:proofErr w:type="gramEnd"/>
      <w:r w:rsidR="2DBD2231" w:rsidRPr="7A1F4FCC">
        <w:rPr>
          <w:rFonts w:eastAsia="Times New Roman" w:cs="Times New Roman"/>
        </w:rPr>
        <w:t xml:space="preserve"> </w:t>
      </w:r>
      <w:r w:rsidR="2DBD2231" w:rsidRPr="001C55A8">
        <w:rPr>
          <w:rFonts w:eastAsia="Times New Roman" w:cs="Times New Roman"/>
          <w:b/>
          <w:bCs/>
        </w:rPr>
        <w:t xml:space="preserve">Supplemental Figure </w:t>
      </w:r>
      <w:r w:rsidR="004206C8">
        <w:rPr>
          <w:rFonts w:eastAsia="Times New Roman" w:cs="Times New Roman"/>
          <w:b/>
          <w:bCs/>
        </w:rPr>
        <w:t>1</w:t>
      </w:r>
      <w:r w:rsidR="2DBD2231" w:rsidRPr="7A1F4FCC">
        <w:rPr>
          <w:rFonts w:eastAsia="Times New Roman" w:cs="Times New Roman"/>
        </w:rPr>
        <w:t xml:space="preserve">, this is an animated multi-panel figure showing the progression of stress-scapes within the study area for the whole GOA from 2010-2016. The top figure shows the classified stress-scape per pixel for each time step, while the middle of the figure </w:t>
      </w:r>
      <w:r w:rsidR="4F5DAA64" w:rsidRPr="7A1F4FCC">
        <w:rPr>
          <w:rFonts w:eastAsia="Times New Roman" w:cs="Times New Roman"/>
        </w:rPr>
        <w:t xml:space="preserve">is a </w:t>
      </w:r>
      <w:r w:rsidR="0C29EB4D" w:rsidRPr="703E8B4B">
        <w:rPr>
          <w:rFonts w:eastAsia="Times New Roman" w:cs="Times New Roman"/>
        </w:rPr>
        <w:t>ribbon plot showing</w:t>
      </w:r>
      <w:r w:rsidR="0C29EB4D" w:rsidRPr="7BB3FCF0">
        <w:rPr>
          <w:rFonts w:eastAsia="Times New Roman" w:cs="Times New Roman"/>
        </w:rPr>
        <w:t xml:space="preserve"> the areal extent of each stress-scape class at each time step.</w:t>
      </w:r>
      <w:r w:rsidR="0C29EB4D" w:rsidRPr="42E90749">
        <w:rPr>
          <w:rFonts w:eastAsia="Times New Roman" w:cs="Times New Roman"/>
        </w:rPr>
        <w:t xml:space="preserve"> The mean values for each of the classification </w:t>
      </w:r>
      <w:r w:rsidR="0C29EB4D" w:rsidRPr="680E03C8">
        <w:rPr>
          <w:rFonts w:eastAsia="Times New Roman" w:cs="Times New Roman"/>
        </w:rPr>
        <w:t>variables is shown in the legend</w:t>
      </w:r>
      <w:r w:rsidR="0C29EB4D" w:rsidRPr="78417DD4">
        <w:rPr>
          <w:rFonts w:eastAsia="Times New Roman" w:cs="Times New Roman"/>
        </w:rPr>
        <w:t>.</w:t>
      </w:r>
    </w:p>
    <w:sectPr w:rsidR="00E56B70" w:rsidSect="0093429D">
      <w:headerReference w:type="even" r:id="rId19"/>
      <w:footerReference w:type="even" r:id="rId20"/>
      <w:footerReference w:type="default" r:id="rId21"/>
      <w:headerReference w:type="first" r:id="rId2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87F7A" w14:textId="77777777" w:rsidR="00591EEA" w:rsidRDefault="00591EEA" w:rsidP="00117666">
      <w:pPr>
        <w:spacing w:after="0"/>
      </w:pPr>
      <w:r>
        <w:separator/>
      </w:r>
    </w:p>
  </w:endnote>
  <w:endnote w:type="continuationSeparator" w:id="0">
    <w:p w14:paraId="6A9E6C26" w14:textId="77777777" w:rsidR="00591EEA" w:rsidRDefault="00591EEA" w:rsidP="00117666">
      <w:pPr>
        <w:spacing w:after="0"/>
      </w:pPr>
      <w:r>
        <w:continuationSeparator/>
      </w:r>
    </w:p>
  </w:endnote>
  <w:endnote w:type="continuationNotice" w:id="1">
    <w:p w14:paraId="72DF0862" w14:textId="77777777" w:rsidR="00591EEA" w:rsidRDefault="00591EE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87060A"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87060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87060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87060A"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87060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87060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B0B60" w14:textId="77777777" w:rsidR="00591EEA" w:rsidRDefault="00591EEA" w:rsidP="00117666">
      <w:pPr>
        <w:spacing w:after="0"/>
      </w:pPr>
      <w:r>
        <w:separator/>
      </w:r>
    </w:p>
  </w:footnote>
  <w:footnote w:type="continuationSeparator" w:id="0">
    <w:p w14:paraId="5DE95C3A" w14:textId="77777777" w:rsidR="00591EEA" w:rsidRDefault="00591EEA" w:rsidP="00117666">
      <w:pPr>
        <w:spacing w:after="0"/>
      </w:pPr>
      <w:r>
        <w:continuationSeparator/>
      </w:r>
    </w:p>
  </w:footnote>
  <w:footnote w:type="continuationNotice" w:id="1">
    <w:p w14:paraId="4E28545E" w14:textId="77777777" w:rsidR="00591EEA" w:rsidRDefault="00591E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87060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87060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06056F1"/>
    <w:multiLevelType w:val="hybridMultilevel"/>
    <w:tmpl w:val="BBCC2BB8"/>
    <w:lvl w:ilvl="0" w:tplc="F85A55D8">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readOnly" w:enforcement="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1215"/>
    <w:rsid w:val="00013048"/>
    <w:rsid w:val="0001436A"/>
    <w:rsid w:val="0003155D"/>
    <w:rsid w:val="00034304"/>
    <w:rsid w:val="00035434"/>
    <w:rsid w:val="000471F2"/>
    <w:rsid w:val="00052A14"/>
    <w:rsid w:val="00072F07"/>
    <w:rsid w:val="00077CF3"/>
    <w:rsid w:val="00077D53"/>
    <w:rsid w:val="000B0C06"/>
    <w:rsid w:val="000B1E8E"/>
    <w:rsid w:val="000E037B"/>
    <w:rsid w:val="000E2676"/>
    <w:rsid w:val="000F0DD4"/>
    <w:rsid w:val="000F2ADE"/>
    <w:rsid w:val="000F4CC4"/>
    <w:rsid w:val="00105FD9"/>
    <w:rsid w:val="00107EBC"/>
    <w:rsid w:val="00117666"/>
    <w:rsid w:val="00117CE8"/>
    <w:rsid w:val="001253BA"/>
    <w:rsid w:val="00136A30"/>
    <w:rsid w:val="00147805"/>
    <w:rsid w:val="00153D6D"/>
    <w:rsid w:val="001549D3"/>
    <w:rsid w:val="00160065"/>
    <w:rsid w:val="00170262"/>
    <w:rsid w:val="001722D1"/>
    <w:rsid w:val="00177D84"/>
    <w:rsid w:val="00182837"/>
    <w:rsid w:val="00185BE1"/>
    <w:rsid w:val="0019026E"/>
    <w:rsid w:val="00194D17"/>
    <w:rsid w:val="001A0123"/>
    <w:rsid w:val="001A3CBF"/>
    <w:rsid w:val="001A51A7"/>
    <w:rsid w:val="001A5BE5"/>
    <w:rsid w:val="001A7035"/>
    <w:rsid w:val="001C1F6C"/>
    <w:rsid w:val="001C55A8"/>
    <w:rsid w:val="001D5723"/>
    <w:rsid w:val="001D7D41"/>
    <w:rsid w:val="001E2627"/>
    <w:rsid w:val="001F20C5"/>
    <w:rsid w:val="001F3A80"/>
    <w:rsid w:val="001F591A"/>
    <w:rsid w:val="00207FBB"/>
    <w:rsid w:val="00214529"/>
    <w:rsid w:val="002209ED"/>
    <w:rsid w:val="002221E0"/>
    <w:rsid w:val="00226D64"/>
    <w:rsid w:val="00233521"/>
    <w:rsid w:val="00245D40"/>
    <w:rsid w:val="002577F1"/>
    <w:rsid w:val="00257FAF"/>
    <w:rsid w:val="0026197B"/>
    <w:rsid w:val="00266B81"/>
    <w:rsid w:val="00267D18"/>
    <w:rsid w:val="00274347"/>
    <w:rsid w:val="002868E2"/>
    <w:rsid w:val="002869C3"/>
    <w:rsid w:val="0029088D"/>
    <w:rsid w:val="002936E4"/>
    <w:rsid w:val="00297BC1"/>
    <w:rsid w:val="002B4A57"/>
    <w:rsid w:val="002C74CA"/>
    <w:rsid w:val="002D1E44"/>
    <w:rsid w:val="0030766D"/>
    <w:rsid w:val="003123F4"/>
    <w:rsid w:val="00322BEA"/>
    <w:rsid w:val="00326EC6"/>
    <w:rsid w:val="003303D8"/>
    <w:rsid w:val="00334EC5"/>
    <w:rsid w:val="00335D6B"/>
    <w:rsid w:val="00345115"/>
    <w:rsid w:val="003455F8"/>
    <w:rsid w:val="00351F56"/>
    <w:rsid w:val="003544FB"/>
    <w:rsid w:val="0036433B"/>
    <w:rsid w:val="0037244F"/>
    <w:rsid w:val="003928FF"/>
    <w:rsid w:val="003C32E4"/>
    <w:rsid w:val="003D24E8"/>
    <w:rsid w:val="003D2F2D"/>
    <w:rsid w:val="003D46D3"/>
    <w:rsid w:val="003E236C"/>
    <w:rsid w:val="003E736E"/>
    <w:rsid w:val="003E7861"/>
    <w:rsid w:val="003F140B"/>
    <w:rsid w:val="00401590"/>
    <w:rsid w:val="004166B9"/>
    <w:rsid w:val="004206C8"/>
    <w:rsid w:val="0042381F"/>
    <w:rsid w:val="00430686"/>
    <w:rsid w:val="0043405D"/>
    <w:rsid w:val="00434461"/>
    <w:rsid w:val="0043489A"/>
    <w:rsid w:val="00443DE2"/>
    <w:rsid w:val="00447801"/>
    <w:rsid w:val="00452E9C"/>
    <w:rsid w:val="00472402"/>
    <w:rsid w:val="004735C8"/>
    <w:rsid w:val="004828C8"/>
    <w:rsid w:val="00485017"/>
    <w:rsid w:val="00493F64"/>
    <w:rsid w:val="004947A6"/>
    <w:rsid w:val="004961FF"/>
    <w:rsid w:val="0049669B"/>
    <w:rsid w:val="00497331"/>
    <w:rsid w:val="004A3994"/>
    <w:rsid w:val="004A600A"/>
    <w:rsid w:val="004B5390"/>
    <w:rsid w:val="004C4011"/>
    <w:rsid w:val="004D0461"/>
    <w:rsid w:val="004D0C02"/>
    <w:rsid w:val="004D48EF"/>
    <w:rsid w:val="004D6D93"/>
    <w:rsid w:val="004E0D06"/>
    <w:rsid w:val="004F3A29"/>
    <w:rsid w:val="004F571D"/>
    <w:rsid w:val="005002AA"/>
    <w:rsid w:val="00510486"/>
    <w:rsid w:val="0051296D"/>
    <w:rsid w:val="00517A89"/>
    <w:rsid w:val="0052278B"/>
    <w:rsid w:val="005250F2"/>
    <w:rsid w:val="00544F07"/>
    <w:rsid w:val="0055085C"/>
    <w:rsid w:val="00556675"/>
    <w:rsid w:val="0057547F"/>
    <w:rsid w:val="00581468"/>
    <w:rsid w:val="00591EEA"/>
    <w:rsid w:val="00593EEA"/>
    <w:rsid w:val="005A2FB5"/>
    <w:rsid w:val="005A3AB6"/>
    <w:rsid w:val="005A4729"/>
    <w:rsid w:val="005A54A5"/>
    <w:rsid w:val="005A5EEE"/>
    <w:rsid w:val="005B1D67"/>
    <w:rsid w:val="005D09ED"/>
    <w:rsid w:val="005D5D46"/>
    <w:rsid w:val="005E1094"/>
    <w:rsid w:val="005E3CBC"/>
    <w:rsid w:val="005E7D79"/>
    <w:rsid w:val="005F0712"/>
    <w:rsid w:val="005F1C58"/>
    <w:rsid w:val="005F7BA1"/>
    <w:rsid w:val="00601D74"/>
    <w:rsid w:val="006375C7"/>
    <w:rsid w:val="00637B85"/>
    <w:rsid w:val="00653B58"/>
    <w:rsid w:val="00654E8F"/>
    <w:rsid w:val="00660D05"/>
    <w:rsid w:val="00662DC9"/>
    <w:rsid w:val="00667F92"/>
    <w:rsid w:val="00671FEB"/>
    <w:rsid w:val="00675396"/>
    <w:rsid w:val="006820B1"/>
    <w:rsid w:val="006A707D"/>
    <w:rsid w:val="006B5C9C"/>
    <w:rsid w:val="006B6637"/>
    <w:rsid w:val="006B7D14"/>
    <w:rsid w:val="006C03CF"/>
    <w:rsid w:val="006C70DA"/>
    <w:rsid w:val="006D123E"/>
    <w:rsid w:val="006D48FA"/>
    <w:rsid w:val="006E0559"/>
    <w:rsid w:val="006E3AE0"/>
    <w:rsid w:val="006F754E"/>
    <w:rsid w:val="006F7C10"/>
    <w:rsid w:val="00701727"/>
    <w:rsid w:val="007048E4"/>
    <w:rsid w:val="0070566C"/>
    <w:rsid w:val="007103E8"/>
    <w:rsid w:val="00714C50"/>
    <w:rsid w:val="0071680F"/>
    <w:rsid w:val="00725956"/>
    <w:rsid w:val="00725A7D"/>
    <w:rsid w:val="00726026"/>
    <w:rsid w:val="007501BE"/>
    <w:rsid w:val="00754497"/>
    <w:rsid w:val="00756CC7"/>
    <w:rsid w:val="00773B56"/>
    <w:rsid w:val="007752E2"/>
    <w:rsid w:val="00777C48"/>
    <w:rsid w:val="00785988"/>
    <w:rsid w:val="00790BB3"/>
    <w:rsid w:val="007A22AB"/>
    <w:rsid w:val="007A3AF6"/>
    <w:rsid w:val="007A6B97"/>
    <w:rsid w:val="007B3946"/>
    <w:rsid w:val="007C1994"/>
    <w:rsid w:val="007C206C"/>
    <w:rsid w:val="007D5CF7"/>
    <w:rsid w:val="007E856A"/>
    <w:rsid w:val="007F2550"/>
    <w:rsid w:val="007F3828"/>
    <w:rsid w:val="00803052"/>
    <w:rsid w:val="00812E9A"/>
    <w:rsid w:val="00815B24"/>
    <w:rsid w:val="00817DD6"/>
    <w:rsid w:val="0082459A"/>
    <w:rsid w:val="008313D1"/>
    <w:rsid w:val="0083759F"/>
    <w:rsid w:val="0084057B"/>
    <w:rsid w:val="00853218"/>
    <w:rsid w:val="00855B9C"/>
    <w:rsid w:val="0087060A"/>
    <w:rsid w:val="00872AEC"/>
    <w:rsid w:val="00880E8D"/>
    <w:rsid w:val="00885156"/>
    <w:rsid w:val="0089340C"/>
    <w:rsid w:val="008A076E"/>
    <w:rsid w:val="008A15B6"/>
    <w:rsid w:val="008A1979"/>
    <w:rsid w:val="008E4B9F"/>
    <w:rsid w:val="008E7B18"/>
    <w:rsid w:val="008F4AD9"/>
    <w:rsid w:val="008F7814"/>
    <w:rsid w:val="00912DE0"/>
    <w:rsid w:val="009151AA"/>
    <w:rsid w:val="00915C1D"/>
    <w:rsid w:val="00917D11"/>
    <w:rsid w:val="00920227"/>
    <w:rsid w:val="00927F2F"/>
    <w:rsid w:val="0093429D"/>
    <w:rsid w:val="009420B8"/>
    <w:rsid w:val="00943573"/>
    <w:rsid w:val="00945034"/>
    <w:rsid w:val="0095372B"/>
    <w:rsid w:val="009575BE"/>
    <w:rsid w:val="00963EDD"/>
    <w:rsid w:val="00964134"/>
    <w:rsid w:val="00964A5E"/>
    <w:rsid w:val="009664A8"/>
    <w:rsid w:val="00970F7D"/>
    <w:rsid w:val="009908B6"/>
    <w:rsid w:val="00994A3D"/>
    <w:rsid w:val="00994D67"/>
    <w:rsid w:val="009A3033"/>
    <w:rsid w:val="009B6C72"/>
    <w:rsid w:val="009C1A0D"/>
    <w:rsid w:val="009C2B12"/>
    <w:rsid w:val="009C2B64"/>
    <w:rsid w:val="009C306A"/>
    <w:rsid w:val="009D102E"/>
    <w:rsid w:val="009D244B"/>
    <w:rsid w:val="009E62A1"/>
    <w:rsid w:val="00A174D9"/>
    <w:rsid w:val="00A20AD3"/>
    <w:rsid w:val="00A233D0"/>
    <w:rsid w:val="00A31724"/>
    <w:rsid w:val="00A33A22"/>
    <w:rsid w:val="00A34B5A"/>
    <w:rsid w:val="00A4224A"/>
    <w:rsid w:val="00A517D7"/>
    <w:rsid w:val="00A57309"/>
    <w:rsid w:val="00A7052A"/>
    <w:rsid w:val="00A77458"/>
    <w:rsid w:val="00A80F23"/>
    <w:rsid w:val="00AA4D24"/>
    <w:rsid w:val="00AB6715"/>
    <w:rsid w:val="00AD04B8"/>
    <w:rsid w:val="00AF3624"/>
    <w:rsid w:val="00B03560"/>
    <w:rsid w:val="00B1671E"/>
    <w:rsid w:val="00B25EB8"/>
    <w:rsid w:val="00B30E0F"/>
    <w:rsid w:val="00B34D30"/>
    <w:rsid w:val="00B37F4D"/>
    <w:rsid w:val="00B42CF6"/>
    <w:rsid w:val="00B60FA8"/>
    <w:rsid w:val="00B62862"/>
    <w:rsid w:val="00B62A82"/>
    <w:rsid w:val="00B66974"/>
    <w:rsid w:val="00B67D42"/>
    <w:rsid w:val="00B82723"/>
    <w:rsid w:val="00BA2644"/>
    <w:rsid w:val="00BA3658"/>
    <w:rsid w:val="00BB1CDB"/>
    <w:rsid w:val="00BB38EF"/>
    <w:rsid w:val="00BB6B1A"/>
    <w:rsid w:val="00BC1282"/>
    <w:rsid w:val="00BC47C3"/>
    <w:rsid w:val="00BD6AE8"/>
    <w:rsid w:val="00BE2281"/>
    <w:rsid w:val="00BE29E0"/>
    <w:rsid w:val="00BE4FFF"/>
    <w:rsid w:val="00BF2168"/>
    <w:rsid w:val="00C00E5D"/>
    <w:rsid w:val="00C02924"/>
    <w:rsid w:val="00C05465"/>
    <w:rsid w:val="00C11F67"/>
    <w:rsid w:val="00C12381"/>
    <w:rsid w:val="00C15386"/>
    <w:rsid w:val="00C32FC0"/>
    <w:rsid w:val="00C33BAB"/>
    <w:rsid w:val="00C479D6"/>
    <w:rsid w:val="00C52A7B"/>
    <w:rsid w:val="00C538BB"/>
    <w:rsid w:val="00C5519A"/>
    <w:rsid w:val="00C56BAF"/>
    <w:rsid w:val="00C679AA"/>
    <w:rsid w:val="00C75972"/>
    <w:rsid w:val="00C84701"/>
    <w:rsid w:val="00C91DD6"/>
    <w:rsid w:val="00CB687A"/>
    <w:rsid w:val="00CC428F"/>
    <w:rsid w:val="00CD066B"/>
    <w:rsid w:val="00CD1775"/>
    <w:rsid w:val="00CD1B4E"/>
    <w:rsid w:val="00CE4FEE"/>
    <w:rsid w:val="00CE5826"/>
    <w:rsid w:val="00CE6C71"/>
    <w:rsid w:val="00CF3FD4"/>
    <w:rsid w:val="00CF52F0"/>
    <w:rsid w:val="00D01553"/>
    <w:rsid w:val="00D060CF"/>
    <w:rsid w:val="00D14532"/>
    <w:rsid w:val="00D476E9"/>
    <w:rsid w:val="00D47A04"/>
    <w:rsid w:val="00D516EE"/>
    <w:rsid w:val="00D51F8B"/>
    <w:rsid w:val="00D611D4"/>
    <w:rsid w:val="00D62558"/>
    <w:rsid w:val="00D6785B"/>
    <w:rsid w:val="00DA2885"/>
    <w:rsid w:val="00DA71E2"/>
    <w:rsid w:val="00DB59C3"/>
    <w:rsid w:val="00DB7AD7"/>
    <w:rsid w:val="00DC259A"/>
    <w:rsid w:val="00DE23E8"/>
    <w:rsid w:val="00DF31C1"/>
    <w:rsid w:val="00DF322C"/>
    <w:rsid w:val="00DF7211"/>
    <w:rsid w:val="00E01A41"/>
    <w:rsid w:val="00E059B0"/>
    <w:rsid w:val="00E06401"/>
    <w:rsid w:val="00E16C38"/>
    <w:rsid w:val="00E20596"/>
    <w:rsid w:val="00E52377"/>
    <w:rsid w:val="00E537AD"/>
    <w:rsid w:val="00E55F0B"/>
    <w:rsid w:val="00E56B70"/>
    <w:rsid w:val="00E627BA"/>
    <w:rsid w:val="00E64E17"/>
    <w:rsid w:val="00E662E1"/>
    <w:rsid w:val="00E66F86"/>
    <w:rsid w:val="00E679DA"/>
    <w:rsid w:val="00E81600"/>
    <w:rsid w:val="00E85C66"/>
    <w:rsid w:val="00E866C9"/>
    <w:rsid w:val="00EA2783"/>
    <w:rsid w:val="00EA3D3C"/>
    <w:rsid w:val="00EB1522"/>
    <w:rsid w:val="00EB6628"/>
    <w:rsid w:val="00EB7CB7"/>
    <w:rsid w:val="00EC090A"/>
    <w:rsid w:val="00EC2BFC"/>
    <w:rsid w:val="00EC2D6A"/>
    <w:rsid w:val="00EC41BE"/>
    <w:rsid w:val="00EC6D8B"/>
    <w:rsid w:val="00EC6F53"/>
    <w:rsid w:val="00ED20B5"/>
    <w:rsid w:val="00ED3751"/>
    <w:rsid w:val="00EF3E30"/>
    <w:rsid w:val="00F01009"/>
    <w:rsid w:val="00F07533"/>
    <w:rsid w:val="00F13B0C"/>
    <w:rsid w:val="00F14E98"/>
    <w:rsid w:val="00F27D4B"/>
    <w:rsid w:val="00F36361"/>
    <w:rsid w:val="00F46900"/>
    <w:rsid w:val="00F549DE"/>
    <w:rsid w:val="00F61D89"/>
    <w:rsid w:val="00F620BF"/>
    <w:rsid w:val="00F70207"/>
    <w:rsid w:val="00F7530B"/>
    <w:rsid w:val="00F75B6D"/>
    <w:rsid w:val="00F84F54"/>
    <w:rsid w:val="00FA3044"/>
    <w:rsid w:val="00FA5DC7"/>
    <w:rsid w:val="00FB44BE"/>
    <w:rsid w:val="00FC0894"/>
    <w:rsid w:val="00FC4324"/>
    <w:rsid w:val="00FE708D"/>
    <w:rsid w:val="00FF6838"/>
    <w:rsid w:val="02B39839"/>
    <w:rsid w:val="037A3E94"/>
    <w:rsid w:val="03C36F8C"/>
    <w:rsid w:val="052CC22F"/>
    <w:rsid w:val="0592FC05"/>
    <w:rsid w:val="06A32063"/>
    <w:rsid w:val="07317247"/>
    <w:rsid w:val="0748BE11"/>
    <w:rsid w:val="083A608D"/>
    <w:rsid w:val="084BA6F7"/>
    <w:rsid w:val="0877EA2B"/>
    <w:rsid w:val="088177F3"/>
    <w:rsid w:val="08B6F978"/>
    <w:rsid w:val="0967E531"/>
    <w:rsid w:val="0A2B7228"/>
    <w:rsid w:val="0B1714C4"/>
    <w:rsid w:val="0B909119"/>
    <w:rsid w:val="0C29EB4D"/>
    <w:rsid w:val="0C3FDE6A"/>
    <w:rsid w:val="0C52ADD3"/>
    <w:rsid w:val="0CB9F43F"/>
    <w:rsid w:val="0D2474EF"/>
    <w:rsid w:val="0D395F9E"/>
    <w:rsid w:val="0D4FEA41"/>
    <w:rsid w:val="1209B2FC"/>
    <w:rsid w:val="1221D35B"/>
    <w:rsid w:val="13D60980"/>
    <w:rsid w:val="15F170BD"/>
    <w:rsid w:val="160B6EC7"/>
    <w:rsid w:val="16E18A3A"/>
    <w:rsid w:val="19365ADF"/>
    <w:rsid w:val="196DD59D"/>
    <w:rsid w:val="1AF058C9"/>
    <w:rsid w:val="1AFEA775"/>
    <w:rsid w:val="1D7D976A"/>
    <w:rsid w:val="1DF6FD94"/>
    <w:rsid w:val="1E808C38"/>
    <w:rsid w:val="1E98AF0D"/>
    <w:rsid w:val="1EE75BF0"/>
    <w:rsid w:val="1F33434B"/>
    <w:rsid w:val="1F37BA2C"/>
    <w:rsid w:val="1FBCAFDC"/>
    <w:rsid w:val="1FF8A6FB"/>
    <w:rsid w:val="20543BC7"/>
    <w:rsid w:val="2058BA09"/>
    <w:rsid w:val="2175E669"/>
    <w:rsid w:val="237B1653"/>
    <w:rsid w:val="23B0E74F"/>
    <w:rsid w:val="23D422CA"/>
    <w:rsid w:val="23DE6999"/>
    <w:rsid w:val="23F492A8"/>
    <w:rsid w:val="24E34742"/>
    <w:rsid w:val="250296BD"/>
    <w:rsid w:val="257C1312"/>
    <w:rsid w:val="25D45DD9"/>
    <w:rsid w:val="27939A41"/>
    <w:rsid w:val="27B4290A"/>
    <w:rsid w:val="28133CB9"/>
    <w:rsid w:val="286EEFB6"/>
    <w:rsid w:val="28702D15"/>
    <w:rsid w:val="2963FDC7"/>
    <w:rsid w:val="29A26C8B"/>
    <w:rsid w:val="29E35140"/>
    <w:rsid w:val="2A0217B2"/>
    <w:rsid w:val="2A4581CB"/>
    <w:rsid w:val="2A5924DE"/>
    <w:rsid w:val="2B958777"/>
    <w:rsid w:val="2BB71070"/>
    <w:rsid w:val="2BCB08FC"/>
    <w:rsid w:val="2D379521"/>
    <w:rsid w:val="2DB11176"/>
    <w:rsid w:val="2DBD2231"/>
    <w:rsid w:val="2EA159A7"/>
    <w:rsid w:val="2FB2A4B2"/>
    <w:rsid w:val="30CEC2B1"/>
    <w:rsid w:val="310174F3"/>
    <w:rsid w:val="311DC383"/>
    <w:rsid w:val="316F77ED"/>
    <w:rsid w:val="31777F37"/>
    <w:rsid w:val="33AE905F"/>
    <w:rsid w:val="3450F37F"/>
    <w:rsid w:val="35B403FF"/>
    <w:rsid w:val="365864D5"/>
    <w:rsid w:val="36CD3B95"/>
    <w:rsid w:val="36FCFB9E"/>
    <w:rsid w:val="371DC885"/>
    <w:rsid w:val="3833AC23"/>
    <w:rsid w:val="39140EBC"/>
    <w:rsid w:val="39AB78CB"/>
    <w:rsid w:val="39E149C7"/>
    <w:rsid w:val="3ABC2D59"/>
    <w:rsid w:val="3BB0D640"/>
    <w:rsid w:val="3BC90183"/>
    <w:rsid w:val="3C0686B9"/>
    <w:rsid w:val="3C14E8DE"/>
    <w:rsid w:val="3C9DFD03"/>
    <w:rsid w:val="3F20BB0E"/>
    <w:rsid w:val="3F6CA269"/>
    <w:rsid w:val="409098E7"/>
    <w:rsid w:val="40E907A4"/>
    <w:rsid w:val="412975A4"/>
    <w:rsid w:val="41874588"/>
    <w:rsid w:val="4219BDD5"/>
    <w:rsid w:val="423023AB"/>
    <w:rsid w:val="42E90749"/>
    <w:rsid w:val="431AE2CB"/>
    <w:rsid w:val="4417DB67"/>
    <w:rsid w:val="448BF700"/>
    <w:rsid w:val="44DD3F17"/>
    <w:rsid w:val="47722F40"/>
    <w:rsid w:val="4993A917"/>
    <w:rsid w:val="49D0C903"/>
    <w:rsid w:val="4A800AF0"/>
    <w:rsid w:val="4CAA3C60"/>
    <w:rsid w:val="4F5DAA64"/>
    <w:rsid w:val="4FD54BDE"/>
    <w:rsid w:val="50E3735B"/>
    <w:rsid w:val="514890A5"/>
    <w:rsid w:val="515252AC"/>
    <w:rsid w:val="520FAE37"/>
    <w:rsid w:val="544B1489"/>
    <w:rsid w:val="544B5573"/>
    <w:rsid w:val="54BC0055"/>
    <w:rsid w:val="5523E633"/>
    <w:rsid w:val="5557ED57"/>
    <w:rsid w:val="557DF76A"/>
    <w:rsid w:val="56E05BC7"/>
    <w:rsid w:val="575727A3"/>
    <w:rsid w:val="5759C1F1"/>
    <w:rsid w:val="57DA0C46"/>
    <w:rsid w:val="5832F129"/>
    <w:rsid w:val="584C5AC6"/>
    <w:rsid w:val="5A4389AA"/>
    <w:rsid w:val="5AE00C95"/>
    <w:rsid w:val="5B270B2C"/>
    <w:rsid w:val="5C0D3182"/>
    <w:rsid w:val="5C1330CF"/>
    <w:rsid w:val="5E480A34"/>
    <w:rsid w:val="5F1C5CA5"/>
    <w:rsid w:val="5F684400"/>
    <w:rsid w:val="5F8A4974"/>
    <w:rsid w:val="5FB7C3D6"/>
    <w:rsid w:val="60012B7B"/>
    <w:rsid w:val="6025EDEC"/>
    <w:rsid w:val="604D12D6"/>
    <w:rsid w:val="60C68F2B"/>
    <w:rsid w:val="61127686"/>
    <w:rsid w:val="6162D4C2"/>
    <w:rsid w:val="617D17E1"/>
    <w:rsid w:val="61895411"/>
    <w:rsid w:val="62AD2E22"/>
    <w:rsid w:val="62F8D814"/>
    <w:rsid w:val="637BAE48"/>
    <w:rsid w:val="63DD5126"/>
    <w:rsid w:val="64BA3738"/>
    <w:rsid w:val="65A4DCD4"/>
    <w:rsid w:val="669A597E"/>
    <w:rsid w:val="66B74458"/>
    <w:rsid w:val="6769B084"/>
    <w:rsid w:val="67B6E07B"/>
    <w:rsid w:val="67D643E6"/>
    <w:rsid w:val="67E4B2DE"/>
    <w:rsid w:val="680E03C8"/>
    <w:rsid w:val="69935C45"/>
    <w:rsid w:val="6AE1DDC4"/>
    <w:rsid w:val="6C71997B"/>
    <w:rsid w:val="6D10BE3C"/>
    <w:rsid w:val="6DCCC24A"/>
    <w:rsid w:val="6F22F1BB"/>
    <w:rsid w:val="6F8A77A2"/>
    <w:rsid w:val="6FBDC380"/>
    <w:rsid w:val="703E8B4B"/>
    <w:rsid w:val="70808CE2"/>
    <w:rsid w:val="709EBBDC"/>
    <w:rsid w:val="7104630C"/>
    <w:rsid w:val="7149A9A9"/>
    <w:rsid w:val="71C77098"/>
    <w:rsid w:val="7232C319"/>
    <w:rsid w:val="731B6244"/>
    <w:rsid w:val="73AF2854"/>
    <w:rsid w:val="74488009"/>
    <w:rsid w:val="74B732A5"/>
    <w:rsid w:val="7588BB94"/>
    <w:rsid w:val="759A7820"/>
    <w:rsid w:val="75CCAA09"/>
    <w:rsid w:val="76390B68"/>
    <w:rsid w:val="764FE054"/>
    <w:rsid w:val="76CDD38A"/>
    <w:rsid w:val="7793373A"/>
    <w:rsid w:val="7802168B"/>
    <w:rsid w:val="78417DD4"/>
    <w:rsid w:val="78B11465"/>
    <w:rsid w:val="78FAB503"/>
    <w:rsid w:val="7948BA0D"/>
    <w:rsid w:val="79DDDD4E"/>
    <w:rsid w:val="7A1F4FCC"/>
    <w:rsid w:val="7A35B5A2"/>
    <w:rsid w:val="7A7F0AAC"/>
    <w:rsid w:val="7B31961F"/>
    <w:rsid w:val="7B5D170C"/>
    <w:rsid w:val="7B8AAC06"/>
    <w:rsid w:val="7BB3FCF0"/>
    <w:rsid w:val="7D25E6F6"/>
    <w:rsid w:val="7E402D2A"/>
    <w:rsid w:val="7EA2CC72"/>
    <w:rsid w:val="7EE5A4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D5B48E75-35C7-4AFF-917C-28D5F754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Id w:val="14"/>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laceholderText">
    <w:name w:val="Placeholder Text"/>
    <w:basedOn w:val="DefaultParagraphFont"/>
    <w:uiPriority w:val="99"/>
    <w:semiHidden/>
    <w:rsid w:val="005002AA"/>
    <w:rPr>
      <w:color w:val="808080"/>
    </w:rPr>
  </w:style>
  <w:style w:type="character" w:styleId="UnresolvedMention">
    <w:name w:val="Unresolved Mention"/>
    <w:basedOn w:val="DefaultParagraphFont"/>
    <w:uiPriority w:val="99"/>
    <w:semiHidden/>
    <w:unhideWhenUsed/>
    <w:rsid w:val="00F54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01677286">
      <w:bodyDiv w:val="1"/>
      <w:marLeft w:val="0"/>
      <w:marRight w:val="0"/>
      <w:marTop w:val="0"/>
      <w:marBottom w:val="0"/>
      <w:divBdr>
        <w:top w:val="none" w:sz="0" w:space="0" w:color="auto"/>
        <w:left w:val="none" w:sz="0" w:space="0" w:color="auto"/>
        <w:bottom w:val="none" w:sz="0" w:space="0" w:color="auto"/>
        <w:right w:val="none" w:sz="0" w:space="0" w:color="auto"/>
      </w:divBdr>
    </w:div>
    <w:div w:id="610281490">
      <w:bodyDiv w:val="1"/>
      <w:marLeft w:val="0"/>
      <w:marRight w:val="0"/>
      <w:marTop w:val="0"/>
      <w:marBottom w:val="0"/>
      <w:divBdr>
        <w:top w:val="none" w:sz="0" w:space="0" w:color="auto"/>
        <w:left w:val="none" w:sz="0" w:space="0" w:color="auto"/>
        <w:bottom w:val="none" w:sz="0" w:space="0" w:color="auto"/>
        <w:right w:val="none" w:sz="0" w:space="0" w:color="auto"/>
      </w:divBdr>
    </w:div>
    <w:div w:id="1059596634">
      <w:bodyDiv w:val="1"/>
      <w:marLeft w:val="0"/>
      <w:marRight w:val="0"/>
      <w:marTop w:val="0"/>
      <w:marBottom w:val="0"/>
      <w:divBdr>
        <w:top w:val="none" w:sz="0" w:space="0" w:color="auto"/>
        <w:left w:val="none" w:sz="0" w:space="0" w:color="auto"/>
        <w:bottom w:val="none" w:sz="0" w:space="0" w:color="auto"/>
        <w:right w:val="none" w:sz="0" w:space="0" w:color="auto"/>
      </w:divBdr>
    </w:div>
    <w:div w:id="1191575631">
      <w:bodyDiv w:val="1"/>
      <w:marLeft w:val="0"/>
      <w:marRight w:val="0"/>
      <w:marTop w:val="0"/>
      <w:marBottom w:val="0"/>
      <w:divBdr>
        <w:top w:val="none" w:sz="0" w:space="0" w:color="auto"/>
        <w:left w:val="none" w:sz="0" w:space="0" w:color="auto"/>
        <w:bottom w:val="none" w:sz="0" w:space="0" w:color="auto"/>
        <w:right w:val="none" w:sz="0" w:space="0" w:color="auto"/>
      </w:divBdr>
    </w:div>
    <w:div w:id="1218277887">
      <w:bodyDiv w:val="1"/>
      <w:marLeft w:val="0"/>
      <w:marRight w:val="0"/>
      <w:marTop w:val="0"/>
      <w:marBottom w:val="0"/>
      <w:divBdr>
        <w:top w:val="none" w:sz="0" w:space="0" w:color="auto"/>
        <w:left w:val="none" w:sz="0" w:space="0" w:color="auto"/>
        <w:bottom w:val="none" w:sz="0" w:space="0" w:color="auto"/>
        <w:right w:val="none" w:sz="0" w:space="0" w:color="auto"/>
      </w:divBdr>
    </w:div>
    <w:div w:id="143297516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6778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igshare.com/articles/media/14356793"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igshare.com/articles/media/14356751"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glib.net"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D2BD4CD-A12E-467B-9968-EE63667F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176</TotalTime>
  <Pages>11</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Josiah Blaisdell</cp:lastModifiedBy>
  <cp:revision>6</cp:revision>
  <cp:lastPrinted>2021-04-02T01:13:00Z</cp:lastPrinted>
  <dcterms:created xsi:type="dcterms:W3CDTF">2021-04-21T19:25:00Z</dcterms:created>
  <dcterms:modified xsi:type="dcterms:W3CDTF">2021-04-22T19:23:00Z</dcterms:modified>
</cp:coreProperties>
</file>