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2F" w:rsidRPr="00B178BA" w:rsidRDefault="00A61300" w:rsidP="00EA2C2F">
      <w:pPr>
        <w:pStyle w:val="NoSpacing"/>
        <w:spacing w:line="480" w:lineRule="auto"/>
        <w:rPr>
          <w:rFonts w:ascii="Arial" w:hAnsi="Arial" w:cs="Arial"/>
          <w:b/>
          <w:lang w:val="en-US"/>
        </w:rPr>
      </w:pPr>
      <w:r w:rsidRPr="00B178BA">
        <w:rPr>
          <w:rFonts w:ascii="Arial" w:hAnsi="Arial" w:cs="Arial"/>
          <w:b/>
          <w:lang w:val="en-US"/>
        </w:rPr>
        <w:t>Mortality associated with</w:t>
      </w:r>
      <w:r w:rsidR="00EA2C2F" w:rsidRPr="00B178BA">
        <w:rPr>
          <w:rFonts w:ascii="Arial" w:hAnsi="Arial" w:cs="Arial"/>
          <w:b/>
          <w:lang w:val="en-US"/>
        </w:rPr>
        <w:t xml:space="preserve"> third generation cephalosporin-resistance in </w:t>
      </w:r>
      <w:r w:rsidR="00EA2C2F" w:rsidRPr="00B178BA">
        <w:rPr>
          <w:rFonts w:ascii="Arial" w:hAnsi="Arial" w:cs="Arial"/>
          <w:b/>
          <w:i/>
          <w:iCs/>
          <w:lang w:val="en-US"/>
        </w:rPr>
        <w:t>Enterobacteriaceae</w:t>
      </w:r>
      <w:r w:rsidR="00EA2C2F" w:rsidRPr="00B178BA">
        <w:rPr>
          <w:rFonts w:ascii="Arial" w:hAnsi="Arial" w:cs="Arial"/>
          <w:b/>
          <w:lang w:val="en-US"/>
        </w:rPr>
        <w:t xml:space="preserve"> infections: a multicenter cohort study in Southern China</w:t>
      </w: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A61300" w:rsidP="00C7292B">
      <w:pPr>
        <w:rPr>
          <w:b/>
          <w:bCs/>
          <w:sz w:val="28"/>
          <w:szCs w:val="28"/>
          <w:lang w:val="en-US"/>
        </w:rPr>
      </w:pPr>
      <w:r w:rsidRPr="00B178BA">
        <w:rPr>
          <w:b/>
          <w:bCs/>
          <w:sz w:val="28"/>
          <w:szCs w:val="28"/>
          <w:lang w:val="en-US"/>
        </w:rPr>
        <w:t>SUPPLEMENTARY TABLES</w:t>
      </w: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  <w:sectPr w:rsidR="00C7292B" w:rsidRPr="00B178BA" w:rsidSect="00E73F3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2C2F" w:rsidRPr="00B178BA" w:rsidRDefault="00722982" w:rsidP="00C7292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Supplementary Table S1</w:t>
      </w:r>
      <w:r w:rsidR="00C7292B" w:rsidRPr="00B178BA">
        <w:rPr>
          <w:b/>
          <w:bCs/>
          <w:lang w:val="en-US"/>
        </w:rPr>
        <w:t xml:space="preserve"> </w:t>
      </w:r>
    </w:p>
    <w:p w:rsidR="00C7292B" w:rsidRPr="00B178BA" w:rsidRDefault="00C7292B" w:rsidP="00C7292B">
      <w:pPr>
        <w:rPr>
          <w:lang w:val="en-US"/>
        </w:rPr>
      </w:pPr>
      <w:r w:rsidRPr="00B178BA">
        <w:rPr>
          <w:lang w:val="en-US"/>
        </w:rPr>
        <w:t>Distribution of indicator pathogens resistance to antimicrobial markers in three tertiary-care hospitals (n = 2,777)</w:t>
      </w:r>
    </w:p>
    <w:p w:rsidR="00C7292B" w:rsidRPr="00B178BA" w:rsidRDefault="00C7292B" w:rsidP="00C7292B">
      <w:pPr>
        <w:rPr>
          <w:lang w:val="en-US"/>
        </w:rPr>
      </w:pPr>
    </w:p>
    <w:tbl>
      <w:tblPr>
        <w:tblpPr w:leftFromText="180" w:rightFromText="180" w:vertAnchor="text" w:horzAnchor="margin" w:tblpY="210"/>
        <w:tblOverlap w:val="never"/>
        <w:tblW w:w="9634" w:type="dxa"/>
        <w:tblLook w:val="04A0" w:firstRow="1" w:lastRow="0" w:firstColumn="1" w:lastColumn="0" w:noHBand="0" w:noVBand="1"/>
      </w:tblPr>
      <w:tblGrid>
        <w:gridCol w:w="1963"/>
        <w:gridCol w:w="747"/>
        <w:gridCol w:w="852"/>
        <w:gridCol w:w="1641"/>
        <w:gridCol w:w="933"/>
        <w:gridCol w:w="683"/>
        <w:gridCol w:w="1226"/>
        <w:gridCol w:w="1589"/>
      </w:tblGrid>
      <w:tr w:rsidR="00C7292B" w:rsidRPr="00B178BA" w:rsidTr="00BA715E">
        <w:trPr>
          <w:trHeight w:val="340"/>
        </w:trPr>
        <w:tc>
          <w:tcPr>
            <w:tcW w:w="3471" w:type="dxa"/>
            <w:gridSpan w:val="3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Indicator pathogens</w:t>
            </w:r>
          </w:p>
        </w:tc>
        <w:tc>
          <w:tcPr>
            <w:tcW w:w="1658" w:type="dxa"/>
            <w:vMerge w:val="restart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AMR markers</w:t>
            </w:r>
          </w:p>
        </w:tc>
        <w:tc>
          <w:tcPr>
            <w:tcW w:w="942" w:type="dxa"/>
            <w:vMerge w:val="restart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n tested</w:t>
            </w:r>
          </w:p>
        </w:tc>
        <w:tc>
          <w:tcPr>
            <w:tcW w:w="3563" w:type="dxa"/>
            <w:gridSpan w:val="3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Resistance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</w:p>
        </w:tc>
        <w:tc>
          <w:tcPr>
            <w:tcW w:w="749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n</w:t>
            </w:r>
          </w:p>
        </w:tc>
        <w:tc>
          <w:tcPr>
            <w:tcW w:w="858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%</w:t>
            </w:r>
          </w:p>
        </w:tc>
        <w:tc>
          <w:tcPr>
            <w:tcW w:w="1658" w:type="dxa"/>
            <w:vMerge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</w:p>
        </w:tc>
        <w:tc>
          <w:tcPr>
            <w:tcW w:w="942" w:type="dxa"/>
            <w:vMerge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</w:p>
        </w:tc>
        <w:tc>
          <w:tcPr>
            <w:tcW w:w="692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n</w:t>
            </w:r>
          </w:p>
        </w:tc>
        <w:tc>
          <w:tcPr>
            <w:tcW w:w="1227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Proportion</w:t>
            </w:r>
          </w:p>
        </w:tc>
        <w:tc>
          <w:tcPr>
            <w:tcW w:w="1644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95% CI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i/>
                <w:iCs/>
                <w:lang w:val="en-US"/>
              </w:rPr>
            </w:pPr>
            <w:r w:rsidRPr="00B178BA">
              <w:rPr>
                <w:i/>
                <w:iCs/>
                <w:lang w:val="en-US"/>
              </w:rPr>
              <w:t>Escherichia coli</w:t>
            </w:r>
          </w:p>
        </w:tc>
        <w:tc>
          <w:tcPr>
            <w:tcW w:w="74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1,583</w:t>
            </w:r>
          </w:p>
        </w:tc>
        <w:tc>
          <w:tcPr>
            <w:tcW w:w="8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57.0%</w:t>
            </w: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1,554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704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45.3%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42.8% - 47.8%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1,535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658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42.9%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40.4% - 45.4%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1,532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553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36.1%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33.7% - 38.6%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1,532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34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2.2%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1.5% - 3.1%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1,532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31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2.0%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1.4% - 2.9%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1,555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0.2%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0.04% - 0.6%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i/>
                <w:iCs/>
                <w:lang w:val="en-US"/>
              </w:rPr>
            </w:pPr>
            <w:proofErr w:type="spellStart"/>
            <w:r w:rsidRPr="00B178BA">
              <w:rPr>
                <w:i/>
                <w:iCs/>
                <w:lang w:val="en-US"/>
              </w:rPr>
              <w:t>Klebsiella</w:t>
            </w:r>
            <w:proofErr w:type="spellEnd"/>
            <w:r w:rsidRPr="00B178B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178BA">
              <w:rPr>
                <w:i/>
                <w:iCs/>
                <w:lang w:val="en-US"/>
              </w:rPr>
              <w:t>pneumoniae</w:t>
            </w:r>
            <w:proofErr w:type="spellEnd"/>
          </w:p>
        </w:tc>
        <w:tc>
          <w:tcPr>
            <w:tcW w:w="749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625</w:t>
            </w:r>
          </w:p>
        </w:tc>
        <w:tc>
          <w:tcPr>
            <w:tcW w:w="858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22.5%</w:t>
            </w: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596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182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30.5%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26.9% - 34.4%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585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123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21.0%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17.8% - 24.6%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580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97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16.7%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13.8% - 20.0%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580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 xml:space="preserve">30  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5.2%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3.5% - 7.3%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578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54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9.3%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7.1% - 12.0%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598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20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3.3%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2.1% - 5.1%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i/>
                <w:iCs/>
                <w:lang w:val="en-US"/>
              </w:rPr>
            </w:pPr>
            <w:proofErr w:type="spellStart"/>
            <w:r w:rsidRPr="00B178BA">
              <w:rPr>
                <w:i/>
                <w:iCs/>
                <w:lang w:val="en-US"/>
              </w:rPr>
              <w:t>Klebsiella</w:t>
            </w:r>
            <w:proofErr w:type="spellEnd"/>
            <w:r w:rsidRPr="00B178BA">
              <w:rPr>
                <w:i/>
                <w:iCs/>
                <w:lang w:val="en-US"/>
              </w:rPr>
              <w:t xml:space="preserve"> spp.</w:t>
            </w:r>
          </w:p>
        </w:tc>
        <w:tc>
          <w:tcPr>
            <w:tcW w:w="74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8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1.5%</w:t>
            </w: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8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19.1%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8.6% - 34.1%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9.5%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2.7% - 22.6%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9.5%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2.7% - 22.6%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N/A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N/A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2.4%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0.06% - 12.6%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2.4%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0.06% - 12.6%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i/>
                <w:iCs/>
                <w:lang w:val="en-US"/>
              </w:rPr>
            </w:pPr>
            <w:proofErr w:type="spellStart"/>
            <w:r w:rsidRPr="00B178BA">
              <w:rPr>
                <w:i/>
                <w:iCs/>
                <w:lang w:val="en-US"/>
              </w:rPr>
              <w:t>Enterobacter</w:t>
            </w:r>
            <w:proofErr w:type="spellEnd"/>
            <w:r w:rsidRPr="00B178BA">
              <w:rPr>
                <w:i/>
                <w:iCs/>
                <w:lang w:val="en-US"/>
              </w:rPr>
              <w:t xml:space="preserve"> spp.</w:t>
            </w:r>
          </w:p>
        </w:tc>
        <w:tc>
          <w:tcPr>
            <w:tcW w:w="749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166</w:t>
            </w:r>
          </w:p>
        </w:tc>
        <w:tc>
          <w:tcPr>
            <w:tcW w:w="858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6.0%</w:t>
            </w: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163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52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31.9%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24.8% - 39.6%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157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16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10.2%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5.9% - 16.0%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156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16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10.3%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6.0% - 16.1%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156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0.6%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0.02% - 3.5%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156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21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13.5%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8.5% - 19.8%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163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3.7%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1.4% - 7.8%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i/>
                <w:iCs/>
                <w:lang w:val="en-US"/>
              </w:rPr>
            </w:pPr>
            <w:proofErr w:type="spellStart"/>
            <w:r w:rsidRPr="00B178BA">
              <w:rPr>
                <w:i/>
                <w:iCs/>
                <w:lang w:val="en-US"/>
              </w:rPr>
              <w:t>Citrobacter</w:t>
            </w:r>
            <w:proofErr w:type="spellEnd"/>
            <w:r w:rsidRPr="00B178BA">
              <w:rPr>
                <w:i/>
                <w:iCs/>
                <w:lang w:val="en-US"/>
              </w:rPr>
              <w:t xml:space="preserve"> spp.</w:t>
            </w:r>
          </w:p>
        </w:tc>
        <w:tc>
          <w:tcPr>
            <w:tcW w:w="74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43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1.6%</w:t>
            </w: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43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20.9%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10.0% - 36.0%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9.5%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2.7% - 22.6%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7.1%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1.5% - 19.5%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2.4%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0.06% - 12.6%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42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9.5%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2.7% - 22.6%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43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7.0%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1.5% - 19.1%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Other Enterobacteriaceae species</w:t>
            </w:r>
          </w:p>
        </w:tc>
        <w:tc>
          <w:tcPr>
            <w:tcW w:w="749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318</w:t>
            </w:r>
          </w:p>
        </w:tc>
        <w:tc>
          <w:tcPr>
            <w:tcW w:w="858" w:type="dxa"/>
            <w:vMerge w:val="restart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11.5%</w:t>
            </w: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203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41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20.2%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14.9% - 26.4%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201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60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29.9%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23.6% - 36.7%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198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59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29.8%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23.5% - 36.7%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194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1.0%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0.1% - 3.7%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199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2.5%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0.8% - 5.8%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51</w:t>
            </w:r>
          </w:p>
        </w:tc>
        <w:tc>
          <w:tcPr>
            <w:tcW w:w="692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</w:t>
            </w:r>
          </w:p>
        </w:tc>
        <w:tc>
          <w:tcPr>
            <w:tcW w:w="1227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5.9%</w:t>
            </w:r>
          </w:p>
        </w:tc>
        <w:tc>
          <w:tcPr>
            <w:tcW w:w="1644" w:type="dxa"/>
            <w:shd w:val="clear" w:color="auto" w:fill="DDD9C3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1.2% - 16.2%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Overall</w:t>
            </w:r>
          </w:p>
        </w:tc>
        <w:tc>
          <w:tcPr>
            <w:tcW w:w="74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2,777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100%</w:t>
            </w: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Ceftriaxone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2,601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996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38.3%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36.4% - 40.2%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Ciprofloxacin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2,562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865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33.8%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31.9% - 35.6%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Gentamicin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2,550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732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28.7%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27.0% - 30.5%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Amikacin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2,546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68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2.7%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2.1% - 3.4%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Piperacillin-</w:t>
            </w:r>
            <w:proofErr w:type="spellStart"/>
            <w:r w:rsidRPr="00B178BA">
              <w:rPr>
                <w:lang w:val="en-US"/>
              </w:rPr>
              <w:t>tazobactam</w:t>
            </w:r>
            <w:proofErr w:type="spellEnd"/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2,549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116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4.6%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3.8% - 5.4%</w:t>
            </w:r>
          </w:p>
        </w:tc>
      </w:tr>
      <w:tr w:rsidR="00C7292B" w:rsidRPr="00B178BA" w:rsidTr="00BA715E">
        <w:trPr>
          <w:trHeight w:val="340"/>
        </w:trPr>
        <w:tc>
          <w:tcPr>
            <w:tcW w:w="18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</w:p>
        </w:tc>
        <w:tc>
          <w:tcPr>
            <w:tcW w:w="16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proofErr w:type="spellStart"/>
            <w:r w:rsidRPr="00B178BA">
              <w:rPr>
                <w:lang w:val="en-US"/>
              </w:rPr>
              <w:t>Imipenem</w:t>
            </w:r>
            <w:proofErr w:type="spellEnd"/>
          </w:p>
        </w:tc>
        <w:tc>
          <w:tcPr>
            <w:tcW w:w="9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2,452</w:t>
            </w:r>
          </w:p>
        </w:tc>
        <w:tc>
          <w:tcPr>
            <w:tcW w:w="6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36</w:t>
            </w:r>
          </w:p>
        </w:tc>
        <w:tc>
          <w:tcPr>
            <w:tcW w:w="12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1.5%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292B" w:rsidRPr="00B178BA" w:rsidRDefault="00C7292B" w:rsidP="00C7292B">
            <w:pPr>
              <w:rPr>
                <w:lang w:val="en-US"/>
              </w:rPr>
            </w:pPr>
            <w:r w:rsidRPr="00B178BA">
              <w:rPr>
                <w:lang w:val="en-US"/>
              </w:rPr>
              <w:t>1.0% - 2.0%</w:t>
            </w:r>
          </w:p>
        </w:tc>
      </w:tr>
    </w:tbl>
    <w:p w:rsidR="00C7292B" w:rsidRPr="00B178BA" w:rsidRDefault="00C7292B" w:rsidP="00C7292B">
      <w:pPr>
        <w:rPr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</w:pPr>
    </w:p>
    <w:p w:rsidR="00C7292B" w:rsidRPr="00B178BA" w:rsidRDefault="00C7292B" w:rsidP="00C7292B">
      <w:pPr>
        <w:rPr>
          <w:b/>
          <w:bCs/>
          <w:lang w:val="en-US"/>
        </w:rPr>
        <w:sectPr w:rsidR="00C7292B" w:rsidRPr="00B178BA" w:rsidSect="008F33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2C2F" w:rsidRPr="00B178BA" w:rsidRDefault="00A61300" w:rsidP="00C7292B">
      <w:pPr>
        <w:rPr>
          <w:b/>
          <w:bCs/>
          <w:lang w:val="en-US"/>
        </w:rPr>
      </w:pPr>
      <w:r w:rsidRPr="00B178BA">
        <w:rPr>
          <w:b/>
          <w:bCs/>
          <w:lang w:val="en-US"/>
        </w:rPr>
        <w:lastRenderedPageBreak/>
        <w:t xml:space="preserve">Supplementary </w:t>
      </w:r>
      <w:r w:rsidR="00722982">
        <w:rPr>
          <w:b/>
          <w:bCs/>
          <w:lang w:val="en-US"/>
        </w:rPr>
        <w:t>Table S2</w:t>
      </w:r>
      <w:bookmarkStart w:id="0" w:name="_GoBack"/>
      <w:bookmarkEnd w:id="0"/>
    </w:p>
    <w:p w:rsidR="00C7292B" w:rsidRPr="00B178BA" w:rsidRDefault="00C7292B" w:rsidP="00C7292B">
      <w:pPr>
        <w:rPr>
          <w:bCs/>
          <w:lang w:val="en-US"/>
        </w:rPr>
      </w:pPr>
      <w:r w:rsidRPr="00B178BA">
        <w:rPr>
          <w:bCs/>
          <w:lang w:val="en-US"/>
        </w:rPr>
        <w:t xml:space="preserve">Multivariable competing risk survival analysis for </w:t>
      </w:r>
      <w:r w:rsidRPr="00B178BA">
        <w:rPr>
          <w:b/>
          <w:bCs/>
          <w:lang w:val="en-US"/>
        </w:rPr>
        <w:t>90-day</w:t>
      </w:r>
      <w:r w:rsidRPr="00B178BA">
        <w:rPr>
          <w:bCs/>
          <w:lang w:val="en-US"/>
        </w:rPr>
        <w:t xml:space="preserve"> in-hospital mortality of patients infected by </w:t>
      </w:r>
      <w:r w:rsidRPr="00B178BA">
        <w:rPr>
          <w:bCs/>
          <w:i/>
          <w:lang w:val="en-US"/>
        </w:rPr>
        <w:t>Enterobacteriaceae</w:t>
      </w:r>
    </w:p>
    <w:p w:rsidR="00C7292B" w:rsidRPr="00B178BA" w:rsidRDefault="00C7292B" w:rsidP="00C7292B">
      <w:pPr>
        <w:rPr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1559"/>
        <w:gridCol w:w="1134"/>
        <w:gridCol w:w="992"/>
        <w:gridCol w:w="1580"/>
        <w:gridCol w:w="992"/>
        <w:gridCol w:w="851"/>
        <w:gridCol w:w="1538"/>
        <w:gridCol w:w="871"/>
      </w:tblGrid>
      <w:tr w:rsidR="00C7292B" w:rsidRPr="00B178BA" w:rsidTr="00BA715E">
        <w:trPr>
          <w:jc w:val="center"/>
        </w:trPr>
        <w:tc>
          <w:tcPr>
            <w:tcW w:w="3545" w:type="dxa"/>
            <w:vMerge w:val="restart"/>
            <w:tcBorders>
              <w:top w:val="single" w:sz="8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Risk factor</w:t>
            </w:r>
          </w:p>
        </w:tc>
        <w:tc>
          <w:tcPr>
            <w:tcW w:w="724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Cause-specific hazards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Sub-distribution hazards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vMerge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In hospital death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Discharge alive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In hospital death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vMerge/>
            <w:tcBorders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B178BA">
              <w:rPr>
                <w:b/>
                <w:bCs/>
                <w:lang w:val="en-US"/>
              </w:rPr>
              <w:t>csHR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95%CI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B178BA">
              <w:rPr>
                <w:b/>
                <w:bCs/>
                <w:lang w:val="en-US"/>
              </w:rPr>
              <w:t>csHR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95%CI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B178BA">
              <w:rPr>
                <w:b/>
                <w:bCs/>
                <w:lang w:val="en-US"/>
              </w:rPr>
              <w:t>sHR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95%CI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178BA">
              <w:rPr>
                <w:b/>
                <w:bCs/>
                <w:lang w:val="en-US"/>
              </w:rPr>
              <w:t>P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top w:val="single" w:sz="8" w:space="0" w:color="auto"/>
              <w:bottom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lang w:val="en-US"/>
              </w:rPr>
            </w:pPr>
            <w:r w:rsidRPr="00B178BA">
              <w:rPr>
                <w:b/>
                <w:lang w:val="en-US"/>
              </w:rPr>
              <w:t>Male sex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1.40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0.74 - 2.68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0.303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0.91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0.83 – 0.99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0.036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1.49</w:t>
            </w:r>
          </w:p>
        </w:tc>
        <w:tc>
          <w:tcPr>
            <w:tcW w:w="1538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0.75 - 2.97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0.254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lang w:val="en-US"/>
              </w:rPr>
            </w:pPr>
            <w:r w:rsidRPr="00B178BA">
              <w:rPr>
                <w:b/>
                <w:lang w:val="en-US"/>
              </w:rPr>
              <w:t>Age &gt; 65 years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1.36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0.75 - 2.45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0.311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0.64</w:t>
            </w:r>
          </w:p>
        </w:tc>
        <w:tc>
          <w:tcPr>
            <w:tcW w:w="1580" w:type="dxa"/>
            <w:tcBorders>
              <w:top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0.58 - 0.69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&lt;0.001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1.56</w:t>
            </w:r>
          </w:p>
        </w:tc>
        <w:tc>
          <w:tcPr>
            <w:tcW w:w="1538" w:type="dxa"/>
            <w:tcBorders>
              <w:top w:val="single" w:sz="2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0.86 - 2.85</w:t>
            </w:r>
          </w:p>
        </w:tc>
        <w:tc>
          <w:tcPr>
            <w:tcW w:w="871" w:type="dxa"/>
            <w:tcBorders>
              <w:top w:val="single" w:sz="2" w:space="0" w:color="auto"/>
            </w:tcBorders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0.145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lang w:val="en-US"/>
              </w:rPr>
            </w:pPr>
            <w:r w:rsidRPr="00B178BA">
              <w:rPr>
                <w:b/>
                <w:lang w:val="en-US"/>
              </w:rPr>
              <w:t>ICU admission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1.92</w:t>
            </w: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0.88 - 4.18</w:t>
            </w: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0.102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0.44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0.35 - 0.55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&lt;0.001</w:t>
            </w:r>
          </w:p>
        </w:tc>
        <w:tc>
          <w:tcPr>
            <w:tcW w:w="85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2.98</w:t>
            </w:r>
          </w:p>
        </w:tc>
        <w:tc>
          <w:tcPr>
            <w:tcW w:w="1538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1.21 - 7.34</w:t>
            </w:r>
          </w:p>
        </w:tc>
        <w:tc>
          <w:tcPr>
            <w:tcW w:w="87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0.018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/>
                <w:lang w:val="en-US"/>
              </w:rPr>
            </w:pPr>
            <w:r w:rsidRPr="00B178BA">
              <w:rPr>
                <w:b/>
                <w:lang w:val="en-US"/>
              </w:rPr>
              <w:t>Origin of infection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80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38" w:type="dxa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7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 xml:space="preserve">Community 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1.00</w:t>
            </w: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-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1.00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-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1.00</w:t>
            </w:r>
          </w:p>
        </w:tc>
        <w:tc>
          <w:tcPr>
            <w:tcW w:w="1538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-</w:t>
            </w:r>
          </w:p>
        </w:tc>
        <w:tc>
          <w:tcPr>
            <w:tcW w:w="871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-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bottom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Healthcare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1.57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0.85 - 2.89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0.150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0.53</w:t>
            </w:r>
          </w:p>
        </w:tc>
        <w:tc>
          <w:tcPr>
            <w:tcW w:w="1580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0.47 - 0.59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&lt;0.001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2.09</w:t>
            </w:r>
          </w:p>
        </w:tc>
        <w:tc>
          <w:tcPr>
            <w:tcW w:w="1538" w:type="dxa"/>
            <w:tcBorders>
              <w:bottom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1.13 - 3.87</w:t>
            </w:r>
          </w:p>
        </w:tc>
        <w:tc>
          <w:tcPr>
            <w:tcW w:w="871" w:type="dxa"/>
            <w:tcBorders>
              <w:bottom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0.019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lang w:val="en-US"/>
              </w:rPr>
            </w:pPr>
            <w:r w:rsidRPr="00B178BA">
              <w:rPr>
                <w:b/>
                <w:lang w:val="en-US"/>
              </w:rPr>
              <w:t>Site of infection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Lower respiratory tract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2.48</w:t>
            </w: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0.99 - 6.20</w:t>
            </w: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0.051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0.80</w:t>
            </w:r>
          </w:p>
        </w:tc>
        <w:tc>
          <w:tcPr>
            <w:tcW w:w="1580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0.70 - 0.91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0.001</w:t>
            </w:r>
          </w:p>
        </w:tc>
        <w:tc>
          <w:tcPr>
            <w:tcW w:w="85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2.79</w:t>
            </w:r>
          </w:p>
        </w:tc>
        <w:tc>
          <w:tcPr>
            <w:tcW w:w="1538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1.02 - 7.60</w:t>
            </w:r>
          </w:p>
        </w:tc>
        <w:tc>
          <w:tcPr>
            <w:tcW w:w="87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0.045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Urinary tract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0.44</w:t>
            </w: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0.14 - 1.43</w:t>
            </w: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0.173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0.85</w:t>
            </w:r>
          </w:p>
        </w:tc>
        <w:tc>
          <w:tcPr>
            <w:tcW w:w="1580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0.77 - 0.95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0.004</w:t>
            </w:r>
          </w:p>
        </w:tc>
        <w:tc>
          <w:tcPr>
            <w:tcW w:w="85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0.49</w:t>
            </w:r>
          </w:p>
        </w:tc>
        <w:tc>
          <w:tcPr>
            <w:tcW w:w="1538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0.15 - 1.62</w:t>
            </w:r>
          </w:p>
        </w:tc>
        <w:tc>
          <w:tcPr>
            <w:tcW w:w="87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0.241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Bloodstream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5.09</w:t>
            </w: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1.98 - 13.05</w:t>
            </w: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0.001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0.89</w:t>
            </w:r>
          </w:p>
        </w:tc>
        <w:tc>
          <w:tcPr>
            <w:tcW w:w="1580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0.76 - 1.05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0.162</w:t>
            </w:r>
          </w:p>
        </w:tc>
        <w:tc>
          <w:tcPr>
            <w:tcW w:w="85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5.06</w:t>
            </w:r>
          </w:p>
        </w:tc>
        <w:tc>
          <w:tcPr>
            <w:tcW w:w="1538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1.97 - 12.99</w:t>
            </w:r>
          </w:p>
        </w:tc>
        <w:tc>
          <w:tcPr>
            <w:tcW w:w="871" w:type="dxa"/>
            <w:vAlign w:val="bottom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0.001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bottom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Other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1.00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1.00</w:t>
            </w:r>
          </w:p>
        </w:tc>
        <w:tc>
          <w:tcPr>
            <w:tcW w:w="1580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1.00</w:t>
            </w:r>
          </w:p>
        </w:tc>
        <w:tc>
          <w:tcPr>
            <w:tcW w:w="1538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871" w:type="dxa"/>
            <w:tcBorders>
              <w:bottom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b/>
                <w:lang w:val="en-US"/>
              </w:rPr>
            </w:pPr>
            <w:r w:rsidRPr="00B178BA">
              <w:rPr>
                <w:b/>
                <w:lang w:val="en-US"/>
              </w:rPr>
              <w:t>3</w:t>
            </w:r>
            <w:r w:rsidRPr="00B178BA">
              <w:rPr>
                <w:b/>
                <w:vertAlign w:val="superscript"/>
                <w:lang w:val="en-US"/>
              </w:rPr>
              <w:t>rd</w:t>
            </w:r>
            <w:r w:rsidRPr="00B178BA">
              <w:rPr>
                <w:b/>
                <w:lang w:val="en-US"/>
              </w:rPr>
              <w:t xml:space="preserve"> generation Cephalosporin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2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Susceptible</w:t>
            </w:r>
          </w:p>
        </w:tc>
        <w:tc>
          <w:tcPr>
            <w:tcW w:w="992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1.00</w:t>
            </w:r>
          </w:p>
        </w:tc>
        <w:tc>
          <w:tcPr>
            <w:tcW w:w="1559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1.00</w:t>
            </w:r>
          </w:p>
        </w:tc>
        <w:tc>
          <w:tcPr>
            <w:tcW w:w="1580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1.00</w:t>
            </w:r>
          </w:p>
        </w:tc>
        <w:tc>
          <w:tcPr>
            <w:tcW w:w="1538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  <w:tc>
          <w:tcPr>
            <w:tcW w:w="871" w:type="dxa"/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bCs/>
                <w:lang w:val="en-US"/>
              </w:rPr>
              <w:t>-</w:t>
            </w:r>
          </w:p>
        </w:tc>
      </w:tr>
      <w:tr w:rsidR="00C7292B" w:rsidRPr="00B178BA" w:rsidTr="00BA715E">
        <w:trPr>
          <w:jc w:val="center"/>
        </w:trPr>
        <w:tc>
          <w:tcPr>
            <w:tcW w:w="3545" w:type="dxa"/>
            <w:tcBorders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Resistant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0.80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0.43 - 1.48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0.483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0.84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0.77 - 0.92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pct5" w:color="auto" w:fill="auto"/>
          </w:tcPr>
          <w:p w:rsidR="00C7292B" w:rsidRPr="00B178BA" w:rsidRDefault="00C7292B" w:rsidP="00C7292B">
            <w:pPr>
              <w:spacing w:after="160" w:line="259" w:lineRule="auto"/>
              <w:rPr>
                <w:bCs/>
                <w:lang w:val="en-US"/>
              </w:rPr>
            </w:pPr>
            <w:r w:rsidRPr="00B178BA">
              <w:rPr>
                <w:bCs/>
                <w:lang w:val="en-US"/>
              </w:rPr>
              <w:t>&lt;0.001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0.90</w:t>
            </w:r>
          </w:p>
        </w:tc>
        <w:tc>
          <w:tcPr>
            <w:tcW w:w="1538" w:type="dxa"/>
            <w:tcBorders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0.49 - 1.67</w:t>
            </w:r>
          </w:p>
        </w:tc>
        <w:tc>
          <w:tcPr>
            <w:tcW w:w="871" w:type="dxa"/>
            <w:tcBorders>
              <w:bottom w:val="single" w:sz="8" w:space="0" w:color="auto"/>
            </w:tcBorders>
          </w:tcPr>
          <w:p w:rsidR="00C7292B" w:rsidRPr="00B178BA" w:rsidRDefault="00C7292B" w:rsidP="00C7292B">
            <w:pPr>
              <w:spacing w:after="160" w:line="259" w:lineRule="auto"/>
              <w:rPr>
                <w:lang w:val="en-US"/>
              </w:rPr>
            </w:pPr>
            <w:r w:rsidRPr="00B178BA">
              <w:rPr>
                <w:lang w:val="en-US"/>
              </w:rPr>
              <w:t>0.748</w:t>
            </w:r>
          </w:p>
        </w:tc>
      </w:tr>
    </w:tbl>
    <w:p w:rsidR="00C7292B" w:rsidRPr="00B178BA" w:rsidRDefault="00C7292B" w:rsidP="00C7292B">
      <w:pPr>
        <w:rPr>
          <w:bCs/>
          <w:lang w:val="en-US"/>
        </w:rPr>
      </w:pPr>
    </w:p>
    <w:p w:rsidR="007E0314" w:rsidRPr="00B178BA" w:rsidRDefault="00C7292B">
      <w:pPr>
        <w:rPr>
          <w:lang w:val="en-US"/>
        </w:rPr>
      </w:pPr>
      <w:r w:rsidRPr="00B178BA">
        <w:rPr>
          <w:bCs/>
          <w:lang w:val="en-US"/>
        </w:rPr>
        <w:t xml:space="preserve">Note: </w:t>
      </w:r>
      <w:proofErr w:type="spellStart"/>
      <w:r w:rsidRPr="00B178BA">
        <w:rPr>
          <w:bCs/>
          <w:lang w:val="en-US"/>
        </w:rPr>
        <w:t>csHR</w:t>
      </w:r>
      <w:proofErr w:type="spellEnd"/>
      <w:r w:rsidRPr="00B178BA">
        <w:rPr>
          <w:bCs/>
          <w:lang w:val="en-US"/>
        </w:rPr>
        <w:t xml:space="preserve">: cause-specific hazard ratio; </w:t>
      </w:r>
      <w:proofErr w:type="spellStart"/>
      <w:r w:rsidRPr="00B178BA">
        <w:rPr>
          <w:bCs/>
          <w:lang w:val="en-US"/>
        </w:rPr>
        <w:t>sHR</w:t>
      </w:r>
      <w:proofErr w:type="spellEnd"/>
      <w:r w:rsidRPr="00B178BA">
        <w:rPr>
          <w:bCs/>
          <w:lang w:val="en-US"/>
        </w:rPr>
        <w:t>: sub-distribution hazard ratio; 95% CI: 95% confidence interval</w:t>
      </w:r>
    </w:p>
    <w:sectPr w:rsidR="007E0314" w:rsidRPr="00B178BA" w:rsidSect="00E73F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3B" w:rsidRDefault="00C6253B" w:rsidP="00C7292B">
      <w:pPr>
        <w:spacing w:after="0" w:line="240" w:lineRule="auto"/>
      </w:pPr>
      <w:r>
        <w:separator/>
      </w:r>
    </w:p>
  </w:endnote>
  <w:endnote w:type="continuationSeparator" w:id="0">
    <w:p w:rsidR="00C6253B" w:rsidRDefault="00C6253B" w:rsidP="00C7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4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92B" w:rsidRDefault="00C72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9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292B" w:rsidRDefault="00C72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3B" w:rsidRDefault="00C6253B" w:rsidP="00C7292B">
      <w:pPr>
        <w:spacing w:after="0" w:line="240" w:lineRule="auto"/>
      </w:pPr>
      <w:r>
        <w:separator/>
      </w:r>
    </w:p>
  </w:footnote>
  <w:footnote w:type="continuationSeparator" w:id="0">
    <w:p w:rsidR="00C6253B" w:rsidRDefault="00C6253B" w:rsidP="00C7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B03"/>
    <w:multiLevelType w:val="hybridMultilevel"/>
    <w:tmpl w:val="E95CF6B4"/>
    <w:lvl w:ilvl="0" w:tplc="66FAF2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3"/>
    <w:rsid w:val="00245D1F"/>
    <w:rsid w:val="002736A9"/>
    <w:rsid w:val="003D31A2"/>
    <w:rsid w:val="003E3EAB"/>
    <w:rsid w:val="004E0FEB"/>
    <w:rsid w:val="00722982"/>
    <w:rsid w:val="00773639"/>
    <w:rsid w:val="007E0314"/>
    <w:rsid w:val="009027DC"/>
    <w:rsid w:val="00A15E0C"/>
    <w:rsid w:val="00A61300"/>
    <w:rsid w:val="00B178BA"/>
    <w:rsid w:val="00BE0ECD"/>
    <w:rsid w:val="00C44063"/>
    <w:rsid w:val="00C6253B"/>
    <w:rsid w:val="00C7292B"/>
    <w:rsid w:val="00C77197"/>
    <w:rsid w:val="00C915AD"/>
    <w:rsid w:val="00E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D266"/>
  <w15:chartTrackingRefBased/>
  <w15:docId w15:val="{621B0179-9EE5-4F99-89A3-76BAC243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2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2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C72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2B"/>
    <w:rPr>
      <w:lang w:val="el-GR"/>
    </w:rPr>
  </w:style>
  <w:style w:type="paragraph" w:styleId="NoSpacing">
    <w:name w:val="No Spacing"/>
    <w:link w:val="NoSpacingChar"/>
    <w:uiPriority w:val="1"/>
    <w:qFormat/>
    <w:rsid w:val="00EA2C2F"/>
    <w:pPr>
      <w:spacing w:after="0" w:line="240" w:lineRule="auto"/>
    </w:pPr>
    <w:rPr>
      <w:rFonts w:ascii="Calibri" w:eastAsiaTheme="minorEastAsia" w:hAnsi="Calibri" w:cs="Times New Roman"/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rsid w:val="00EA2C2F"/>
    <w:rPr>
      <w:rFonts w:ascii="Calibri" w:eastAsiaTheme="minorEastAsia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Kritsotakis</dc:creator>
  <cp:keywords/>
  <dc:description/>
  <cp:lastModifiedBy>Evangelos Kritsotakis</cp:lastModifiedBy>
  <cp:revision>8</cp:revision>
  <dcterms:created xsi:type="dcterms:W3CDTF">2020-06-15T10:36:00Z</dcterms:created>
  <dcterms:modified xsi:type="dcterms:W3CDTF">2021-03-27T18:23:00Z</dcterms:modified>
</cp:coreProperties>
</file>