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376C" w14:textId="369D56D3" w:rsidR="00E13A3F" w:rsidRDefault="003B494A" w:rsidP="003A5DCC">
      <w:pPr>
        <w:pStyle w:val="Heading1"/>
        <w:rPr>
          <w:lang w:val="en-US"/>
        </w:rPr>
      </w:pPr>
      <w:r>
        <w:rPr>
          <w:lang w:val="en-US"/>
        </w:rPr>
        <w:t>Supplementary appendix</w:t>
      </w:r>
    </w:p>
    <w:p w14:paraId="4D18B059" w14:textId="47321C0D" w:rsidR="003B494A" w:rsidRDefault="003B494A">
      <w:pPr>
        <w:rPr>
          <w:lang w:val="en-US"/>
        </w:rPr>
      </w:pPr>
    </w:p>
    <w:p w14:paraId="4229014F" w14:textId="521916B0" w:rsidR="003B494A" w:rsidRPr="0090460A" w:rsidRDefault="003B494A" w:rsidP="003B494A">
      <w:pPr>
        <w:pStyle w:val="Caption"/>
        <w:rPr>
          <w:lang w:val="en-US"/>
        </w:rPr>
      </w:pPr>
      <w:r w:rsidRPr="0090460A">
        <w:rPr>
          <w:lang w:val="en-US"/>
        </w:rPr>
        <w:t xml:space="preserve">Table </w:t>
      </w:r>
      <w:r w:rsidRPr="0090460A">
        <w:rPr>
          <w:lang w:val="en-US"/>
        </w:rPr>
        <w:fldChar w:fldCharType="begin"/>
      </w:r>
      <w:r w:rsidRPr="0090460A">
        <w:rPr>
          <w:lang w:val="en-US"/>
        </w:rPr>
        <w:instrText xml:space="preserve"> SEQ Table \* ARABIC </w:instrText>
      </w:r>
      <w:r w:rsidRPr="0090460A">
        <w:rPr>
          <w:lang w:val="en-US"/>
        </w:rPr>
        <w:fldChar w:fldCharType="separate"/>
      </w:r>
      <w:r w:rsidR="003A5DCC">
        <w:rPr>
          <w:noProof/>
          <w:lang w:val="en-US"/>
        </w:rPr>
        <w:t>1</w:t>
      </w:r>
      <w:r w:rsidRPr="0090460A">
        <w:rPr>
          <w:lang w:val="en-US"/>
        </w:rPr>
        <w:fldChar w:fldCharType="end"/>
      </w:r>
      <w:r w:rsidRPr="0090460A">
        <w:rPr>
          <w:lang w:val="en-US"/>
        </w:rPr>
        <w:t xml:space="preserve">: </w:t>
      </w:r>
      <w:r w:rsidR="003A5DCC">
        <w:rPr>
          <w:lang w:val="en-US"/>
        </w:rPr>
        <w:t>Statistical fit of alternative PFS and OS extrapolations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54"/>
        <w:gridCol w:w="9"/>
        <w:gridCol w:w="1560"/>
        <w:gridCol w:w="11"/>
        <w:gridCol w:w="1729"/>
        <w:gridCol w:w="1733"/>
        <w:gridCol w:w="1720"/>
      </w:tblGrid>
      <w:tr w:rsidR="003B494A" w:rsidRPr="0090460A" w14:paraId="2A9C3E3F" w14:textId="77777777" w:rsidTr="0085275B">
        <w:trPr>
          <w:trHeight w:val="30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153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Extrapolation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ADE3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One-piece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A40C" w14:textId="409B3A53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Two-piece</w:t>
            </w:r>
            <w:r w:rsidR="003A5DCC">
              <w:rPr>
                <w:rFonts w:eastAsia="Times New Roman"/>
                <w:lang w:val="en-US" w:eastAsia="en-GB"/>
              </w:rPr>
              <w:t>*</w:t>
            </w:r>
          </w:p>
        </w:tc>
      </w:tr>
      <w:tr w:rsidR="003B494A" w:rsidRPr="0090460A" w14:paraId="1B3DAF92" w14:textId="77777777" w:rsidTr="003A5DCC">
        <w:trPr>
          <w:trHeight w:val="300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C137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3C03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AIC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218C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BIC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C542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AIC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7672B" w14:textId="77777777" w:rsidR="003B494A" w:rsidRPr="0090460A" w:rsidRDefault="003B494A" w:rsidP="0085275B">
            <w:pPr>
              <w:pStyle w:val="TableHeading"/>
              <w:rPr>
                <w:rFonts w:eastAsia="Times New Roman"/>
                <w:lang w:val="en-US" w:eastAsia="en-GB"/>
              </w:rPr>
            </w:pPr>
            <w:r w:rsidRPr="0090460A">
              <w:rPr>
                <w:rFonts w:eastAsia="Times New Roman"/>
                <w:lang w:val="en-US" w:eastAsia="en-GB"/>
              </w:rPr>
              <w:t>BIC</w:t>
            </w:r>
          </w:p>
        </w:tc>
      </w:tr>
      <w:tr w:rsidR="003A5DCC" w:rsidRPr="003A5DCC" w14:paraId="4EDBEF57" w14:textId="77777777" w:rsidTr="003A5DC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2122" w14:textId="747CACE8" w:rsidR="003A5DCC" w:rsidRPr="003A5DCC" w:rsidRDefault="003A5DCC" w:rsidP="0085275B">
            <w:pPr>
              <w:pStyle w:val="TableText"/>
              <w:rPr>
                <w:b/>
                <w:bCs/>
                <w:lang w:val="en-US"/>
              </w:rPr>
            </w:pPr>
            <w:r w:rsidRPr="003A5DCC">
              <w:rPr>
                <w:b/>
                <w:bCs/>
                <w:lang w:val="en-US"/>
              </w:rPr>
              <w:t>OS for pembrolizumab</w:t>
            </w:r>
          </w:p>
        </w:tc>
      </w:tr>
      <w:tr w:rsidR="003B494A" w:rsidRPr="0090460A" w14:paraId="10F2AB90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A70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Exponential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DF96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212.6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2940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214.5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5915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74.1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7CDA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75.8</w:t>
            </w:r>
          </w:p>
        </w:tc>
      </w:tr>
      <w:tr w:rsidR="003B494A" w:rsidRPr="0090460A" w14:paraId="21B938CE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A29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Weibull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7F3D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212.7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008E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216.5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126AC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75.9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5B38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79.1</w:t>
            </w:r>
          </w:p>
        </w:tc>
      </w:tr>
      <w:tr w:rsidR="003B494A" w:rsidRPr="0090460A" w14:paraId="4D0097D3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8EC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Log-normal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5783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210.9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3E5E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214.7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566B4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75.4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D6F7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78.7</w:t>
            </w:r>
          </w:p>
        </w:tc>
      </w:tr>
      <w:tr w:rsidR="003B494A" w:rsidRPr="0090460A" w14:paraId="501551C8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82E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Log-logistic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CDFA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212.1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AB50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215.8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FE71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75.8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21D9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79.1</w:t>
            </w:r>
          </w:p>
        </w:tc>
      </w:tr>
      <w:tr w:rsidR="003B494A" w:rsidRPr="0090460A" w14:paraId="120DB329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83A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Gompertz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E95A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210.5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0B33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214.3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D6A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75.7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397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79.0</w:t>
            </w:r>
          </w:p>
        </w:tc>
      </w:tr>
      <w:tr w:rsidR="003B494A" w:rsidRPr="0090460A" w14:paraId="3D4BC718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8DA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Generalized gamma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FC70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211.9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14F9" w14:textId="77777777" w:rsidR="003B494A" w:rsidRPr="0090460A" w:rsidRDefault="003B494A" w:rsidP="0085275B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217.6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8ED0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73.7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B328" w14:textId="77777777" w:rsidR="003B494A" w:rsidRPr="0090460A" w:rsidRDefault="003B494A" w:rsidP="0085275B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78.6</w:t>
            </w:r>
          </w:p>
        </w:tc>
      </w:tr>
      <w:tr w:rsidR="003A5DCC" w:rsidRPr="003A5DCC" w14:paraId="6151789C" w14:textId="77777777" w:rsidTr="003A59A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F241" w14:textId="660413EB" w:rsidR="003A5DCC" w:rsidRPr="003A5DCC" w:rsidRDefault="003A5DCC" w:rsidP="003A59AA">
            <w:pPr>
              <w:pStyle w:val="TableText"/>
              <w:rPr>
                <w:b/>
                <w:bCs/>
                <w:lang w:val="en-US"/>
              </w:rPr>
            </w:pPr>
            <w:r w:rsidRPr="003A5DCC">
              <w:rPr>
                <w:b/>
                <w:bCs/>
                <w:lang w:val="en-US"/>
              </w:rPr>
              <w:t xml:space="preserve">OS for </w:t>
            </w:r>
            <w:r>
              <w:rPr>
                <w:b/>
                <w:bCs/>
                <w:lang w:val="en-US"/>
              </w:rPr>
              <w:t>chemotherapy</w:t>
            </w:r>
          </w:p>
        </w:tc>
      </w:tr>
      <w:tr w:rsidR="003A5DCC" w:rsidRPr="0090460A" w14:paraId="630BB59B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04CF" w14:textId="3E11582D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Exponential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3DFC" w14:textId="3A70986E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1275.1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BCA6" w14:textId="0C9484E3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1278.6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5FD73" w14:textId="1439D3CE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91A1D" w14:textId="48362622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90460A" w14:paraId="766FF592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DC72" w14:textId="38BAB289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Weibull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F9E5" w14:textId="6D6002D7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1266.1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C964" w14:textId="1759E07A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1273.1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DD44" w14:textId="6F9011B3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4EAC" w14:textId="6061BE04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90460A" w14:paraId="27D32392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2359" w14:textId="6E057139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Log-normal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EE11" w14:textId="61D58DCB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1257.9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C8C3" w14:textId="58AD88C6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1265.0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985D" w14:textId="032E0458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F21D" w14:textId="20C38D3A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90460A" w14:paraId="21E411C9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869A" w14:textId="14650094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Log-logistic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780B" w14:textId="01D3EFC8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1258.7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1D62" w14:textId="3AA2801B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1265.7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F4D8" w14:textId="3DBCF411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DDCF" w14:textId="090DA185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90460A" w14:paraId="48E8248C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4C10" w14:textId="07196B59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Gompertz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E039" w14:textId="7537F026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1274.9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BF74" w14:textId="7E04D232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1281.9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8953" w14:textId="3B85ECF1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1A3B" w14:textId="6AFA2EAD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90460A" w14:paraId="3BF1149C" w14:textId="77777777" w:rsidTr="003A5DC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8D04" w14:textId="1A00B3B0" w:rsidR="003A5DCC" w:rsidRPr="0090460A" w:rsidRDefault="003A5DCC" w:rsidP="003A5DCC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Generalized gamma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BAD3" w14:textId="27FA3397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1259.9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31E7" w14:textId="4499FABA" w:rsidR="003A5DCC" w:rsidRPr="0090460A" w:rsidRDefault="003A5DCC" w:rsidP="003A5DCC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1270.4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517E" w14:textId="6C937BCC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422A" w14:textId="1ADD8801" w:rsidR="003A5DCC" w:rsidRPr="0090460A" w:rsidRDefault="003A5DCC" w:rsidP="003A5DC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3A5DCC" w:rsidRPr="003A5DCC" w14:paraId="76F53576" w14:textId="77777777" w:rsidTr="003A59A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2B70" w14:textId="576B25ED" w:rsidR="003A5DCC" w:rsidRPr="003A5DCC" w:rsidRDefault="003A5DCC" w:rsidP="003A59AA">
            <w:pPr>
              <w:pStyle w:val="Table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PFS</w:t>
            </w:r>
            <w:r w:rsidRPr="003A5DCC">
              <w:rPr>
                <w:b/>
                <w:bCs/>
                <w:lang w:val="en-US"/>
              </w:rPr>
              <w:t xml:space="preserve"> for </w:t>
            </w:r>
            <w:r>
              <w:rPr>
                <w:b/>
                <w:bCs/>
                <w:lang w:val="en-US"/>
              </w:rPr>
              <w:t>pembrolizumab</w:t>
            </w:r>
          </w:p>
        </w:tc>
      </w:tr>
      <w:tr w:rsidR="003A5DCC" w:rsidRPr="0090460A" w14:paraId="51A28762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F8E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Exponential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3ED7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281.0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9972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282.9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6E00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164.8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C9B2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166.4</w:t>
            </w:r>
          </w:p>
        </w:tc>
      </w:tr>
      <w:tr w:rsidR="003A5DCC" w:rsidRPr="0090460A" w14:paraId="0A9B2F5A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8CA5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Weibull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922C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276.8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81F8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280.6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D4B9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163.2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F7793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166.4</w:t>
            </w:r>
          </w:p>
        </w:tc>
      </w:tr>
      <w:tr w:rsidR="003A5DCC" w:rsidRPr="0090460A" w14:paraId="69CC91AF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737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Log-normal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F9AC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271.8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1C85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275.6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D669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162.9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478C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166.1</w:t>
            </w:r>
          </w:p>
        </w:tc>
      </w:tr>
      <w:tr w:rsidR="003A5DCC" w:rsidRPr="0090460A" w14:paraId="7666B3D7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FE2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Log-logistic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BDDE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274.2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9C2D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278.0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62D6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163.0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6237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166.2</w:t>
            </w:r>
          </w:p>
        </w:tc>
      </w:tr>
      <w:tr w:rsidR="003A5DCC" w:rsidRPr="0090460A" w14:paraId="6840214A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378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Gompertz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FE2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270.8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1A0D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274.6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A00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163.6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B19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166.8</w:t>
            </w:r>
          </w:p>
        </w:tc>
      </w:tr>
      <w:tr w:rsidR="003A5DCC" w:rsidRPr="0090460A" w14:paraId="75F5DFD9" w14:textId="77777777" w:rsidTr="003A5DCC">
        <w:trPr>
          <w:trHeight w:val="300"/>
        </w:trPr>
        <w:tc>
          <w:tcPr>
            <w:tcW w:w="1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176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 w:eastAsia="en-GB"/>
              </w:rPr>
              <w:t>Generalized gamma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630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266.8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160C" w14:textId="77777777" w:rsidR="003A5DCC" w:rsidRPr="0090460A" w:rsidRDefault="003A5DCC" w:rsidP="003A59AA">
            <w:pPr>
              <w:pStyle w:val="TableText"/>
              <w:rPr>
                <w:lang w:val="en-US" w:eastAsia="en-GB"/>
              </w:rPr>
            </w:pPr>
            <w:r w:rsidRPr="0090460A">
              <w:rPr>
                <w:lang w:val="en-US"/>
              </w:rPr>
              <w:t>272.5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6B8CD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164.9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C86A2" w14:textId="77777777" w:rsidR="003A5DCC" w:rsidRPr="0090460A" w:rsidRDefault="003A5DCC" w:rsidP="003A59AA">
            <w:pPr>
              <w:pStyle w:val="TableText"/>
              <w:rPr>
                <w:lang w:val="en-US"/>
              </w:rPr>
            </w:pPr>
            <w:r w:rsidRPr="0090460A">
              <w:rPr>
                <w:lang w:val="en-US"/>
              </w:rPr>
              <w:t>169.7</w:t>
            </w:r>
          </w:p>
        </w:tc>
      </w:tr>
      <w:tr w:rsidR="003A5DCC" w:rsidRPr="0090460A" w14:paraId="6C130CE3" w14:textId="77777777" w:rsidTr="0085275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04A9" w14:textId="62C01332" w:rsidR="003A5DCC" w:rsidRDefault="003A5DCC" w:rsidP="003A5DCC">
            <w:pPr>
              <w:pStyle w:val="Legend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 xml:space="preserve">* </w:t>
            </w:r>
            <w:r w:rsidRPr="003A5DCC">
              <w:rPr>
                <w:lang w:val="en-US" w:eastAsia="en-GB"/>
              </w:rPr>
              <w:t>For OS Kaplan-Meier data was used until week 40, for PFS Kaplan-Meier data was used until week 10</w:t>
            </w:r>
          </w:p>
          <w:p w14:paraId="1F21BB16" w14:textId="6A88295A" w:rsidR="003A5DCC" w:rsidRPr="0090460A" w:rsidRDefault="003A5DCC" w:rsidP="003A5DCC">
            <w:pPr>
              <w:pStyle w:val="Legend"/>
              <w:rPr>
                <w:b/>
                <w:bCs/>
                <w:lang w:val="en-US" w:eastAsia="en-GB"/>
              </w:rPr>
            </w:pPr>
            <w:r w:rsidRPr="0090460A">
              <w:rPr>
                <w:b/>
                <w:bCs/>
                <w:lang w:val="en-US" w:eastAsia="en-GB"/>
              </w:rPr>
              <w:t>Key:</w:t>
            </w:r>
            <w:r w:rsidRPr="0090460A">
              <w:rPr>
                <w:lang w:val="en-US" w:eastAsia="en-GB"/>
              </w:rPr>
              <w:t xml:space="preserve"> AIC, Akaike information criterion; BIC, Bayesian information criterion; KM, Kaplan–Meier; OS, overall survival</w:t>
            </w:r>
            <w:r>
              <w:rPr>
                <w:lang w:val="en-US" w:eastAsia="en-GB"/>
              </w:rPr>
              <w:t>; PFS, progression free survival</w:t>
            </w:r>
            <w:r w:rsidRPr="0090460A">
              <w:rPr>
                <w:lang w:val="en-US" w:eastAsia="en-GB"/>
              </w:rPr>
              <w:t>.</w:t>
            </w:r>
          </w:p>
        </w:tc>
      </w:tr>
    </w:tbl>
    <w:p w14:paraId="5EDDD36D" w14:textId="77777777" w:rsidR="00B44085" w:rsidRDefault="00B44085">
      <w:pPr>
        <w:rPr>
          <w:lang w:val="en-US"/>
        </w:rPr>
      </w:pPr>
      <w:r>
        <w:rPr>
          <w:lang w:val="en-US"/>
        </w:rPr>
        <w:br w:type="page"/>
      </w:r>
    </w:p>
    <w:p w14:paraId="143415FA" w14:textId="0182173D" w:rsidR="003A5DCC" w:rsidRDefault="00B44085" w:rsidP="00B44085">
      <w:pPr>
        <w:pStyle w:val="Caption"/>
        <w:rPr>
          <w:lang w:val="en-US"/>
        </w:rPr>
      </w:pPr>
      <w:bookmarkStart w:id="0" w:name="_Ref36647610"/>
      <w:r w:rsidRPr="0090460A">
        <w:rPr>
          <w:lang w:val="en-US"/>
        </w:rPr>
        <w:lastRenderedPageBreak/>
        <w:t xml:space="preserve">Figure </w:t>
      </w:r>
      <w:r w:rsidRPr="0090460A">
        <w:rPr>
          <w:lang w:val="en-US"/>
        </w:rPr>
        <w:fldChar w:fldCharType="begin"/>
      </w:r>
      <w:r w:rsidRPr="0090460A">
        <w:rPr>
          <w:lang w:val="en-US"/>
        </w:rPr>
        <w:instrText xml:space="preserve"> SEQ Figure \* ARABIC </w:instrText>
      </w:r>
      <w:r w:rsidRPr="0090460A">
        <w:rPr>
          <w:lang w:val="en-US"/>
        </w:rPr>
        <w:fldChar w:fldCharType="separate"/>
      </w:r>
      <w:r w:rsidR="003A5DCC">
        <w:rPr>
          <w:noProof/>
          <w:lang w:val="en-US"/>
        </w:rPr>
        <w:t>1</w:t>
      </w:r>
      <w:r w:rsidRPr="0090460A">
        <w:rPr>
          <w:lang w:val="en-US"/>
        </w:rPr>
        <w:fldChar w:fldCharType="end"/>
      </w:r>
      <w:bookmarkEnd w:id="0"/>
      <w:r w:rsidRPr="0090460A">
        <w:rPr>
          <w:lang w:val="en-US"/>
        </w:rPr>
        <w:t xml:space="preserve">: </w:t>
      </w:r>
      <w:r w:rsidR="003A5DCC">
        <w:rPr>
          <w:lang w:val="en-US"/>
        </w:rPr>
        <w:t>Visual fits of alternative PFS and OS extrapolations</w:t>
      </w:r>
    </w:p>
    <w:p w14:paraId="7F04E1BF" w14:textId="21BF6870" w:rsidR="00B44085" w:rsidRDefault="00B44085" w:rsidP="003A5DCC">
      <w:pPr>
        <w:pStyle w:val="Caption"/>
        <w:numPr>
          <w:ilvl w:val="0"/>
          <w:numId w:val="1"/>
        </w:numPr>
        <w:rPr>
          <w:lang w:val="en-US"/>
        </w:rPr>
      </w:pPr>
      <w:r w:rsidRPr="0090460A">
        <w:rPr>
          <w:lang w:val="en-US"/>
        </w:rPr>
        <w:t>Overall survival for pembrolizumab using one-piece models</w:t>
      </w:r>
    </w:p>
    <w:p w14:paraId="471644B0" w14:textId="794E63CF" w:rsidR="00FE27EF" w:rsidRPr="00FE27EF" w:rsidRDefault="00FE27EF" w:rsidP="00FE27EF">
      <w:pPr>
        <w:rPr>
          <w:lang w:val="en-US" w:bidi="en-US"/>
        </w:rPr>
      </w:pPr>
      <w:r>
        <w:rPr>
          <w:noProof/>
          <w:lang w:val="en-US" w:bidi="en-US"/>
        </w:rPr>
        <w:drawing>
          <wp:inline distT="0" distB="0" distL="0" distR="0" wp14:anchorId="5C9191D7" wp14:editId="0D341092">
            <wp:extent cx="5760000" cy="36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37BF1" w14:textId="77777777" w:rsidR="003B5CCE" w:rsidRPr="003B5CCE" w:rsidRDefault="00705CE5" w:rsidP="003B5CCE">
      <w:pPr>
        <w:rPr>
          <w:sz w:val="18"/>
          <w:szCs w:val="18"/>
          <w:lang w:val="en-US"/>
        </w:rPr>
      </w:pPr>
      <w:r w:rsidRPr="003B5CCE">
        <w:rPr>
          <w:b/>
          <w:bCs/>
          <w:sz w:val="18"/>
          <w:szCs w:val="18"/>
          <w:lang w:val="en-US"/>
        </w:rPr>
        <w:t>Note:</w:t>
      </w:r>
      <w:r w:rsidRPr="003B5CCE">
        <w:rPr>
          <w:sz w:val="18"/>
          <w:szCs w:val="18"/>
          <w:lang w:val="en-US"/>
        </w:rPr>
        <w:t xml:space="preserve"> The plot includes all curves fitted to all KM data</w:t>
      </w:r>
      <w:r w:rsidR="00C741F5" w:rsidRPr="003B5CCE">
        <w:rPr>
          <w:sz w:val="18"/>
          <w:szCs w:val="18"/>
          <w:lang w:val="en-US"/>
        </w:rPr>
        <w:t>,</w:t>
      </w:r>
      <w:r w:rsidR="009A60B4" w:rsidRPr="003B5CCE">
        <w:rPr>
          <w:sz w:val="18"/>
          <w:szCs w:val="18"/>
          <w:lang w:val="en-US"/>
        </w:rPr>
        <w:t xml:space="preserve"> including clinically implausible selections. </w:t>
      </w:r>
    </w:p>
    <w:p w14:paraId="5C0A1060" w14:textId="27A56B56" w:rsidR="00B44085" w:rsidRDefault="00B44085" w:rsidP="003A5DCC">
      <w:pPr>
        <w:pStyle w:val="Caption"/>
        <w:numPr>
          <w:ilvl w:val="0"/>
          <w:numId w:val="1"/>
        </w:numPr>
        <w:rPr>
          <w:lang w:val="en-US"/>
        </w:rPr>
      </w:pPr>
      <w:r w:rsidRPr="0090460A">
        <w:rPr>
          <w:lang w:val="en-US"/>
        </w:rPr>
        <w:t>Overall survival for pembrolizumab using two-piece models</w:t>
      </w:r>
    </w:p>
    <w:p w14:paraId="575BA1FC" w14:textId="5323560C" w:rsidR="00A82D88" w:rsidRPr="00A82D88" w:rsidRDefault="00B274CF" w:rsidP="00A82D88">
      <w:pPr>
        <w:rPr>
          <w:lang w:val="en-US" w:bidi="en-US"/>
        </w:rPr>
      </w:pPr>
      <w:r>
        <w:rPr>
          <w:noProof/>
          <w:lang w:val="en-US" w:bidi="en-US"/>
        </w:rPr>
        <w:drawing>
          <wp:inline distT="0" distB="0" distL="0" distR="0" wp14:anchorId="1038F8D3" wp14:editId="263B4830">
            <wp:extent cx="5760000" cy="36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12746" w14:textId="77777777" w:rsidR="003B5CCE" w:rsidRPr="003B5CCE" w:rsidRDefault="009A60B4" w:rsidP="003B5CCE">
      <w:pPr>
        <w:rPr>
          <w:sz w:val="18"/>
          <w:szCs w:val="18"/>
          <w:lang w:val="en-US"/>
        </w:rPr>
      </w:pPr>
      <w:r w:rsidRPr="003B5CCE">
        <w:rPr>
          <w:b/>
          <w:bCs/>
          <w:sz w:val="18"/>
          <w:szCs w:val="18"/>
          <w:lang w:val="en-US"/>
        </w:rPr>
        <w:t>Note:</w:t>
      </w:r>
      <w:r w:rsidRPr="003B5CCE">
        <w:rPr>
          <w:sz w:val="18"/>
          <w:szCs w:val="18"/>
          <w:lang w:val="en-US"/>
        </w:rPr>
        <w:t xml:space="preserve"> The plot includes all curves fitted to all KM data, including clinically implausible selections. </w:t>
      </w:r>
    </w:p>
    <w:p w14:paraId="22B6C29E" w14:textId="56867AC8" w:rsidR="00B44085" w:rsidRDefault="00B44085" w:rsidP="00A82D88">
      <w:pPr>
        <w:pStyle w:val="Caption"/>
        <w:numPr>
          <w:ilvl w:val="0"/>
          <w:numId w:val="1"/>
        </w:numPr>
        <w:rPr>
          <w:lang w:val="en-US"/>
        </w:rPr>
      </w:pPr>
      <w:r w:rsidRPr="0090460A">
        <w:rPr>
          <w:lang w:val="en-US"/>
        </w:rPr>
        <w:lastRenderedPageBreak/>
        <w:t xml:space="preserve">Overall survival for </w:t>
      </w:r>
      <w:r>
        <w:rPr>
          <w:lang w:val="en-US"/>
        </w:rPr>
        <w:t>chemotherapy</w:t>
      </w:r>
      <w:r w:rsidRPr="0090460A">
        <w:rPr>
          <w:lang w:val="en-US"/>
        </w:rPr>
        <w:t xml:space="preserve"> using one-piece models</w:t>
      </w:r>
    </w:p>
    <w:p w14:paraId="3BA0DE4A" w14:textId="7F2835F1" w:rsidR="00A82D88" w:rsidRDefault="00A82D88" w:rsidP="00A82D88">
      <w:pPr>
        <w:rPr>
          <w:lang w:val="en-US" w:bidi="en-US"/>
        </w:rPr>
      </w:pPr>
      <w:r>
        <w:rPr>
          <w:noProof/>
          <w:lang w:val="en-US" w:bidi="en-US"/>
        </w:rPr>
        <w:drawing>
          <wp:inline distT="0" distB="0" distL="0" distR="0" wp14:anchorId="1C48E71E" wp14:editId="44AA4FC4">
            <wp:extent cx="5760000" cy="36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7923A" w14:textId="7EC7BE8A" w:rsidR="00B44085" w:rsidRPr="0090460A" w:rsidRDefault="009A60B4" w:rsidP="00B274CF">
      <w:pPr>
        <w:rPr>
          <w:lang w:val="en-US" w:bidi="en-US"/>
        </w:rPr>
      </w:pPr>
      <w:r w:rsidRPr="00833C27">
        <w:rPr>
          <w:b/>
          <w:bCs/>
          <w:sz w:val="18"/>
          <w:szCs w:val="18"/>
          <w:lang w:val="en-US" w:bidi="en-US"/>
        </w:rPr>
        <w:t>Note:</w:t>
      </w:r>
      <w:r w:rsidRPr="00833C27">
        <w:rPr>
          <w:sz w:val="18"/>
          <w:szCs w:val="18"/>
          <w:lang w:val="en-US" w:bidi="en-US"/>
        </w:rPr>
        <w:t xml:space="preserve"> The plot includes all curves fitted to </w:t>
      </w:r>
      <w:r>
        <w:rPr>
          <w:sz w:val="18"/>
          <w:szCs w:val="18"/>
          <w:lang w:val="en-US" w:bidi="en-US"/>
        </w:rPr>
        <w:t xml:space="preserve">all </w:t>
      </w:r>
      <w:r w:rsidRPr="00833C27">
        <w:rPr>
          <w:sz w:val="18"/>
          <w:szCs w:val="18"/>
          <w:lang w:val="en-US" w:bidi="en-US"/>
        </w:rPr>
        <w:t>KM data</w:t>
      </w:r>
      <w:r>
        <w:rPr>
          <w:sz w:val="18"/>
          <w:szCs w:val="18"/>
          <w:lang w:val="en-US" w:bidi="en-US"/>
        </w:rPr>
        <w:t xml:space="preserve">, including clinically implausible selections. </w:t>
      </w:r>
    </w:p>
    <w:p w14:paraId="453C7FBA" w14:textId="77777777" w:rsidR="00B274CF" w:rsidRPr="0090460A" w:rsidRDefault="00B274CF" w:rsidP="00B274CF">
      <w:pPr>
        <w:pStyle w:val="Caption"/>
        <w:numPr>
          <w:ilvl w:val="0"/>
          <w:numId w:val="1"/>
        </w:numPr>
        <w:rPr>
          <w:b w:val="0"/>
          <w:bCs/>
          <w:lang w:val="en-US"/>
        </w:rPr>
      </w:pPr>
      <w:bookmarkStart w:id="1" w:name="_Ref34647280"/>
      <w:r w:rsidRPr="00745F89">
        <w:rPr>
          <w:lang w:val="en-US"/>
        </w:rPr>
        <w:t>Progression-free survival for pembrolizumab using a one-piece model</w:t>
      </w:r>
    </w:p>
    <w:p w14:paraId="64174A21" w14:textId="798C7200" w:rsidR="00B274CF" w:rsidRDefault="00B274CF" w:rsidP="00B274CF">
      <w:pPr>
        <w:pStyle w:val="Caption"/>
        <w:tabs>
          <w:tab w:val="right" w:pos="9026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BFE6C9A" wp14:editId="6FAB2B29">
            <wp:extent cx="5731510" cy="35823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ACFF3" w14:textId="77777777" w:rsidR="003B5CCE" w:rsidRPr="003B5CCE" w:rsidRDefault="009A60B4" w:rsidP="003B5CCE">
      <w:pPr>
        <w:rPr>
          <w:sz w:val="18"/>
          <w:szCs w:val="18"/>
          <w:lang w:val="en-US"/>
        </w:rPr>
      </w:pPr>
      <w:r w:rsidRPr="003B5CCE">
        <w:rPr>
          <w:b/>
          <w:bCs/>
          <w:sz w:val="18"/>
          <w:szCs w:val="18"/>
          <w:lang w:val="en-US"/>
        </w:rPr>
        <w:t>Note:</w:t>
      </w:r>
      <w:r w:rsidRPr="003B5CCE">
        <w:rPr>
          <w:sz w:val="18"/>
          <w:szCs w:val="18"/>
          <w:lang w:val="en-US"/>
        </w:rPr>
        <w:t xml:space="preserve"> The plot includes all curves fitted to all KM data, including clinically implausible selections.</w:t>
      </w:r>
    </w:p>
    <w:p w14:paraId="7261ACEC" w14:textId="0DBA458C" w:rsidR="00B44085" w:rsidRDefault="00B274CF" w:rsidP="00B274CF">
      <w:pPr>
        <w:pStyle w:val="Caption"/>
        <w:numPr>
          <w:ilvl w:val="0"/>
          <w:numId w:val="1"/>
        </w:numPr>
        <w:tabs>
          <w:tab w:val="right" w:pos="9026"/>
        </w:tabs>
        <w:rPr>
          <w:lang w:val="en-US"/>
        </w:rPr>
      </w:pPr>
      <w:r>
        <w:rPr>
          <w:lang w:val="en-US"/>
        </w:rPr>
        <w:lastRenderedPageBreak/>
        <w:t>P</w:t>
      </w:r>
      <w:r w:rsidR="00B44085" w:rsidRPr="00745F89">
        <w:rPr>
          <w:lang w:val="en-US"/>
        </w:rPr>
        <w:t xml:space="preserve">rogression-free survival for pembrolizumab using </w:t>
      </w:r>
      <w:r w:rsidR="00B44085" w:rsidRPr="0090460A">
        <w:rPr>
          <w:lang w:val="en-US"/>
        </w:rPr>
        <w:t xml:space="preserve">a </w:t>
      </w:r>
      <w:r w:rsidR="00B44085" w:rsidRPr="00745F89">
        <w:rPr>
          <w:lang w:val="en-US"/>
        </w:rPr>
        <w:t>two-piece model</w:t>
      </w:r>
      <w:bookmarkEnd w:id="1"/>
    </w:p>
    <w:p w14:paraId="1134BEE0" w14:textId="01E99CBC" w:rsidR="00B274CF" w:rsidRPr="00B274CF" w:rsidRDefault="00B274CF" w:rsidP="00B274CF">
      <w:pPr>
        <w:rPr>
          <w:lang w:val="en-US" w:bidi="en-US"/>
        </w:rPr>
      </w:pPr>
      <w:r>
        <w:rPr>
          <w:noProof/>
          <w:lang w:val="en-US" w:bidi="en-US"/>
        </w:rPr>
        <w:drawing>
          <wp:inline distT="0" distB="0" distL="0" distR="0" wp14:anchorId="2762456D" wp14:editId="7A2E8480">
            <wp:extent cx="5760000" cy="36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D6BF9" w14:textId="63593469" w:rsidR="003B494A" w:rsidRPr="003B494A" w:rsidRDefault="009A60B4" w:rsidP="009A60B4">
      <w:pPr>
        <w:rPr>
          <w:lang w:val="en-US"/>
        </w:rPr>
      </w:pPr>
      <w:r w:rsidRPr="00833C27">
        <w:rPr>
          <w:b/>
          <w:bCs/>
          <w:sz w:val="18"/>
          <w:szCs w:val="18"/>
          <w:lang w:val="en-US" w:bidi="en-US"/>
        </w:rPr>
        <w:t>Note:</w:t>
      </w:r>
      <w:r w:rsidRPr="00833C27">
        <w:rPr>
          <w:sz w:val="18"/>
          <w:szCs w:val="18"/>
          <w:lang w:val="en-US" w:bidi="en-US"/>
        </w:rPr>
        <w:t xml:space="preserve"> The plot includes all curves fitted to </w:t>
      </w:r>
      <w:r>
        <w:rPr>
          <w:sz w:val="18"/>
          <w:szCs w:val="18"/>
          <w:lang w:val="en-US" w:bidi="en-US"/>
        </w:rPr>
        <w:t xml:space="preserve">all </w:t>
      </w:r>
      <w:r w:rsidRPr="00833C27">
        <w:rPr>
          <w:sz w:val="18"/>
          <w:szCs w:val="18"/>
          <w:lang w:val="en-US" w:bidi="en-US"/>
        </w:rPr>
        <w:t>KM data</w:t>
      </w:r>
      <w:r>
        <w:rPr>
          <w:sz w:val="18"/>
          <w:szCs w:val="18"/>
          <w:lang w:val="en-US" w:bidi="en-US"/>
        </w:rPr>
        <w:t>, including clinically implausible selections.</w:t>
      </w:r>
    </w:p>
    <w:sectPr w:rsidR="003B494A" w:rsidRPr="003B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FC8E" w14:textId="77777777" w:rsidR="00661E28" w:rsidRDefault="00661E28" w:rsidP="00DA04AD">
      <w:pPr>
        <w:spacing w:after="0" w:line="240" w:lineRule="auto"/>
      </w:pPr>
      <w:r>
        <w:separator/>
      </w:r>
    </w:p>
  </w:endnote>
  <w:endnote w:type="continuationSeparator" w:id="0">
    <w:p w14:paraId="414C907E" w14:textId="77777777" w:rsidR="00661E28" w:rsidRDefault="00661E28" w:rsidP="00D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AA6E" w14:textId="77777777" w:rsidR="00661E28" w:rsidRDefault="00661E28" w:rsidP="00DA04AD">
      <w:pPr>
        <w:spacing w:after="0" w:line="240" w:lineRule="auto"/>
      </w:pPr>
      <w:r>
        <w:separator/>
      </w:r>
    </w:p>
  </w:footnote>
  <w:footnote w:type="continuationSeparator" w:id="0">
    <w:p w14:paraId="50944CB8" w14:textId="77777777" w:rsidR="00661E28" w:rsidRDefault="00661E28" w:rsidP="00D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48C2"/>
    <w:multiLevelType w:val="hybridMultilevel"/>
    <w:tmpl w:val="1FC89A86"/>
    <w:lvl w:ilvl="0" w:tplc="771E411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4A"/>
    <w:rsid w:val="00011E70"/>
    <w:rsid w:val="0009190F"/>
    <w:rsid w:val="0017770A"/>
    <w:rsid w:val="001D44D6"/>
    <w:rsid w:val="00281F30"/>
    <w:rsid w:val="003062FD"/>
    <w:rsid w:val="003A5DCC"/>
    <w:rsid w:val="003B494A"/>
    <w:rsid w:val="003B5CCE"/>
    <w:rsid w:val="003D12A3"/>
    <w:rsid w:val="003E160A"/>
    <w:rsid w:val="004D4E14"/>
    <w:rsid w:val="004E039A"/>
    <w:rsid w:val="00560155"/>
    <w:rsid w:val="00661E28"/>
    <w:rsid w:val="00705CE5"/>
    <w:rsid w:val="007949A9"/>
    <w:rsid w:val="008A78D3"/>
    <w:rsid w:val="009A60B4"/>
    <w:rsid w:val="009B2931"/>
    <w:rsid w:val="00A82D88"/>
    <w:rsid w:val="00B274CF"/>
    <w:rsid w:val="00B44085"/>
    <w:rsid w:val="00C72454"/>
    <w:rsid w:val="00C741F5"/>
    <w:rsid w:val="00DA04AD"/>
    <w:rsid w:val="00E13A3F"/>
    <w:rsid w:val="00EC2300"/>
    <w:rsid w:val="00F37D13"/>
    <w:rsid w:val="00F52E38"/>
    <w:rsid w:val="00FB7AFB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499F9"/>
  <w15:chartTrackingRefBased/>
  <w15:docId w15:val="{90443E3F-0873-4537-AAEB-0D6B8BE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DCC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3B49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B494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nhideWhenUsed/>
    <w:qFormat/>
    <w:rsid w:val="003B494A"/>
    <w:pPr>
      <w:keepNext/>
      <w:spacing w:before="120" w:after="60" w:line="240" w:lineRule="auto"/>
    </w:pPr>
    <w:rPr>
      <w:rFonts w:ascii="Arial" w:eastAsiaTheme="majorEastAsia" w:hAnsi="Arial" w:cstheme="majorBidi"/>
      <w:b/>
      <w:color w:val="000000" w:themeColor="text1"/>
      <w:spacing w:val="10"/>
      <w:szCs w:val="18"/>
      <w:lang w:bidi="en-US"/>
    </w:rPr>
  </w:style>
  <w:style w:type="character" w:customStyle="1" w:styleId="CaptionChar">
    <w:name w:val="Caption Char"/>
    <w:link w:val="Caption"/>
    <w:locked/>
    <w:rsid w:val="003B494A"/>
    <w:rPr>
      <w:rFonts w:ascii="Arial" w:eastAsiaTheme="majorEastAsia" w:hAnsi="Arial" w:cstheme="majorBidi"/>
      <w:b/>
      <w:color w:val="000000" w:themeColor="text1"/>
      <w:spacing w:val="10"/>
      <w:szCs w:val="18"/>
      <w:lang w:bidi="en-US"/>
    </w:rPr>
  </w:style>
  <w:style w:type="paragraph" w:customStyle="1" w:styleId="TableHeading">
    <w:name w:val="Table Heading"/>
    <w:basedOn w:val="Normal"/>
    <w:link w:val="TableHeadingChar"/>
    <w:uiPriority w:val="3"/>
    <w:qFormat/>
    <w:rsid w:val="003B494A"/>
    <w:pPr>
      <w:keepNext/>
      <w:tabs>
        <w:tab w:val="left" w:pos="268"/>
      </w:tabs>
      <w:spacing w:before="60" w:after="60" w:line="240" w:lineRule="auto"/>
      <w:jc w:val="center"/>
    </w:pPr>
    <w:rPr>
      <w:rFonts w:ascii="Arial" w:eastAsiaTheme="majorEastAsia" w:hAnsi="Arial" w:cs="Arial"/>
      <w:b/>
      <w:sz w:val="20"/>
      <w:szCs w:val="20"/>
      <w:lang w:bidi="en-US"/>
    </w:rPr>
  </w:style>
  <w:style w:type="paragraph" w:customStyle="1" w:styleId="TableText">
    <w:name w:val="Table Text"/>
    <w:basedOn w:val="Normal"/>
    <w:link w:val="TableTextChar"/>
    <w:uiPriority w:val="3"/>
    <w:qFormat/>
    <w:rsid w:val="003B494A"/>
    <w:pPr>
      <w:tabs>
        <w:tab w:val="left" w:pos="0"/>
      </w:tabs>
      <w:spacing w:before="60" w:after="6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3B494A"/>
    <w:rPr>
      <w:rFonts w:ascii="Arial" w:eastAsiaTheme="majorEastAsia" w:hAnsi="Arial" w:cs="Arial"/>
      <w:b/>
      <w:sz w:val="20"/>
      <w:szCs w:val="20"/>
      <w:lang w:bidi="en-US"/>
    </w:rPr>
  </w:style>
  <w:style w:type="paragraph" w:customStyle="1" w:styleId="Legend">
    <w:name w:val="Legend"/>
    <w:basedOn w:val="Normal"/>
    <w:link w:val="LegendChar"/>
    <w:qFormat/>
    <w:rsid w:val="003B494A"/>
    <w:pPr>
      <w:spacing w:before="60" w:after="60" w:line="240" w:lineRule="auto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uiPriority w:val="3"/>
    <w:rsid w:val="003B494A"/>
    <w:rPr>
      <w:rFonts w:ascii="Arial" w:hAnsi="Arial" w:cs="Arial"/>
      <w:color w:val="000000" w:themeColor="text1"/>
      <w:sz w:val="20"/>
      <w:szCs w:val="20"/>
    </w:rPr>
  </w:style>
  <w:style w:type="character" w:customStyle="1" w:styleId="LegendChar">
    <w:name w:val="Legend Char"/>
    <w:basedOn w:val="DefaultParagraphFont"/>
    <w:link w:val="Legend"/>
    <w:rsid w:val="003B494A"/>
    <w:rPr>
      <w:rFonts w:ascii="Arial" w:hAnsi="Arial" w:cs="Arial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5DCC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82D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A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AD"/>
  </w:style>
  <w:style w:type="paragraph" w:styleId="Footer">
    <w:name w:val="footer"/>
    <w:basedOn w:val="Normal"/>
    <w:link w:val="FooterChar"/>
    <w:uiPriority w:val="99"/>
    <w:unhideWhenUsed/>
    <w:rsid w:val="00DA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lassification xmlns="b21ac9d8-7c22-462e-8612-c5e746934557">Confidential</Sensitivity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898910A2FC24FA4FFFB0F08EAE937" ma:contentTypeVersion="2" ma:contentTypeDescription="Create a new document." ma:contentTypeScope="" ma:versionID="afeedc018b5f2a72bc04425f109d4fbd">
  <xsd:schema xmlns:xsd="http://www.w3.org/2001/XMLSchema" xmlns:xs="http://www.w3.org/2001/XMLSchema" xmlns:p="http://schemas.microsoft.com/office/2006/metadata/properties" xmlns:ns2="b21ac9d8-7c22-462e-8612-c5e746934557" xmlns:ns3="28abb823-f5e6-45c3-b80f-e3349deded7c" targetNamespace="http://schemas.microsoft.com/office/2006/metadata/properties" ma:root="true" ma:fieldsID="891b4ed06cce17be190bfc4f9469d06d" ns2:_="" ns3:_="">
    <xsd:import namespace="b21ac9d8-7c22-462e-8612-c5e746934557"/>
    <xsd:import namespace="28abb823-f5e6-45c3-b80f-e3349deded7c"/>
    <xsd:element name="properties">
      <xsd:complexType>
        <xsd:sequence>
          <xsd:element name="documentManagement">
            <xsd:complexType>
              <xsd:all>
                <xsd:element ref="ns2:Sensitivity_x0020_Classificat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c9d8-7c22-462e-8612-c5e746934557" elementFormDefault="qualified">
    <xsd:import namespace="http://schemas.microsoft.com/office/2006/documentManagement/types"/>
    <xsd:import namespace="http://schemas.microsoft.com/office/infopath/2007/PartnerControls"/>
    <xsd:element name="Sensitivity_x0020_Classification" ma:index="8" ma:displayName="Sensitivity Classification" ma:internalName="Sensitivity_x0020_Classification">
      <xsd:simpleType>
        <xsd:restriction base="dms:Choice">
          <xsd:enumeration value="Sensitive (highest)"/>
          <xsd:enumeration value="Confidential"/>
          <xsd:enumeration value="Proprietar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823-f5e6-45c3-b80f-e3349deded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2B2B5E6-7568-40EC-A6DD-F038D071D062}">
  <ds:schemaRefs>
    <ds:schemaRef ds:uri="http://schemas.microsoft.com/office/2006/metadata/properties"/>
    <ds:schemaRef ds:uri="http://schemas.microsoft.com/office/infopath/2007/PartnerControls"/>
    <ds:schemaRef ds:uri="b21ac9d8-7c22-462e-8612-c5e746934557"/>
  </ds:schemaRefs>
</ds:datastoreItem>
</file>

<file path=customXml/itemProps2.xml><?xml version="1.0" encoding="utf-8"?>
<ds:datastoreItem xmlns:ds="http://schemas.openxmlformats.org/officeDocument/2006/customXml" ds:itemID="{31E5C86F-C949-4EEE-B3E7-AD8E47672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DE1DC-79EF-4A69-BE7B-FC45E8C7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c9d8-7c22-462e-8612-c5e746934557"/>
    <ds:schemaRef ds:uri="28abb823-f5e6-45c3-b80f-e3349ded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A4416-26B1-4484-B492-6BF564EC9D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Thurgar</dc:creator>
  <cp:keywords/>
  <dc:description/>
  <cp:lastModifiedBy>Jones, Mark</cp:lastModifiedBy>
  <cp:revision>3</cp:revision>
  <dcterms:created xsi:type="dcterms:W3CDTF">2021-03-02T13:55:00Z</dcterms:created>
  <dcterms:modified xsi:type="dcterms:W3CDTF">2021-04-12T10:57:00Z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f60c04ca-1742-4045-8a2a-240d90f9ac1a</vt:lpwstr>
  </property>
  <property fmtid="{D5CDD505-2E9C-101B-9397-08002B2CF9AE}" pid="3" name="bjSaver">
    <vt:lpwstr>e11Dn+W3KIBuID1Sn5pH+g1hDpxlUSpy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0x010100354898910A2FC24FA4FFFB0F08EAE937</vt:lpwstr>
  </property>
  <property fmtid="{D5CDD505-2E9C-101B-9397-08002B2CF9AE}" pid="8" name="MSIP_Label_2bbab825-a111-45e4-86a1-18cee0005896_Enabled">
    <vt:lpwstr>true</vt:lpwstr>
  </property>
  <property fmtid="{D5CDD505-2E9C-101B-9397-08002B2CF9AE}" pid="9" name="MSIP_Label_2bbab825-a111-45e4-86a1-18cee0005896_SetDate">
    <vt:lpwstr>2021-04-12T10:57:06Z</vt:lpwstr>
  </property>
  <property fmtid="{D5CDD505-2E9C-101B-9397-08002B2CF9AE}" pid="10" name="MSIP_Label_2bbab825-a111-45e4-86a1-18cee0005896_Method">
    <vt:lpwstr>Standard</vt:lpwstr>
  </property>
  <property fmtid="{D5CDD505-2E9C-101B-9397-08002B2CF9AE}" pid="11" name="MSIP_Label_2bbab825-a111-45e4-86a1-18cee0005896_Name">
    <vt:lpwstr>2bbab825-a111-45e4-86a1-18cee0005896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ActionId">
    <vt:lpwstr>ac2373e2-6176-4263-8d93-391c74585a2d</vt:lpwstr>
  </property>
  <property fmtid="{D5CDD505-2E9C-101B-9397-08002B2CF9AE}" pid="14" name="MSIP_Label_2bbab825-a111-45e4-86a1-18cee0005896_ContentBits">
    <vt:lpwstr>2</vt:lpwstr>
  </property>
</Properties>
</file>