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37D1" w14:textId="0E27ECE6" w:rsidR="00D04BCF" w:rsidRPr="003B40E6" w:rsidRDefault="00A90260" w:rsidP="0028587F">
      <w:pPr>
        <w:jc w:val="center"/>
        <w:rPr>
          <w:sz w:val="36"/>
          <w:szCs w:val="36"/>
        </w:rPr>
      </w:pPr>
      <w:r>
        <w:rPr>
          <w:sz w:val="36"/>
          <w:szCs w:val="36"/>
        </w:rPr>
        <w:t>Supporting Information</w:t>
      </w:r>
      <w:r w:rsidR="009743A9">
        <w:rPr>
          <w:sz w:val="36"/>
          <w:szCs w:val="36"/>
        </w:rPr>
        <w:t xml:space="preserve"> for</w:t>
      </w:r>
    </w:p>
    <w:p w14:paraId="29411C5A" w14:textId="77777777" w:rsidR="005001AC" w:rsidRDefault="005001AC"/>
    <w:p w14:paraId="6BCE4FF0" w14:textId="7B590944" w:rsidR="009D76C8" w:rsidRPr="009D76C8" w:rsidRDefault="009D76C8" w:rsidP="009D76C8">
      <w:pPr>
        <w:pStyle w:val="Authors"/>
        <w:rPr>
          <w:rFonts w:asciiTheme="majorBidi" w:hAnsiTheme="majorBidi" w:cstheme="majorBidi"/>
          <w:b/>
          <w:bCs/>
        </w:rPr>
      </w:pPr>
      <w:r w:rsidRPr="009D76C8">
        <w:rPr>
          <w:rFonts w:asciiTheme="majorBidi" w:hAnsiTheme="majorBidi" w:cstheme="majorBidi"/>
          <w:b/>
          <w:bCs/>
        </w:rPr>
        <w:t>Ancient DNA Analysis of Archaeological Specimens Extends Chinook Salmon’s Known Historic Range to San Francisco Bay</w:t>
      </w:r>
      <w:r w:rsidR="003000B2">
        <w:rPr>
          <w:rFonts w:asciiTheme="majorBidi" w:hAnsiTheme="majorBidi" w:cstheme="majorBidi"/>
          <w:b/>
          <w:bCs/>
        </w:rPr>
        <w:t>’s Tributaries</w:t>
      </w:r>
      <w:r w:rsidR="00BC28AA">
        <w:rPr>
          <w:rFonts w:asciiTheme="majorBidi" w:hAnsiTheme="majorBidi" w:cstheme="majorBidi"/>
          <w:b/>
          <w:bCs/>
        </w:rPr>
        <w:t xml:space="preserve"> </w:t>
      </w:r>
      <w:r w:rsidR="00F5622D">
        <w:rPr>
          <w:rFonts w:asciiTheme="majorBidi" w:hAnsiTheme="majorBidi" w:cstheme="majorBidi"/>
          <w:b/>
          <w:bCs/>
        </w:rPr>
        <w:t>and Its Southernmost Watershed</w:t>
      </w:r>
    </w:p>
    <w:p w14:paraId="16580DC0" w14:textId="2624C60B" w:rsidR="003D1C80" w:rsidRPr="00AF3C47" w:rsidRDefault="003D1C80" w:rsidP="003D1C80">
      <w:pPr>
        <w:pStyle w:val="Authors"/>
        <w:jc w:val="left"/>
        <w:rPr>
          <w:rFonts w:asciiTheme="majorBidi" w:hAnsiTheme="majorBidi" w:cstheme="majorBidi"/>
          <w:vertAlign w:val="superscript"/>
        </w:rPr>
      </w:pPr>
      <w:r w:rsidRPr="00AF3C47">
        <w:rPr>
          <w:rFonts w:asciiTheme="majorBidi" w:hAnsiTheme="majorBidi" w:cstheme="majorBidi"/>
        </w:rPr>
        <w:t>Richard B. Lanman</w:t>
      </w:r>
      <w:r w:rsidRPr="00AF3C47">
        <w:rPr>
          <w:rFonts w:asciiTheme="majorBidi" w:hAnsiTheme="majorBidi" w:cstheme="majorBidi"/>
          <w:vertAlign w:val="superscript"/>
        </w:rPr>
        <w:t>1,2</w:t>
      </w:r>
      <w:r w:rsidRPr="00AF3C47">
        <w:rPr>
          <w:rFonts w:asciiTheme="majorBidi" w:hAnsiTheme="majorBidi" w:cstheme="majorBidi"/>
        </w:rPr>
        <w:t>*, Linda Hylkema</w:t>
      </w:r>
      <w:r w:rsidRPr="00AF3C47">
        <w:rPr>
          <w:rFonts w:asciiTheme="majorBidi" w:hAnsiTheme="majorBidi" w:cstheme="majorBidi"/>
          <w:vertAlign w:val="superscript"/>
        </w:rPr>
        <w:t>3</w:t>
      </w:r>
      <w:r w:rsidRPr="00AF3C47">
        <w:rPr>
          <w:rFonts w:asciiTheme="majorBidi" w:hAnsiTheme="majorBidi" w:cstheme="majorBidi"/>
        </w:rPr>
        <w:t xml:space="preserve">, </w:t>
      </w:r>
      <w:proofErr w:type="spellStart"/>
      <w:r w:rsidRPr="00AF3C47">
        <w:rPr>
          <w:rFonts w:asciiTheme="majorBidi" w:hAnsiTheme="majorBidi" w:cstheme="majorBidi"/>
        </w:rPr>
        <w:t>Cristie</w:t>
      </w:r>
      <w:proofErr w:type="spellEnd"/>
      <w:r w:rsidRPr="00AF3C47">
        <w:rPr>
          <w:rFonts w:asciiTheme="majorBidi" w:hAnsiTheme="majorBidi" w:cstheme="majorBidi"/>
        </w:rPr>
        <w:t xml:space="preserve"> M. Boone</w:t>
      </w:r>
      <w:r w:rsidRPr="00AF3C47">
        <w:rPr>
          <w:rFonts w:asciiTheme="majorBidi" w:hAnsiTheme="majorBidi" w:cstheme="majorBidi"/>
          <w:vertAlign w:val="superscript"/>
        </w:rPr>
        <w:t>4</w:t>
      </w:r>
      <w:r w:rsidRPr="00AF3C47">
        <w:rPr>
          <w:rFonts w:asciiTheme="majorBidi" w:hAnsiTheme="majorBidi" w:cstheme="majorBidi"/>
        </w:rPr>
        <w:t>, Brian Allée</w:t>
      </w:r>
      <w:r w:rsidRPr="00AF3C47">
        <w:rPr>
          <w:rFonts w:asciiTheme="majorBidi" w:hAnsiTheme="majorBidi" w:cstheme="majorBidi"/>
          <w:vertAlign w:val="superscript"/>
        </w:rPr>
        <w:t>5</w:t>
      </w:r>
      <w:r w:rsidRPr="00AF3C47">
        <w:rPr>
          <w:rFonts w:asciiTheme="majorBidi" w:hAnsiTheme="majorBidi" w:cstheme="majorBidi"/>
        </w:rPr>
        <w:t>, Roger O. Castillo</w:t>
      </w:r>
      <w:r w:rsidRPr="00AF3C47">
        <w:rPr>
          <w:rFonts w:asciiTheme="majorBidi" w:hAnsiTheme="majorBidi" w:cstheme="majorBidi"/>
          <w:vertAlign w:val="superscript"/>
        </w:rPr>
        <w:t>6</w:t>
      </w:r>
      <w:r w:rsidRPr="00AF3C47">
        <w:rPr>
          <w:rFonts w:asciiTheme="majorBidi" w:hAnsiTheme="majorBidi" w:cstheme="majorBidi"/>
        </w:rPr>
        <w:t>, Stephanie A. Moreno</w:t>
      </w:r>
      <w:r w:rsidRPr="00AF3C47">
        <w:rPr>
          <w:rFonts w:asciiTheme="majorBidi" w:hAnsiTheme="majorBidi" w:cstheme="majorBidi"/>
          <w:vertAlign w:val="superscript"/>
        </w:rPr>
        <w:t>1</w:t>
      </w:r>
      <w:r w:rsidRPr="00AF3C47">
        <w:rPr>
          <w:rFonts w:asciiTheme="majorBidi" w:hAnsiTheme="majorBidi" w:cstheme="majorBidi"/>
        </w:rPr>
        <w:t>, Mary Faith Flores</w:t>
      </w:r>
      <w:r w:rsidRPr="00AF3C47">
        <w:rPr>
          <w:rFonts w:asciiTheme="majorBidi" w:hAnsiTheme="majorBidi" w:cstheme="majorBidi"/>
          <w:vertAlign w:val="superscript"/>
        </w:rPr>
        <w:t>7</w:t>
      </w:r>
      <w:r w:rsidRPr="00AF3C47">
        <w:rPr>
          <w:rFonts w:asciiTheme="majorBidi" w:hAnsiTheme="majorBidi" w:cstheme="majorBidi"/>
        </w:rPr>
        <w:t xml:space="preserve">, </w:t>
      </w:r>
      <w:proofErr w:type="spellStart"/>
      <w:r w:rsidRPr="00AF3C47">
        <w:rPr>
          <w:rFonts w:asciiTheme="majorBidi" w:hAnsiTheme="majorBidi" w:cstheme="majorBidi"/>
        </w:rPr>
        <w:t>Upuli</w:t>
      </w:r>
      <w:proofErr w:type="spellEnd"/>
      <w:r w:rsidRPr="00AF3C47">
        <w:rPr>
          <w:rFonts w:asciiTheme="majorBidi" w:hAnsiTheme="majorBidi" w:cstheme="majorBidi"/>
        </w:rPr>
        <w:t xml:space="preserve"> DeSilva</w:t>
      </w:r>
      <w:r w:rsidRPr="00AF3C47">
        <w:rPr>
          <w:rFonts w:asciiTheme="majorBidi" w:hAnsiTheme="majorBidi" w:cstheme="majorBidi"/>
          <w:vertAlign w:val="superscript"/>
        </w:rPr>
        <w:t>7</w:t>
      </w:r>
      <w:r w:rsidRPr="00AF3C47">
        <w:rPr>
          <w:rFonts w:asciiTheme="majorBidi" w:hAnsiTheme="majorBidi" w:cstheme="majorBidi"/>
        </w:rPr>
        <w:t>, Brittany Bingham</w:t>
      </w:r>
      <w:r w:rsidRPr="00AF3C47">
        <w:rPr>
          <w:rFonts w:asciiTheme="majorBidi" w:hAnsiTheme="majorBidi" w:cstheme="majorBidi"/>
          <w:vertAlign w:val="superscript"/>
        </w:rPr>
        <w:t>7</w:t>
      </w:r>
      <w:r w:rsidRPr="00AF3C47">
        <w:rPr>
          <w:rFonts w:asciiTheme="majorBidi" w:hAnsiTheme="majorBidi" w:cstheme="majorBidi"/>
        </w:rPr>
        <w:t>, Brian M. Kemp</w:t>
      </w:r>
      <w:r w:rsidRPr="00AF3C47">
        <w:rPr>
          <w:rFonts w:asciiTheme="majorBidi" w:hAnsiTheme="majorBidi" w:cstheme="majorBidi"/>
          <w:vertAlign w:val="superscript"/>
        </w:rPr>
        <w:t>7</w:t>
      </w:r>
    </w:p>
    <w:p w14:paraId="0648E06D" w14:textId="77777777" w:rsidR="000F0DCE" w:rsidRDefault="000F0DCE" w:rsidP="005001AC">
      <w:pPr>
        <w:jc w:val="center"/>
        <w:rPr>
          <w:szCs w:val="24"/>
        </w:rPr>
      </w:pPr>
    </w:p>
    <w:p w14:paraId="34D67477" w14:textId="31B73AEB" w:rsidR="004779CB" w:rsidRPr="003D1C80" w:rsidRDefault="00ED5CA4" w:rsidP="0028587F">
      <w:pPr>
        <w:rPr>
          <w:szCs w:val="24"/>
        </w:rPr>
      </w:pPr>
      <w:r>
        <w:rPr>
          <w:szCs w:val="24"/>
        </w:rPr>
        <w:t>*</w:t>
      </w:r>
      <w:r w:rsidR="00E4519A" w:rsidRPr="003D1C80">
        <w:rPr>
          <w:szCs w:val="24"/>
        </w:rPr>
        <w:t xml:space="preserve">Correspondence </w:t>
      </w:r>
      <w:r w:rsidR="004779CB" w:rsidRPr="003D1C80">
        <w:rPr>
          <w:szCs w:val="24"/>
        </w:rPr>
        <w:t>to:</w:t>
      </w:r>
      <w:r w:rsidR="00BC3E04" w:rsidRPr="003D1C80">
        <w:rPr>
          <w:szCs w:val="24"/>
        </w:rPr>
        <w:t xml:space="preserve"> </w:t>
      </w:r>
      <w:hyperlink r:id="rId7" w:history="1">
        <w:r w:rsidR="003D1C80" w:rsidRPr="007058AC">
          <w:rPr>
            <w:rStyle w:val="Hyperlink"/>
            <w:szCs w:val="24"/>
          </w:rPr>
          <w:t>ricklanman@gmail.com</w:t>
        </w:r>
      </w:hyperlink>
      <w:r w:rsidR="003D1C80" w:rsidRPr="003D1C80">
        <w:rPr>
          <w:szCs w:val="24"/>
        </w:rPr>
        <w:t xml:space="preserve"> (R</w:t>
      </w:r>
      <w:r w:rsidR="003D1C80">
        <w:rPr>
          <w:szCs w:val="24"/>
        </w:rPr>
        <w:t>.</w:t>
      </w:r>
      <w:r w:rsidR="003D1C80" w:rsidRPr="003D1C80">
        <w:rPr>
          <w:szCs w:val="24"/>
        </w:rPr>
        <w:t>B</w:t>
      </w:r>
      <w:r w:rsidR="003D1C80">
        <w:rPr>
          <w:szCs w:val="24"/>
        </w:rPr>
        <w:t>.</w:t>
      </w:r>
      <w:r w:rsidR="003D1C80" w:rsidRPr="003D1C80">
        <w:rPr>
          <w:szCs w:val="24"/>
        </w:rPr>
        <w:t>L</w:t>
      </w:r>
      <w:r w:rsidR="003D1C80">
        <w:rPr>
          <w:szCs w:val="24"/>
        </w:rPr>
        <w:t>.)</w:t>
      </w:r>
    </w:p>
    <w:p w14:paraId="223EBBEB" w14:textId="77777777" w:rsidR="002C030F" w:rsidRPr="003D1C80" w:rsidRDefault="002C030F"/>
    <w:p w14:paraId="56F29DC2" w14:textId="77777777" w:rsidR="008218C4" w:rsidRPr="0028587F" w:rsidRDefault="008218C4" w:rsidP="0028587F">
      <w:pPr>
        <w:pStyle w:val="SMText"/>
        <w:spacing w:line="480" w:lineRule="auto"/>
        <w:ind w:firstLine="0"/>
        <w:rPr>
          <w:rFonts w:asciiTheme="majorBidi" w:hAnsiTheme="majorBidi" w:cstheme="majorBidi"/>
          <w:szCs w:val="24"/>
        </w:rPr>
      </w:pPr>
      <w:bookmarkStart w:id="0" w:name="Tables"/>
      <w:bookmarkStart w:id="1" w:name="MaterialsMethods"/>
      <w:bookmarkEnd w:id="0"/>
      <w:bookmarkEnd w:id="1"/>
    </w:p>
    <w:p w14:paraId="59B9A462" w14:textId="1D98F8E5" w:rsidR="00ED5CA4" w:rsidRPr="008F58AD" w:rsidRDefault="00596912" w:rsidP="0028587F">
      <w:pPr>
        <w:spacing w:line="480" w:lineRule="auto"/>
        <w:rPr>
          <w:rFonts w:ascii="Helvetica" w:hAnsi="Helvetica" w:cstheme="majorBidi"/>
          <w:b/>
          <w:bCs/>
          <w:sz w:val="36"/>
          <w:szCs w:val="36"/>
        </w:rPr>
      </w:pPr>
      <w:r w:rsidRPr="008F58AD">
        <w:rPr>
          <w:rFonts w:ascii="Helvetica" w:hAnsi="Helvetica" w:cstheme="majorBidi"/>
          <w:b/>
          <w:bCs/>
          <w:sz w:val="36"/>
          <w:szCs w:val="36"/>
        </w:rPr>
        <w:t>Supporting Information</w:t>
      </w:r>
    </w:p>
    <w:p w14:paraId="4AB31A08" w14:textId="77777777" w:rsidR="006A2CAF" w:rsidRPr="008F58AD" w:rsidRDefault="006A2CAF" w:rsidP="006A2CAF">
      <w:pPr>
        <w:spacing w:line="480" w:lineRule="auto"/>
        <w:rPr>
          <w:rFonts w:asciiTheme="majorBidi" w:hAnsiTheme="majorBidi" w:cstheme="majorBidi"/>
          <w:b/>
          <w:sz w:val="32"/>
          <w:szCs w:val="32"/>
        </w:rPr>
      </w:pPr>
      <w:r w:rsidRPr="008F58AD">
        <w:rPr>
          <w:rFonts w:asciiTheme="majorBidi" w:hAnsiTheme="majorBidi" w:cstheme="majorBidi"/>
          <w:b/>
          <w:sz w:val="32"/>
          <w:szCs w:val="32"/>
        </w:rPr>
        <w:t>Description of Excavation Site</w:t>
      </w:r>
    </w:p>
    <w:p w14:paraId="662F1B92" w14:textId="678E379E" w:rsidR="006A2CAF" w:rsidRPr="00682F20" w:rsidRDefault="006A2CAF" w:rsidP="006A2CAF">
      <w:pPr>
        <w:spacing w:line="480" w:lineRule="auto"/>
        <w:rPr>
          <w:rFonts w:asciiTheme="majorBidi" w:hAnsiTheme="majorBidi" w:cstheme="majorBidi"/>
          <w:bCs/>
          <w:szCs w:val="24"/>
        </w:rPr>
      </w:pPr>
      <w:r w:rsidRPr="00682F20">
        <w:rPr>
          <w:rFonts w:asciiTheme="majorBidi" w:hAnsiTheme="majorBidi" w:cstheme="majorBidi"/>
          <w:bCs/>
          <w:szCs w:val="24"/>
        </w:rPr>
        <w:t xml:space="preserve">CA-SCL-30H is located </w:t>
      </w:r>
      <w:r>
        <w:rPr>
          <w:rFonts w:asciiTheme="majorBidi" w:hAnsiTheme="majorBidi" w:cstheme="majorBidi"/>
          <w:bCs/>
          <w:szCs w:val="24"/>
        </w:rPr>
        <w:t xml:space="preserve">in Santa Clara, Santa Clara County, California, </w:t>
      </w:r>
      <w:r w:rsidRPr="00682F20">
        <w:rPr>
          <w:rFonts w:asciiTheme="majorBidi" w:hAnsiTheme="majorBidi" w:cstheme="majorBidi"/>
          <w:bCs/>
          <w:szCs w:val="24"/>
        </w:rPr>
        <w:t>within the SE ¼ of the NW ¼ of the NE ¼ of Section 2, T. 7S. R. 1W</w:t>
      </w:r>
      <w:r>
        <w:rPr>
          <w:rFonts w:asciiTheme="majorBidi" w:hAnsiTheme="majorBidi" w:cstheme="majorBidi"/>
          <w:bCs/>
          <w:szCs w:val="24"/>
        </w:rPr>
        <w:t xml:space="preserve"> </w:t>
      </w:r>
      <w:r w:rsidRPr="00682F20">
        <w:rPr>
          <w:rFonts w:asciiTheme="majorBidi" w:hAnsiTheme="majorBidi" w:cstheme="majorBidi"/>
          <w:bCs/>
          <w:szCs w:val="24"/>
        </w:rPr>
        <w:t>on the San Jose West 7.5’ Quadrangle (PR 1980</w:t>
      </w:r>
      <w:r>
        <w:rPr>
          <w:rFonts w:asciiTheme="majorBidi" w:hAnsiTheme="majorBidi" w:cstheme="majorBidi"/>
          <w:bCs/>
          <w:szCs w:val="24"/>
        </w:rPr>
        <w:t>)</w:t>
      </w:r>
      <w:r w:rsidR="00A14F57">
        <w:rPr>
          <w:rFonts w:asciiTheme="majorBidi" w:hAnsiTheme="majorBidi" w:cstheme="majorBidi"/>
          <w:bCs/>
          <w:szCs w:val="24"/>
        </w:rPr>
        <w:t xml:space="preserve"> </w:t>
      </w:r>
      <w:r w:rsidR="00A14F57">
        <w:rPr>
          <w:rFonts w:asciiTheme="majorBidi" w:hAnsiTheme="majorBidi" w:cstheme="majorBidi"/>
          <w:bCs/>
          <w:szCs w:val="24"/>
        </w:rPr>
        <w:fldChar w:fldCharType="begin"/>
      </w:r>
      <w:r w:rsidR="00A14F57">
        <w:rPr>
          <w:rFonts w:asciiTheme="majorBidi" w:hAnsiTheme="majorBidi" w:cstheme="majorBidi"/>
          <w:bCs/>
          <w:szCs w:val="24"/>
        </w:rPr>
        <w:instrText xml:space="preserve"> ADDIN ZOTERO_ITEM CSL_CITATION {"citationID":"jY4kyCku","properties":{"formattedCitation":"[1]","plainCitation":"[1]","noteIndex":0},"citationItems":[{"id":11290,"uris":["http://zotero.org/users/2116397/items/ZFEZNVRC"],"uri":["http://zotero.org/users/2116397/items/ZFEZNVRC"],"itemData":{"id":11290,"type":"report","event-place":"Santa Clara, California","publisher":"Santa Clara University","publisher-place":"Santa Clara, California","title":"The Indian Rancheria at Mission Santa Clara de Asis: Cultural Resources Mitigation for the Edward M. Dowd Art and Art History Building and Parking Structure, edited by S. Peelo and L. Hylkema. Santa Clara University Cultural Resource Management Heritage Stewardship Reports, L. Hylkema, general editor.","author":[{"literal":"Peelo, S."},{"literal":"Hylkema, L."},{"literal":"Blount, C."},{"literal":"Garlinghouse, T."},{"literal":"Ellison, J."},{"literal":"Boone, C. M."},{"literal":"McKenzie, D."},{"literal":"Spellman, C."},{"literal":"Phillip, R."},{"literal":"Hylkema, M .G."},{"literal":"Maher, M. M."},{"literal":"Wohlgemuth, E."},{"literal":"D'Oro, S."}],"issued":{"literal":"In Press"}}}],"schema":"https://github.com/citation-style-language/schema/raw/master/csl-citation.json"} </w:instrText>
      </w:r>
      <w:r w:rsidR="00A14F57">
        <w:rPr>
          <w:rFonts w:asciiTheme="majorBidi" w:hAnsiTheme="majorBidi" w:cstheme="majorBidi"/>
          <w:bCs/>
          <w:szCs w:val="24"/>
        </w:rPr>
        <w:fldChar w:fldCharType="separate"/>
      </w:r>
      <w:r w:rsidR="00A14F57">
        <w:rPr>
          <w:rFonts w:asciiTheme="majorBidi" w:hAnsiTheme="majorBidi" w:cstheme="majorBidi"/>
          <w:bCs/>
          <w:noProof/>
          <w:szCs w:val="24"/>
        </w:rPr>
        <w:t>[1]</w:t>
      </w:r>
      <w:r w:rsidR="00A14F57">
        <w:rPr>
          <w:rFonts w:asciiTheme="majorBidi" w:hAnsiTheme="majorBidi" w:cstheme="majorBidi"/>
          <w:bCs/>
          <w:szCs w:val="24"/>
        </w:rPr>
        <w:fldChar w:fldCharType="end"/>
      </w:r>
      <w:r w:rsidRPr="00682F20">
        <w:rPr>
          <w:rFonts w:asciiTheme="majorBidi" w:hAnsiTheme="majorBidi" w:cstheme="majorBidi"/>
          <w:bCs/>
          <w:szCs w:val="24"/>
        </w:rPr>
        <w:t>.</w:t>
      </w:r>
      <w:r>
        <w:rPr>
          <w:rFonts w:asciiTheme="majorBidi" w:hAnsiTheme="majorBidi" w:cstheme="majorBidi"/>
          <w:bCs/>
          <w:szCs w:val="24"/>
        </w:rPr>
        <w:t xml:space="preserve"> </w:t>
      </w:r>
      <w:r w:rsidRPr="00682F20">
        <w:rPr>
          <w:rFonts w:asciiTheme="majorBidi" w:hAnsiTheme="majorBidi" w:cstheme="majorBidi"/>
          <w:bCs/>
          <w:szCs w:val="24"/>
        </w:rPr>
        <w:t xml:space="preserve">The present drainage of the Guadalupe River is </w:t>
      </w:r>
      <w:r>
        <w:rPr>
          <w:rFonts w:asciiTheme="majorBidi" w:hAnsiTheme="majorBidi" w:cstheme="majorBidi"/>
          <w:bCs/>
          <w:szCs w:val="24"/>
        </w:rPr>
        <w:t>2.5 km (</w:t>
      </w:r>
      <w:r w:rsidRPr="00682F20">
        <w:rPr>
          <w:rFonts w:asciiTheme="majorBidi" w:hAnsiTheme="majorBidi" w:cstheme="majorBidi"/>
          <w:bCs/>
          <w:szCs w:val="24"/>
        </w:rPr>
        <w:t>1</w:t>
      </w:r>
      <w:r>
        <w:rPr>
          <w:rFonts w:asciiTheme="majorBidi" w:hAnsiTheme="majorBidi" w:cstheme="majorBidi"/>
          <w:bCs/>
          <w:szCs w:val="24"/>
        </w:rPr>
        <w:t>.5</w:t>
      </w:r>
      <w:r w:rsidRPr="00682F20">
        <w:rPr>
          <w:rFonts w:asciiTheme="majorBidi" w:hAnsiTheme="majorBidi" w:cstheme="majorBidi"/>
          <w:bCs/>
          <w:szCs w:val="24"/>
        </w:rPr>
        <w:t xml:space="preserve"> miles</w:t>
      </w:r>
      <w:r>
        <w:rPr>
          <w:rFonts w:asciiTheme="majorBidi" w:hAnsiTheme="majorBidi" w:cstheme="majorBidi"/>
          <w:bCs/>
          <w:szCs w:val="24"/>
        </w:rPr>
        <w:t>)</w:t>
      </w:r>
      <w:r w:rsidRPr="00682F20">
        <w:rPr>
          <w:rFonts w:asciiTheme="majorBidi" w:hAnsiTheme="majorBidi" w:cstheme="majorBidi"/>
          <w:bCs/>
          <w:szCs w:val="24"/>
        </w:rPr>
        <w:t xml:space="preserve"> due east of the site and Saratoga Creek</w:t>
      </w:r>
      <w:r>
        <w:rPr>
          <w:rFonts w:asciiTheme="majorBidi" w:hAnsiTheme="majorBidi" w:cstheme="majorBidi"/>
          <w:bCs/>
          <w:szCs w:val="24"/>
        </w:rPr>
        <w:t xml:space="preserve"> </w:t>
      </w:r>
      <w:r w:rsidRPr="00682F20">
        <w:rPr>
          <w:rFonts w:asciiTheme="majorBidi" w:hAnsiTheme="majorBidi" w:cstheme="majorBidi"/>
          <w:bCs/>
          <w:szCs w:val="24"/>
        </w:rPr>
        <w:t>drainage lies approximately 2 miles to the</w:t>
      </w:r>
      <w:r>
        <w:rPr>
          <w:rFonts w:asciiTheme="majorBidi" w:hAnsiTheme="majorBidi" w:cstheme="majorBidi"/>
          <w:bCs/>
          <w:szCs w:val="24"/>
        </w:rPr>
        <w:t xml:space="preserve"> </w:t>
      </w:r>
      <w:r w:rsidRPr="00682F20">
        <w:rPr>
          <w:rFonts w:asciiTheme="majorBidi" w:hAnsiTheme="majorBidi" w:cstheme="majorBidi"/>
          <w:bCs/>
          <w:szCs w:val="24"/>
        </w:rPr>
        <w:t>west. The Third Mission Santa Clara is located</w:t>
      </w:r>
      <w:r>
        <w:rPr>
          <w:rFonts w:asciiTheme="majorBidi" w:hAnsiTheme="majorBidi" w:cstheme="majorBidi"/>
          <w:bCs/>
          <w:szCs w:val="24"/>
        </w:rPr>
        <w:t xml:space="preserve"> </w:t>
      </w:r>
      <w:r w:rsidRPr="00682F20">
        <w:rPr>
          <w:rFonts w:asciiTheme="majorBidi" w:hAnsiTheme="majorBidi" w:cstheme="majorBidi"/>
          <w:bCs/>
          <w:szCs w:val="24"/>
        </w:rPr>
        <w:t>approximately 3 miles to the northwest of</w:t>
      </w:r>
      <w:r>
        <w:rPr>
          <w:rFonts w:asciiTheme="majorBidi" w:hAnsiTheme="majorBidi" w:cstheme="majorBidi"/>
          <w:bCs/>
          <w:szCs w:val="24"/>
        </w:rPr>
        <w:t xml:space="preserve"> </w:t>
      </w:r>
      <w:r w:rsidRPr="00682F20">
        <w:rPr>
          <w:rFonts w:asciiTheme="majorBidi" w:hAnsiTheme="majorBidi" w:cstheme="majorBidi"/>
          <w:bCs/>
          <w:szCs w:val="24"/>
        </w:rPr>
        <w:t>downtown San Jose (Old Pueblo de San Jose). The</w:t>
      </w:r>
      <w:r>
        <w:rPr>
          <w:rFonts w:asciiTheme="majorBidi" w:hAnsiTheme="majorBidi" w:cstheme="majorBidi"/>
          <w:bCs/>
          <w:szCs w:val="24"/>
        </w:rPr>
        <w:t xml:space="preserve"> </w:t>
      </w:r>
      <w:r w:rsidRPr="00682F20">
        <w:rPr>
          <w:rFonts w:asciiTheme="majorBidi" w:hAnsiTheme="majorBidi" w:cstheme="majorBidi"/>
          <w:bCs/>
          <w:szCs w:val="24"/>
        </w:rPr>
        <w:t>elevation of the site is approximately 70 feet</w:t>
      </w:r>
      <w:r>
        <w:rPr>
          <w:rFonts w:asciiTheme="majorBidi" w:hAnsiTheme="majorBidi" w:cstheme="majorBidi"/>
          <w:bCs/>
          <w:szCs w:val="24"/>
        </w:rPr>
        <w:t xml:space="preserve"> </w:t>
      </w:r>
      <w:r w:rsidRPr="00682F20">
        <w:rPr>
          <w:rFonts w:asciiTheme="majorBidi" w:hAnsiTheme="majorBidi" w:cstheme="majorBidi"/>
          <w:bCs/>
          <w:szCs w:val="24"/>
        </w:rPr>
        <w:t>above mean sea level</w:t>
      </w:r>
      <w:r>
        <w:rPr>
          <w:rFonts w:asciiTheme="majorBidi" w:hAnsiTheme="majorBidi" w:cstheme="majorBidi"/>
          <w:bCs/>
          <w:szCs w:val="24"/>
        </w:rPr>
        <w:t>.</w:t>
      </w:r>
    </w:p>
    <w:p w14:paraId="384192B8" w14:textId="78F7DA23" w:rsidR="006A2CAF" w:rsidRPr="008F58AD" w:rsidRDefault="006A2CAF" w:rsidP="006A2CAF">
      <w:pPr>
        <w:spacing w:line="480" w:lineRule="auto"/>
        <w:rPr>
          <w:rFonts w:asciiTheme="majorBidi" w:hAnsiTheme="majorBidi" w:cstheme="majorBidi"/>
          <w:b/>
          <w:sz w:val="32"/>
          <w:szCs w:val="32"/>
        </w:rPr>
      </w:pPr>
      <w:r w:rsidRPr="008F58AD">
        <w:rPr>
          <w:rFonts w:asciiTheme="majorBidi" w:hAnsiTheme="majorBidi" w:cstheme="majorBidi"/>
          <w:b/>
          <w:sz w:val="32"/>
          <w:szCs w:val="32"/>
        </w:rPr>
        <w:t>Legal Entitlement Process for Santa Clara University Archaeological Work at Mission Santa Clara</w:t>
      </w:r>
    </w:p>
    <w:p w14:paraId="46A67F26" w14:textId="77777777" w:rsidR="006A2CAF" w:rsidRPr="001A0B03" w:rsidRDefault="006A2CAF" w:rsidP="006A2CAF">
      <w:pPr>
        <w:spacing w:line="480" w:lineRule="auto"/>
        <w:rPr>
          <w:rFonts w:asciiTheme="majorBidi" w:hAnsiTheme="majorBidi" w:cstheme="majorBidi"/>
          <w:szCs w:val="24"/>
        </w:rPr>
      </w:pPr>
      <w:r w:rsidRPr="001A0B03">
        <w:rPr>
          <w:rFonts w:asciiTheme="majorBidi" w:hAnsiTheme="majorBidi" w:cstheme="majorBidi"/>
          <w:szCs w:val="24"/>
        </w:rPr>
        <w:t xml:space="preserve">Santa Clara University (SCU) published a Final Environmental Impact Report (FEIR) for a </w:t>
      </w:r>
      <w:proofErr w:type="gramStart"/>
      <w:r w:rsidRPr="001A0B03">
        <w:rPr>
          <w:rFonts w:asciiTheme="majorBidi" w:hAnsiTheme="majorBidi" w:cstheme="majorBidi"/>
          <w:szCs w:val="24"/>
        </w:rPr>
        <w:t>Ten Year</w:t>
      </w:r>
      <w:proofErr w:type="gramEnd"/>
      <w:r w:rsidRPr="001A0B03">
        <w:rPr>
          <w:rFonts w:asciiTheme="majorBidi" w:hAnsiTheme="majorBidi" w:cstheme="majorBidi"/>
          <w:szCs w:val="24"/>
        </w:rPr>
        <w:t xml:space="preserve"> Capital Plan in early 2003. The </w:t>
      </w:r>
      <w:proofErr w:type="gramStart"/>
      <w:r w:rsidRPr="001A0B03">
        <w:rPr>
          <w:rFonts w:asciiTheme="majorBidi" w:hAnsiTheme="majorBidi" w:cstheme="majorBidi"/>
          <w:szCs w:val="24"/>
        </w:rPr>
        <w:t>Ten</w:t>
      </w:r>
      <w:r>
        <w:rPr>
          <w:rFonts w:asciiTheme="majorBidi" w:hAnsiTheme="majorBidi" w:cstheme="majorBidi"/>
          <w:szCs w:val="24"/>
        </w:rPr>
        <w:t xml:space="preserve"> </w:t>
      </w:r>
      <w:r w:rsidRPr="001A0B03">
        <w:rPr>
          <w:rFonts w:asciiTheme="majorBidi" w:hAnsiTheme="majorBidi" w:cstheme="majorBidi"/>
          <w:szCs w:val="24"/>
        </w:rPr>
        <w:t>Year</w:t>
      </w:r>
      <w:proofErr w:type="gramEnd"/>
      <w:r w:rsidRPr="001A0B03">
        <w:rPr>
          <w:rFonts w:asciiTheme="majorBidi" w:hAnsiTheme="majorBidi" w:cstheme="majorBidi"/>
          <w:szCs w:val="24"/>
        </w:rPr>
        <w:t xml:space="preserve"> Capital Plan outlined a proposed building plan that called for several campus improvement projects, including improvements or additions for </w:t>
      </w:r>
      <w:r w:rsidRPr="001A0B03">
        <w:rPr>
          <w:rFonts w:asciiTheme="majorBidi" w:hAnsiTheme="majorBidi" w:cstheme="majorBidi"/>
          <w:szCs w:val="24"/>
        </w:rPr>
        <w:lastRenderedPageBreak/>
        <w:t>numerous locations across campus. This included development within the areas defined archaeologically as the Mission Santa Clara Rancheria and that are the subject of this article.</w:t>
      </w:r>
    </w:p>
    <w:p w14:paraId="67E4AC4E" w14:textId="6B9DC86F" w:rsidR="006A2CAF" w:rsidRPr="006A2CAF" w:rsidRDefault="006A2CAF" w:rsidP="006A2CAF">
      <w:pPr>
        <w:spacing w:line="480" w:lineRule="auto"/>
        <w:rPr>
          <w:rFonts w:asciiTheme="majorBidi" w:hAnsiTheme="majorBidi" w:cstheme="majorBidi"/>
          <w:szCs w:val="24"/>
        </w:rPr>
      </w:pPr>
      <w:r w:rsidRPr="001A0B03">
        <w:rPr>
          <w:rFonts w:asciiTheme="majorBidi" w:hAnsiTheme="majorBidi" w:cstheme="majorBidi"/>
          <w:szCs w:val="24"/>
        </w:rPr>
        <w:t>The FEIR provided information concerning the environmental consequences of SCU’s building plan (SCU 2003). A Draft EIR was sent for comment to several local and state-wide governing agencies. Comments were received from: the California Department of Transportation (Caltrans); the California Regional Water Quality Control Board; the Santa Clara Valley Transportation Authority; the City of Santa Clara Historical and Landmarks Commission; the City of Santa Clara Planning Commission Cultural Resources Sub-Committee; and Santa Clara University. The FEIR conformed to guidelines set forth by the California Environmental Quality Act (CEQA). It stated that if the proposed capital plan had a significant effect on the environment, specific actions would be taken to mitigate or avoid those impacts.</w:t>
      </w:r>
      <w:r>
        <w:rPr>
          <w:rFonts w:asciiTheme="majorBidi" w:hAnsiTheme="majorBidi" w:cstheme="majorBidi"/>
          <w:szCs w:val="24"/>
        </w:rPr>
        <w:t xml:space="preserve"> </w:t>
      </w:r>
      <w:r w:rsidRPr="001A0B03">
        <w:rPr>
          <w:rFonts w:asciiTheme="majorBidi" w:hAnsiTheme="majorBidi" w:cstheme="majorBidi"/>
          <w:szCs w:val="24"/>
        </w:rPr>
        <w:t>The City of Santa Clara is a Certified Local Government. As such, it has review authority for all cultural documents written on sites within City boundaries, including those on the SCU campus.</w:t>
      </w:r>
      <w:r>
        <w:rPr>
          <w:rFonts w:asciiTheme="majorBidi" w:hAnsiTheme="majorBidi" w:cstheme="majorBidi"/>
          <w:szCs w:val="24"/>
        </w:rPr>
        <w:t xml:space="preserve"> A Cultural Resources</w:t>
      </w:r>
      <w:r w:rsidRPr="001A0B03">
        <w:rPr>
          <w:rFonts w:asciiTheme="majorBidi" w:hAnsiTheme="majorBidi" w:cstheme="majorBidi"/>
          <w:szCs w:val="24"/>
        </w:rPr>
        <w:t xml:space="preserve"> Treatment Plan </w:t>
      </w:r>
      <w:r>
        <w:rPr>
          <w:rFonts w:asciiTheme="majorBidi" w:hAnsiTheme="majorBidi" w:cstheme="majorBidi"/>
          <w:szCs w:val="24"/>
        </w:rPr>
        <w:t>was drafted</w:t>
      </w:r>
      <w:r w:rsidRPr="001A0B03">
        <w:rPr>
          <w:rFonts w:asciiTheme="majorBidi" w:hAnsiTheme="majorBidi" w:cstheme="majorBidi"/>
          <w:szCs w:val="24"/>
        </w:rPr>
        <w:t xml:space="preserve"> in part based on previous plans and research designs written by the various team </w:t>
      </w:r>
      <w:proofErr w:type="gramStart"/>
      <w:r>
        <w:rPr>
          <w:rFonts w:asciiTheme="majorBidi" w:hAnsiTheme="majorBidi" w:cstheme="majorBidi"/>
          <w:szCs w:val="24"/>
        </w:rPr>
        <w:t>members, and</w:t>
      </w:r>
      <w:proofErr w:type="gramEnd"/>
      <w:r>
        <w:rPr>
          <w:rFonts w:asciiTheme="majorBidi" w:hAnsiTheme="majorBidi" w:cstheme="majorBidi"/>
          <w:szCs w:val="24"/>
        </w:rPr>
        <w:t xml:space="preserve"> was</w:t>
      </w:r>
      <w:r w:rsidRPr="001A0B03">
        <w:rPr>
          <w:rFonts w:asciiTheme="majorBidi" w:hAnsiTheme="majorBidi" w:cstheme="majorBidi"/>
          <w:szCs w:val="24"/>
        </w:rPr>
        <w:t xml:space="preserve"> also derived from other urban area Treatment Plans written in the last decade</w:t>
      </w:r>
      <w:r>
        <w:rPr>
          <w:rFonts w:asciiTheme="majorBidi" w:hAnsiTheme="majorBidi" w:cstheme="majorBidi"/>
          <w:szCs w:val="24"/>
        </w:rPr>
        <w:t xml:space="preserve"> in the San Francisco Bay region (references available upon request).</w:t>
      </w:r>
    </w:p>
    <w:p w14:paraId="098F576A" w14:textId="77777777" w:rsidR="00ED5CA4" w:rsidRPr="008F58AD" w:rsidRDefault="00ED5CA4" w:rsidP="0028587F">
      <w:pPr>
        <w:spacing w:line="480" w:lineRule="auto"/>
        <w:rPr>
          <w:rFonts w:asciiTheme="majorBidi" w:hAnsiTheme="majorBidi" w:cstheme="majorBidi"/>
          <w:b/>
          <w:bCs/>
          <w:sz w:val="32"/>
          <w:szCs w:val="32"/>
        </w:rPr>
      </w:pPr>
      <w:r w:rsidRPr="008F58AD">
        <w:rPr>
          <w:rFonts w:asciiTheme="majorBidi" w:hAnsiTheme="majorBidi" w:cstheme="majorBidi"/>
          <w:b/>
          <w:bCs/>
          <w:sz w:val="32"/>
          <w:szCs w:val="32"/>
        </w:rPr>
        <w:t>Ancient DNA Sequencing Methods</w:t>
      </w:r>
    </w:p>
    <w:p w14:paraId="70EEDFEA" w14:textId="77777777" w:rsidR="00ED5CA4" w:rsidRPr="0028587F" w:rsidRDefault="00ED5CA4" w:rsidP="0028587F">
      <w:pPr>
        <w:spacing w:line="480" w:lineRule="auto"/>
        <w:rPr>
          <w:rFonts w:asciiTheme="majorBidi" w:hAnsiTheme="majorBidi" w:cstheme="majorBidi"/>
          <w:szCs w:val="24"/>
        </w:rPr>
      </w:pPr>
      <w:r w:rsidRPr="0028587F">
        <w:rPr>
          <w:rFonts w:asciiTheme="majorBidi" w:hAnsiTheme="majorBidi" w:cstheme="majorBidi"/>
          <w:szCs w:val="24"/>
        </w:rPr>
        <w:t>All pre-polymerase chain reaction (PCR) activities were conducted in the ancient DNA (aDNA) facility at the Laboratories of Molecular Anthropology and Microbiome Research (LMAMR) at the University of Oklahoma. This facility is a dedicated workspace for processing aged, degraded, and/or low copy number DNA samples. Precautions aimed to minimize and monitor the introduction of contamination are practiced in the laboratory.</w:t>
      </w:r>
    </w:p>
    <w:p w14:paraId="77721FC7" w14:textId="77777777" w:rsidR="00571987" w:rsidRPr="008F58AD" w:rsidRDefault="00ED5CA4" w:rsidP="00571987">
      <w:pPr>
        <w:spacing w:line="480" w:lineRule="auto"/>
        <w:rPr>
          <w:rFonts w:asciiTheme="majorBidi" w:hAnsiTheme="majorBidi" w:cstheme="majorBidi"/>
          <w:b/>
          <w:sz w:val="32"/>
          <w:szCs w:val="32"/>
        </w:rPr>
      </w:pPr>
      <w:r w:rsidRPr="008F58AD">
        <w:rPr>
          <w:rFonts w:asciiTheme="majorBidi" w:hAnsiTheme="majorBidi" w:cstheme="majorBidi"/>
          <w:b/>
          <w:sz w:val="32"/>
          <w:szCs w:val="32"/>
        </w:rPr>
        <w:lastRenderedPageBreak/>
        <w:t>DNA Extraction</w:t>
      </w:r>
    </w:p>
    <w:p w14:paraId="6FDCE93F" w14:textId="4223C226" w:rsidR="00ED5CA4" w:rsidRPr="00571987" w:rsidRDefault="00ED5CA4" w:rsidP="00571987">
      <w:pPr>
        <w:spacing w:line="480" w:lineRule="auto"/>
        <w:rPr>
          <w:rFonts w:asciiTheme="majorBidi" w:hAnsiTheme="majorBidi" w:cstheme="majorBidi"/>
          <w:b/>
          <w:szCs w:val="24"/>
        </w:rPr>
      </w:pPr>
      <w:r w:rsidRPr="0028587F">
        <w:rPr>
          <w:rFonts w:asciiTheme="majorBidi" w:hAnsiTheme="majorBidi" w:cstheme="majorBidi"/>
          <w:szCs w:val="24"/>
        </w:rPr>
        <w:t xml:space="preserve">DNA was extracted from </w:t>
      </w:r>
      <w:r w:rsidR="000A37EA">
        <w:rPr>
          <w:rFonts w:asciiTheme="majorBidi" w:hAnsiTheme="majorBidi" w:cstheme="majorBidi"/>
          <w:szCs w:val="24"/>
        </w:rPr>
        <w:t>88</w:t>
      </w:r>
      <w:r w:rsidRPr="0028587F">
        <w:rPr>
          <w:rFonts w:asciiTheme="majorBidi" w:hAnsiTheme="majorBidi" w:cstheme="majorBidi"/>
          <w:szCs w:val="24"/>
        </w:rPr>
        <w:t xml:space="preserve"> salmonid vertebrae. Eighty-one vertebrae were small (~2-4 mm in diameter), relatively complete, and weighed 0.3-25.2 mg. The whole of each of these samples was exhausted for DNA extraction. Five vertebrae were larger, but largely incomplete. </w:t>
      </w:r>
      <w:r w:rsidR="006E424B" w:rsidRPr="0028587F">
        <w:rPr>
          <w:rFonts w:asciiTheme="majorBidi" w:hAnsiTheme="majorBidi" w:cstheme="majorBidi"/>
          <w:szCs w:val="24"/>
        </w:rPr>
        <w:t>Sample 3.4 weighed 49.2 mg, sample 3.6 weighed 27.9 mg, and sample 7.4 weighed 5.9 mg, and these were exhausted for DNA extraction. From the remaining two samples (1.5 and 3.3) we carefully subsampled each from the whole 56 mg and 50.4 mg of bone, respectively, with a single use razor blade.</w:t>
      </w:r>
      <w:r w:rsidRPr="0028587F">
        <w:rPr>
          <w:rFonts w:asciiTheme="majorBidi" w:hAnsiTheme="majorBidi" w:cstheme="majorBidi"/>
          <w:szCs w:val="24"/>
        </w:rPr>
        <w:t xml:space="preserve"> All samples were submerged in 6% (w/v) sodium hypochlorite for 4 minutes </w:t>
      </w:r>
      <w:r w:rsidR="00571987">
        <w:rPr>
          <w:rFonts w:asciiTheme="majorBidi" w:hAnsiTheme="majorBidi" w:cstheme="majorBidi"/>
          <w:szCs w:val="24"/>
        </w:rPr>
        <w:fldChar w:fldCharType="begin"/>
      </w:r>
      <w:r w:rsidR="00571987">
        <w:rPr>
          <w:rFonts w:asciiTheme="majorBidi" w:hAnsiTheme="majorBidi" w:cstheme="majorBidi"/>
          <w:szCs w:val="24"/>
        </w:rPr>
        <w:instrText xml:space="preserve"> ADDIN ZOTERO_ITEM CSL_CITATION {"citationID":"1kjPMJW4","properties":{"formattedCitation":"[2]","plainCitation":"[2]","noteIndex":0},"citationItems":[{"id":11428,"uris":["http://zotero.org/users/2116397/items/KP3YKKYA"],"uri":["http://zotero.org/users/2116397/items/KP3YKKYA"],"itemData":{"id":11428,"type":"article-journal","container-title":"Forensic Science International","DOI":"10.1016/j.forsciint.2013.06.004","ISSN":"03790738","issue":"1-3","journalAbbreviation":"Forensic Science International","language":"en","page":"340-348","source":"DOI.org (Crossref)","title":"Further evaluation of the efficacy of contamination removal from bone surfaces","volume":"231","author":[{"family":"Barta","given":"Jodi Lynn"},{"family":"Monroe","given":"Cara"},{"family":"Kemp","given":"Brian M."}],"issued":{"date-parts":[["2013",9]]}}}],"schema":"https://github.com/citation-style-language/schema/raw/master/csl-citation.json"} </w:instrText>
      </w:r>
      <w:r w:rsidR="00571987">
        <w:rPr>
          <w:rFonts w:asciiTheme="majorBidi" w:hAnsiTheme="majorBidi" w:cstheme="majorBidi"/>
          <w:szCs w:val="24"/>
        </w:rPr>
        <w:fldChar w:fldCharType="separate"/>
      </w:r>
      <w:r w:rsidR="00571987">
        <w:rPr>
          <w:rFonts w:asciiTheme="majorBidi" w:hAnsiTheme="majorBidi" w:cstheme="majorBidi"/>
          <w:noProof/>
          <w:szCs w:val="24"/>
        </w:rPr>
        <w:t>[2]</w:t>
      </w:r>
      <w:r w:rsidR="00571987">
        <w:rPr>
          <w:rFonts w:asciiTheme="majorBidi" w:hAnsiTheme="majorBidi" w:cstheme="majorBidi"/>
          <w:szCs w:val="24"/>
        </w:rPr>
        <w:fldChar w:fldCharType="end"/>
      </w:r>
      <w:r w:rsidRPr="0028587F">
        <w:rPr>
          <w:rFonts w:asciiTheme="majorBidi" w:hAnsiTheme="majorBidi" w:cstheme="majorBidi"/>
          <w:szCs w:val="24"/>
        </w:rPr>
        <w:t>. The sodium hypochlorite was poured off and the samples were quickly submerged in DNA-free water twice.</w:t>
      </w:r>
    </w:p>
    <w:p w14:paraId="0955CF0A" w14:textId="77777777" w:rsidR="00ED5CA4" w:rsidRPr="0028587F" w:rsidRDefault="00ED5CA4" w:rsidP="00571987">
      <w:pPr>
        <w:spacing w:line="480" w:lineRule="auto"/>
        <w:ind w:firstLine="720"/>
        <w:rPr>
          <w:rFonts w:asciiTheme="majorBidi" w:hAnsiTheme="majorBidi" w:cstheme="majorBidi"/>
          <w:szCs w:val="24"/>
        </w:rPr>
      </w:pPr>
      <w:r w:rsidRPr="0028587F">
        <w:rPr>
          <w:rFonts w:asciiTheme="majorBidi" w:hAnsiTheme="majorBidi" w:cstheme="majorBidi"/>
          <w:szCs w:val="24"/>
        </w:rPr>
        <w:t xml:space="preserve">The bone samples were transferred to 1.5 mL tubes, to which aliquots of 500 µl of 0.5M </w:t>
      </w:r>
      <w:r w:rsidRPr="0028587F">
        <w:rPr>
          <w:rFonts w:asciiTheme="majorBidi" w:hAnsiTheme="majorBidi" w:cstheme="majorBidi"/>
          <w:iCs/>
          <w:szCs w:val="24"/>
        </w:rPr>
        <w:t>EDTA</w:t>
      </w:r>
      <w:r w:rsidRPr="0028587F">
        <w:rPr>
          <w:rFonts w:asciiTheme="majorBidi" w:hAnsiTheme="majorBidi" w:cstheme="majorBidi"/>
          <w:szCs w:val="24"/>
        </w:rPr>
        <w:t xml:space="preserve"> were added, and the tubes gently rocked at room temperature for &gt;48 hours. An extraction negative control, to which no bone material was added, accompanied each batch of extractions.</w:t>
      </w:r>
    </w:p>
    <w:p w14:paraId="297CB7AA" w14:textId="2A5E24AB" w:rsidR="00ED5CA4" w:rsidRPr="0028587F" w:rsidRDefault="00ED5CA4" w:rsidP="00571987">
      <w:pPr>
        <w:spacing w:line="480" w:lineRule="auto"/>
        <w:ind w:firstLine="720"/>
        <w:rPr>
          <w:rFonts w:asciiTheme="majorBidi" w:hAnsiTheme="majorBidi" w:cstheme="majorBidi"/>
          <w:szCs w:val="24"/>
        </w:rPr>
      </w:pPr>
      <w:r w:rsidRPr="0028587F">
        <w:rPr>
          <w:rFonts w:asciiTheme="majorBidi" w:hAnsiTheme="majorBidi" w:cstheme="majorBidi"/>
          <w:szCs w:val="24"/>
        </w:rPr>
        <w:t xml:space="preserve">DNA was extracted following the method previously described </w:t>
      </w:r>
      <w:r w:rsidR="00571987">
        <w:rPr>
          <w:rFonts w:asciiTheme="majorBidi" w:hAnsiTheme="majorBidi" w:cstheme="majorBidi"/>
          <w:szCs w:val="24"/>
        </w:rPr>
        <w:fldChar w:fldCharType="begin"/>
      </w:r>
      <w:r w:rsidR="00571987">
        <w:rPr>
          <w:rFonts w:asciiTheme="majorBidi" w:hAnsiTheme="majorBidi" w:cstheme="majorBidi"/>
          <w:szCs w:val="24"/>
        </w:rPr>
        <w:instrText xml:space="preserve"> ADDIN ZOTERO_ITEM CSL_CITATION {"citationID":"t50Y1u9s","properties":{"formattedCitation":"[3]","plainCitation":"[3]","noteIndex":0},"citationItems":[{"id":11429,"uris":["http://zotero.org/users/2116397/items/QYFN353C"],"uri":["http://zotero.org/users/2116397/items/QYFN353C"],"itemData":{"id":11429,"type":"article-journal","container-title":"Journal of Archaeological Science","DOI":"10.1016/j.jas.2013.11.023","ISSN":"03054403","journalAbbreviation":"Journal of Archaeological Science","language":"en","page":"373-380","source":"DOI.org (Crossref)","title":"Evaluation of methods that subdue the effects of polymerase chain reaction inhibitors in the study of ancient and degraded DNA","volume":"42","author":[{"family":"Kemp","given":"Brian M."},{"family":"Monroe","given":"Cara"},{"family":"Judd","given":"Kathleen G."},{"family":"Reams","given":"Erin"},{"family":"Grier","given":"Colin"}],"issued":{"date-parts":[["2014",2]]}}}],"schema":"https://github.com/citation-style-language/schema/raw/master/csl-citation.json"} </w:instrText>
      </w:r>
      <w:r w:rsidR="00571987">
        <w:rPr>
          <w:rFonts w:asciiTheme="majorBidi" w:hAnsiTheme="majorBidi" w:cstheme="majorBidi"/>
          <w:szCs w:val="24"/>
        </w:rPr>
        <w:fldChar w:fldCharType="separate"/>
      </w:r>
      <w:r w:rsidR="00571987">
        <w:rPr>
          <w:rFonts w:asciiTheme="majorBidi" w:hAnsiTheme="majorBidi" w:cstheme="majorBidi"/>
          <w:noProof/>
          <w:szCs w:val="24"/>
        </w:rPr>
        <w:t>[3]</w:t>
      </w:r>
      <w:r w:rsidR="00571987">
        <w:rPr>
          <w:rFonts w:asciiTheme="majorBidi" w:hAnsiTheme="majorBidi" w:cstheme="majorBidi"/>
          <w:szCs w:val="24"/>
        </w:rPr>
        <w:fldChar w:fldCharType="end"/>
      </w:r>
      <w:r w:rsidR="00571987">
        <w:rPr>
          <w:rFonts w:asciiTheme="majorBidi" w:hAnsiTheme="majorBidi" w:cstheme="majorBidi"/>
          <w:szCs w:val="24"/>
        </w:rPr>
        <w:t xml:space="preserve">. </w:t>
      </w:r>
      <w:r w:rsidRPr="0028587F">
        <w:rPr>
          <w:rFonts w:asciiTheme="majorBidi" w:hAnsiTheme="majorBidi" w:cstheme="majorBidi"/>
          <w:szCs w:val="24"/>
        </w:rPr>
        <w:t>Ninety µl of proteinase K (BIOBASIC cat # 32181) at a concentration of 1 mg/30 µl (or &gt;20 Units/30 µl) were added to each sample, and the tubes incubated at 64-65</w:t>
      </w:r>
      <w:r w:rsidRPr="0028587F">
        <w:rPr>
          <w:rFonts w:asciiTheme="majorBidi" w:hAnsiTheme="majorBidi" w:cstheme="majorBidi"/>
          <w:szCs w:val="24"/>
          <w:vertAlign w:val="superscript"/>
        </w:rPr>
        <w:t>º</w:t>
      </w:r>
      <w:r w:rsidRPr="0028587F">
        <w:rPr>
          <w:rFonts w:asciiTheme="majorBidi" w:hAnsiTheme="majorBidi" w:cstheme="majorBidi"/>
          <w:szCs w:val="24"/>
        </w:rPr>
        <w:t>C for 3 hours. Following proteinase K digestion, the tubes were centrifuged at 15,000 revolutions per minute (rpm) for one minute to pellet any undigested bone, dirt, and/or “sludge”. The volumes of liquid were moved to new 1.5 mL tubes, to which 750 µl of 2.5% “resin” (i.e., 2.5% celite in 6 M guanidine HCl) and 250 µl of 6 M guanidine HCl were added. The tubes were vortexed multiple times over approximately a 2 min period.</w:t>
      </w:r>
    </w:p>
    <w:p w14:paraId="56630105" w14:textId="77777777" w:rsidR="00ED5CA4" w:rsidRPr="0028587F" w:rsidRDefault="00ED5CA4" w:rsidP="00571987">
      <w:pPr>
        <w:spacing w:line="480" w:lineRule="auto"/>
        <w:ind w:firstLine="720"/>
        <w:rPr>
          <w:rFonts w:asciiTheme="majorBidi" w:hAnsiTheme="majorBidi" w:cstheme="majorBidi"/>
          <w:szCs w:val="24"/>
        </w:rPr>
      </w:pPr>
      <w:r w:rsidRPr="0028587F">
        <w:rPr>
          <w:rFonts w:asciiTheme="majorBidi" w:hAnsiTheme="majorBidi" w:cstheme="majorBidi"/>
          <w:szCs w:val="24"/>
        </w:rPr>
        <w:lastRenderedPageBreak/>
        <w:t xml:space="preserve">Promega Wizard </w:t>
      </w:r>
      <w:proofErr w:type="spellStart"/>
      <w:r w:rsidRPr="0028587F">
        <w:rPr>
          <w:rFonts w:asciiTheme="majorBidi" w:hAnsiTheme="majorBidi" w:cstheme="majorBidi"/>
          <w:szCs w:val="24"/>
        </w:rPr>
        <w:t>minicolumns</w:t>
      </w:r>
      <w:proofErr w:type="spellEnd"/>
      <w:r w:rsidRPr="0028587F">
        <w:rPr>
          <w:rFonts w:asciiTheme="majorBidi" w:hAnsiTheme="majorBidi" w:cstheme="majorBidi"/>
          <w:szCs w:val="24"/>
        </w:rPr>
        <w:t xml:space="preserve"> were attached to 3 mL </w:t>
      </w:r>
      <w:proofErr w:type="spellStart"/>
      <w:r w:rsidRPr="0028587F">
        <w:rPr>
          <w:rFonts w:asciiTheme="majorBidi" w:hAnsiTheme="majorBidi" w:cstheme="majorBidi"/>
          <w:szCs w:val="24"/>
        </w:rPr>
        <w:t>luer-lok</w:t>
      </w:r>
      <w:proofErr w:type="spellEnd"/>
      <w:r w:rsidRPr="0028587F">
        <w:rPr>
          <w:rFonts w:asciiTheme="majorBidi" w:hAnsiTheme="majorBidi" w:cstheme="majorBidi"/>
          <w:szCs w:val="24"/>
        </w:rPr>
        <w:t xml:space="preserve"> syringe barrels (minus the plunger) and placed on a vacuum manifold. Three mL of DNA-free water were first pulled across the columns with the intent to wash away potential contaminating DNA. The DNA/resin mixture was subsequently pulled across the columns. The silica pelleted on the </w:t>
      </w:r>
      <w:proofErr w:type="spellStart"/>
      <w:r w:rsidRPr="0028587F">
        <w:rPr>
          <w:rFonts w:asciiTheme="majorBidi" w:hAnsiTheme="majorBidi" w:cstheme="majorBidi"/>
          <w:szCs w:val="24"/>
        </w:rPr>
        <w:t>minicolumns</w:t>
      </w:r>
      <w:proofErr w:type="spellEnd"/>
      <w:r w:rsidRPr="0028587F">
        <w:rPr>
          <w:rFonts w:asciiTheme="majorBidi" w:hAnsiTheme="majorBidi" w:cstheme="majorBidi"/>
          <w:szCs w:val="24"/>
        </w:rPr>
        <w:t xml:space="preserve"> was then rinsed by pulling 3 mL of 80% isopropanol across the columns.</w:t>
      </w:r>
    </w:p>
    <w:p w14:paraId="22A94A24" w14:textId="77777777" w:rsidR="00ED5CA4" w:rsidRPr="0028587F" w:rsidRDefault="00ED5CA4" w:rsidP="00571987">
      <w:pPr>
        <w:spacing w:line="480" w:lineRule="auto"/>
        <w:ind w:firstLine="720"/>
        <w:rPr>
          <w:rFonts w:asciiTheme="majorBidi" w:hAnsiTheme="majorBidi" w:cstheme="majorBidi"/>
          <w:szCs w:val="24"/>
        </w:rPr>
      </w:pPr>
      <w:r w:rsidRPr="0028587F">
        <w:rPr>
          <w:rFonts w:asciiTheme="majorBidi" w:hAnsiTheme="majorBidi" w:cstheme="majorBidi"/>
          <w:szCs w:val="24"/>
        </w:rPr>
        <w:t xml:space="preserve">The </w:t>
      </w:r>
      <w:proofErr w:type="spellStart"/>
      <w:r w:rsidRPr="0028587F">
        <w:rPr>
          <w:rFonts w:asciiTheme="majorBidi" w:hAnsiTheme="majorBidi" w:cstheme="majorBidi"/>
          <w:szCs w:val="24"/>
        </w:rPr>
        <w:t>minicolumns</w:t>
      </w:r>
      <w:proofErr w:type="spellEnd"/>
      <w:r w:rsidRPr="0028587F">
        <w:rPr>
          <w:rFonts w:asciiTheme="majorBidi" w:hAnsiTheme="majorBidi" w:cstheme="majorBidi"/>
          <w:szCs w:val="24"/>
        </w:rPr>
        <w:t xml:space="preserve"> were then placed in new 1.5 mL tubes and centrifuged at 10,000 rpm for 2 minutes to remove excess isopropanol. The </w:t>
      </w:r>
      <w:proofErr w:type="spellStart"/>
      <w:r w:rsidRPr="0028587F">
        <w:rPr>
          <w:rFonts w:asciiTheme="majorBidi" w:hAnsiTheme="majorBidi" w:cstheme="majorBidi"/>
          <w:szCs w:val="24"/>
        </w:rPr>
        <w:t>minicolumns</w:t>
      </w:r>
      <w:proofErr w:type="spellEnd"/>
      <w:r w:rsidRPr="0028587F">
        <w:rPr>
          <w:rFonts w:asciiTheme="majorBidi" w:hAnsiTheme="majorBidi" w:cstheme="majorBidi"/>
          <w:szCs w:val="24"/>
        </w:rPr>
        <w:t xml:space="preserve"> were transferred to new 1.5 mL tubes. Fifty µl of DNA-free water heated to 64-65</w:t>
      </w:r>
      <w:r w:rsidRPr="0028587F">
        <w:rPr>
          <w:rFonts w:asciiTheme="majorBidi" w:hAnsiTheme="majorBidi" w:cstheme="majorBidi"/>
          <w:szCs w:val="24"/>
          <w:vertAlign w:val="superscript"/>
        </w:rPr>
        <w:t>º</w:t>
      </w:r>
      <w:r w:rsidRPr="0028587F">
        <w:rPr>
          <w:rFonts w:asciiTheme="majorBidi" w:hAnsiTheme="majorBidi" w:cstheme="majorBidi"/>
          <w:szCs w:val="24"/>
        </w:rPr>
        <w:t xml:space="preserve">C were added to the </w:t>
      </w:r>
      <w:proofErr w:type="spellStart"/>
      <w:r w:rsidRPr="0028587F">
        <w:rPr>
          <w:rFonts w:asciiTheme="majorBidi" w:hAnsiTheme="majorBidi" w:cstheme="majorBidi"/>
          <w:szCs w:val="24"/>
        </w:rPr>
        <w:t>minicolumns</w:t>
      </w:r>
      <w:proofErr w:type="spellEnd"/>
      <w:r w:rsidRPr="0028587F">
        <w:rPr>
          <w:rFonts w:asciiTheme="majorBidi" w:hAnsiTheme="majorBidi" w:cstheme="majorBidi"/>
          <w:szCs w:val="24"/>
        </w:rPr>
        <w:t xml:space="preserve"> and left for 3 minutes before centrifugation of the tubes for 30 seconds at 10,000 rpm. This step was repeated, amounting to 100 µl of extracted DNA. Ten microliters of the full concentration eluates and extraction negative controls were diluted 1:10 and used in PCR, as described below.</w:t>
      </w:r>
    </w:p>
    <w:p w14:paraId="08BDCC2B" w14:textId="77777777" w:rsidR="00ED5CA4" w:rsidRPr="008F58AD" w:rsidRDefault="00ED5CA4" w:rsidP="0028587F">
      <w:pPr>
        <w:spacing w:line="480" w:lineRule="auto"/>
        <w:rPr>
          <w:rFonts w:asciiTheme="majorBidi" w:hAnsiTheme="majorBidi" w:cstheme="majorBidi"/>
          <w:b/>
          <w:bCs/>
          <w:iCs/>
          <w:sz w:val="32"/>
          <w:szCs w:val="32"/>
        </w:rPr>
      </w:pPr>
      <w:r w:rsidRPr="008F58AD">
        <w:rPr>
          <w:rFonts w:asciiTheme="majorBidi" w:hAnsiTheme="majorBidi" w:cstheme="majorBidi"/>
          <w:b/>
          <w:bCs/>
          <w:iCs/>
          <w:sz w:val="32"/>
          <w:szCs w:val="32"/>
        </w:rPr>
        <w:t>Inhibition Test and Repeat Silica Extraction</w:t>
      </w:r>
    </w:p>
    <w:p w14:paraId="77A5DEF3" w14:textId="30042533" w:rsidR="00ED5CA4" w:rsidRPr="0028587F" w:rsidRDefault="00ED5CA4" w:rsidP="0028587F">
      <w:pPr>
        <w:spacing w:line="480" w:lineRule="auto"/>
        <w:rPr>
          <w:rFonts w:asciiTheme="majorBidi" w:hAnsiTheme="majorBidi" w:cstheme="majorBidi"/>
          <w:szCs w:val="24"/>
        </w:rPr>
      </w:pPr>
      <w:r w:rsidRPr="0028587F">
        <w:rPr>
          <w:rFonts w:asciiTheme="majorBidi" w:hAnsiTheme="majorBidi" w:cstheme="majorBidi"/>
          <w:szCs w:val="24"/>
        </w:rPr>
        <w:t xml:space="preserve">The full concentration DNA eluates were tested for the presence of PCR inhibitors following Kemp et al.’s </w:t>
      </w:r>
      <w:r w:rsidR="000A37EA">
        <w:rPr>
          <w:rFonts w:asciiTheme="majorBidi" w:hAnsiTheme="majorBidi" w:cstheme="majorBidi"/>
          <w:szCs w:val="24"/>
        </w:rPr>
        <w:fldChar w:fldCharType="begin"/>
      </w:r>
      <w:r w:rsidR="000A37EA">
        <w:rPr>
          <w:rFonts w:asciiTheme="majorBidi" w:hAnsiTheme="majorBidi" w:cstheme="majorBidi"/>
          <w:szCs w:val="24"/>
        </w:rPr>
        <w:instrText xml:space="preserve"> ADDIN ZOTERO_ITEM CSL_CITATION {"citationID":"B4hEdhhL","properties":{"formattedCitation":"[3]","plainCitation":"[3]","noteIndex":0},"citationItems":[{"id":11429,"uris":["http://zotero.org/users/2116397/items/QYFN353C"],"uri":["http://zotero.org/users/2116397/items/QYFN353C"],"itemData":{"id":11429,"type":"article-journal","container-title":"Journal of Archaeological Science","DOI":"10.1016/j.jas.2013.11.023","ISSN":"03054403","journalAbbreviation":"Journal of Archaeological Science","language":"en","page":"373-380","source":"DOI.org (Crossref)","title":"Evaluation of methods that subdue the effects of polymerase chain reaction inhibitors in the study of ancient and degraded DNA","volume":"42","author":[{"family":"Kemp","given":"Brian M."},{"family":"Monroe","given":"Cara"},{"family":"Judd","given":"Kathleen G."},{"family":"Reams","given":"Erin"},{"family":"Grier","given":"Colin"}],"issued":{"date-parts":[["2014",2]]}}}],"schema":"https://github.com/citation-style-language/schema/raw/master/csl-citation.json"} </w:instrText>
      </w:r>
      <w:r w:rsidR="000A37EA">
        <w:rPr>
          <w:rFonts w:asciiTheme="majorBidi" w:hAnsiTheme="majorBidi" w:cstheme="majorBidi"/>
          <w:szCs w:val="24"/>
        </w:rPr>
        <w:fldChar w:fldCharType="separate"/>
      </w:r>
      <w:r w:rsidR="000A37EA">
        <w:rPr>
          <w:rFonts w:asciiTheme="majorBidi" w:hAnsiTheme="majorBidi" w:cstheme="majorBidi"/>
          <w:noProof/>
          <w:szCs w:val="24"/>
        </w:rPr>
        <w:t>[3]</w:t>
      </w:r>
      <w:r w:rsidR="000A37EA">
        <w:rPr>
          <w:rFonts w:asciiTheme="majorBidi" w:hAnsiTheme="majorBidi" w:cstheme="majorBidi"/>
          <w:szCs w:val="24"/>
        </w:rPr>
        <w:fldChar w:fldCharType="end"/>
      </w:r>
      <w:r w:rsidR="000A37EA">
        <w:rPr>
          <w:rFonts w:asciiTheme="majorBidi" w:hAnsiTheme="majorBidi" w:cstheme="majorBidi"/>
          <w:szCs w:val="24"/>
        </w:rPr>
        <w:t xml:space="preserve"> </w:t>
      </w:r>
      <w:r w:rsidRPr="0028587F">
        <w:rPr>
          <w:rFonts w:asciiTheme="majorBidi" w:hAnsiTheme="majorBidi" w:cstheme="majorBidi"/>
          <w:szCs w:val="24"/>
        </w:rPr>
        <w:t>rationale using a “turkey collective” as the aDNA positive control. The control, in this case, was DNA pooled from that extracted from various archaeological turkey (</w:t>
      </w:r>
      <w:r w:rsidRPr="0028587F">
        <w:rPr>
          <w:rFonts w:asciiTheme="majorBidi" w:hAnsiTheme="majorBidi" w:cstheme="majorBidi"/>
          <w:i/>
          <w:szCs w:val="24"/>
        </w:rPr>
        <w:t>Meleagris gallopavo</w:t>
      </w:r>
      <w:r w:rsidRPr="0028587F">
        <w:rPr>
          <w:rFonts w:asciiTheme="majorBidi" w:hAnsiTheme="majorBidi" w:cstheme="majorBidi"/>
          <w:szCs w:val="24"/>
        </w:rPr>
        <w:t xml:space="preserve">) bones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I3MOSXn1","properties":{"formattedCitation":"[4]","plainCitation":"[4]","noteIndex":0},"citationItems":[{"id":11430,"uris":["http://zotero.org/users/2116397/items/8R9DSG9C"],"uri":["http://zotero.org/users/2116397/items/8R9DSG9C"],"itemData":{"id":11430,"type":"article-journal","container-title":"PLOS ONE","DOI":"10.1371/journal.pone.0178882","ISSN":"1932-6203","issue":"7","journalAbbreviation":"PLoS ONE","language":"en","page":"e0178882","source":"DOI.org (Crossref)","title":"Prehistoric mitochondrial DNA of domesticate animals supports a 13th century exodus from the northern US southwest","volume":"12","author":[{"family":"Kemp","given":"Brian M."},{"family":"Judd","given":"Kathleen"},{"family":"Monroe","given":"Cara"},{"family":"Eerkens","given":"Jelmer W."},{"family":"Hilldorfer","given":"Lindsay"},{"family":"Cordray","given":"Connor"},{"family":"Schad","given":"Rebecca"},{"family":"Reams","given":"Erin"},{"family":"Ortman","given":"Scott G."},{"family":"Kohler","given":"Timothy A."}],"editor":[{"family":"Caramelli","given":"David"}],"issued":{"date-parts":[["2017",7,26]]}}}],"schema":"https://github.com/citation-style-language/schema/raw/master/csl-citation.json"}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[4]</w:t>
      </w:r>
      <w:r w:rsidR="00A845AA">
        <w:rPr>
          <w:rFonts w:asciiTheme="majorBidi" w:hAnsiTheme="majorBidi" w:cstheme="majorBidi"/>
          <w:szCs w:val="24"/>
        </w:rPr>
        <w:fldChar w:fldCharType="end"/>
      </w:r>
      <w:r w:rsidRPr="0028587F">
        <w:rPr>
          <w:rFonts w:asciiTheme="majorBidi" w:hAnsiTheme="majorBidi" w:cstheme="majorBidi"/>
          <w:szCs w:val="24"/>
        </w:rPr>
        <w:t>. The choice to pool these individual extractions was made with the intention to reduce variation between turkey DNA eluates in both endogenous mitochondrial DNA copy number and possible inhibitors co-extracted with the turkey DNA. Before they are used in experiments, each turkey collective was demonstrated to PCR amplify consistently (in 6 or more amplifications), hence serving as a positive control.</w:t>
      </w:r>
    </w:p>
    <w:p w14:paraId="5B883E11" w14:textId="000FACDF" w:rsidR="00ED5CA4" w:rsidRPr="0028587F" w:rsidRDefault="00ED5CA4" w:rsidP="00A845AA">
      <w:pPr>
        <w:spacing w:line="480" w:lineRule="auto"/>
        <w:ind w:firstLine="720"/>
        <w:rPr>
          <w:rFonts w:asciiTheme="majorBidi" w:hAnsiTheme="majorBidi" w:cstheme="majorBidi"/>
          <w:szCs w:val="24"/>
        </w:rPr>
      </w:pPr>
      <w:r w:rsidRPr="0028587F">
        <w:rPr>
          <w:rFonts w:asciiTheme="majorBidi" w:hAnsiTheme="majorBidi" w:cstheme="majorBidi"/>
          <w:szCs w:val="24"/>
        </w:rPr>
        <w:t xml:space="preserve">Fifteen microliter inhibition test PCRs amplified a 186 bp portion of turkey displacement loop (D-loop) using the primers “T15709F” and “T15894R” as previously described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DbeWzaxL","properties":{"formattedCitation":"[4]","plainCitation":"[4]","noteIndex":0},"citationItems":[{"id":11430,"uris":["http://zotero.org/users/2116397/items/8R9DSG9C"],"uri":["http://zotero.org/users/2116397/items/8R9DSG9C"],"itemData":{"id":11430,"type":"article-journal","container-title":"PLOS ONE","DOI":"10.1371/journal.pone.0178882","ISSN":"1932-6203","issue":"7","journalAbbreviation":"PLoS ONE","language":"en","page":"e0178882","source":"DOI.org (Crossref)","title":"Prehistoric mitochondrial DNA of domesticate animals supports a 13th century exodus from the northern US southwest","volume":"12","author":[{"family":"Kemp","given":"Brian M."},{"family":"Judd","given":"Kathleen"},{"family":"Monroe","given":"Cara"},{"family":"Eerkens","given":"Jelmer W."},{"family":"Hilldorfer","given":"Lindsay"},{"family":"Cordray","given":"Connor"},{"family":"Schad","given":"Rebecca"},{"family":"Reams","given":"Erin"},{"family":"Ortman","given":"Scott G."},{"family":"Kohler","given":"Timothy A."}],"editor":[{"family":"Caramelli","given":"David"}],"issued":{"date-parts":[["2017",7,26]]}}}],"schema":"https://github.com/citation-style-language/schema/raw/master/csl-citation.json"}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[4]</w:t>
      </w:r>
      <w:r w:rsidR="00A845AA">
        <w:rPr>
          <w:rFonts w:asciiTheme="majorBidi" w:hAnsiTheme="majorBidi" w:cstheme="majorBidi"/>
          <w:szCs w:val="24"/>
        </w:rPr>
        <w:fldChar w:fldCharType="end"/>
      </w:r>
      <w:r w:rsidRPr="0028587F">
        <w:rPr>
          <w:rFonts w:asciiTheme="majorBidi" w:hAnsiTheme="majorBidi" w:cstheme="majorBidi"/>
          <w:szCs w:val="24"/>
        </w:rPr>
        <w:t xml:space="preserve">. The components of these PCRs were as follows: 1X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Reaction Buffer (including a final </w:t>
      </w:r>
      <w:r w:rsidRPr="0028587F">
        <w:rPr>
          <w:rFonts w:asciiTheme="majorBidi" w:hAnsiTheme="majorBidi" w:cstheme="majorBidi"/>
          <w:szCs w:val="24"/>
        </w:rPr>
        <w:lastRenderedPageBreak/>
        <w:t>concentration of 3.5 mM MgCl</w:t>
      </w:r>
      <w:r w:rsidRPr="0028587F">
        <w:rPr>
          <w:rFonts w:asciiTheme="majorBidi" w:hAnsiTheme="majorBidi" w:cstheme="majorBidi"/>
          <w:szCs w:val="24"/>
          <w:vertAlign w:val="subscript"/>
        </w:rPr>
        <w:t>2</w:t>
      </w:r>
      <w:r w:rsidRPr="0028587F">
        <w:rPr>
          <w:rFonts w:asciiTheme="majorBidi" w:hAnsiTheme="majorBidi" w:cstheme="majorBidi"/>
          <w:szCs w:val="24"/>
        </w:rPr>
        <w:t xml:space="preserve">), 0.32 mM dNTPs, 0.24 µM of each primer, 0.3 U of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LA polymerase, and 1.5 µl of turkey collective DNA. These reactions were spiked with 1.5 µl of potentially inhibited, full concentration DNA eluates from the salmonid vertebrae. The extraction negative controls were also tested for inhibitors in this manner. These PCRs were run in parallel with reactions that contained only turkey collective DNA (i.e., were not spiked). These reactions served as positive controls and allowed us to preclude PCR failure from contributing to our results. PCR negatives also accompanied each round of amplification, allowing us to monitor for possible contamination. Following denaturing at 94</w:t>
      </w:r>
      <w:r w:rsidRPr="0028587F">
        <w:rPr>
          <w:rFonts w:asciiTheme="majorBidi" w:hAnsiTheme="majorBidi" w:cstheme="majorBidi"/>
          <w:szCs w:val="24"/>
          <w:vertAlign w:val="superscript"/>
        </w:rPr>
        <w:t>º</w:t>
      </w:r>
      <w:r w:rsidRPr="0028587F">
        <w:rPr>
          <w:rFonts w:asciiTheme="majorBidi" w:hAnsiTheme="majorBidi" w:cstheme="majorBidi"/>
          <w:szCs w:val="24"/>
        </w:rPr>
        <w:t>C for 3 minutes, 60 cycles of PCR was conducted at 94</w:t>
      </w:r>
      <w:r w:rsidRPr="0028587F">
        <w:rPr>
          <w:rFonts w:asciiTheme="majorBidi" w:hAnsiTheme="majorBidi" w:cstheme="majorBidi"/>
          <w:szCs w:val="24"/>
          <w:vertAlign w:val="superscript"/>
        </w:rPr>
        <w:t>º</w:t>
      </w:r>
      <w:r w:rsidRPr="0028587F">
        <w:rPr>
          <w:rFonts w:asciiTheme="majorBidi" w:hAnsiTheme="majorBidi" w:cstheme="majorBidi"/>
          <w:szCs w:val="24"/>
        </w:rPr>
        <w:t>C for 15 s, 60</w:t>
      </w:r>
      <w:r w:rsidRPr="0028587F">
        <w:rPr>
          <w:rFonts w:asciiTheme="majorBidi" w:hAnsiTheme="majorBidi" w:cstheme="majorBidi"/>
          <w:szCs w:val="24"/>
          <w:vertAlign w:val="superscript"/>
        </w:rPr>
        <w:t>º</w:t>
      </w:r>
      <w:r w:rsidRPr="0028587F">
        <w:rPr>
          <w:rFonts w:asciiTheme="majorBidi" w:hAnsiTheme="majorBidi" w:cstheme="majorBidi"/>
          <w:szCs w:val="24"/>
        </w:rPr>
        <w:t>C for 15 s, and 68</w:t>
      </w:r>
      <w:r w:rsidRPr="0028587F">
        <w:rPr>
          <w:rFonts w:asciiTheme="majorBidi" w:hAnsiTheme="majorBidi" w:cstheme="majorBidi"/>
          <w:szCs w:val="24"/>
          <w:vertAlign w:val="superscript"/>
        </w:rPr>
        <w:t>º</w:t>
      </w:r>
      <w:r w:rsidRPr="0028587F">
        <w:rPr>
          <w:rFonts w:asciiTheme="majorBidi" w:hAnsiTheme="majorBidi" w:cstheme="majorBidi"/>
          <w:szCs w:val="24"/>
        </w:rPr>
        <w:t xml:space="preserve">C (note that this is the optimal extension temperature for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LA polymerase) for 15 s. Finally, a 3-minute extension period at 68</w:t>
      </w:r>
      <w:r w:rsidRPr="0028587F">
        <w:rPr>
          <w:rFonts w:asciiTheme="majorBidi" w:hAnsiTheme="majorBidi" w:cstheme="majorBidi"/>
          <w:szCs w:val="24"/>
          <w:vertAlign w:val="superscript"/>
        </w:rPr>
        <w:t>º</w:t>
      </w:r>
      <w:r w:rsidRPr="0028587F">
        <w:rPr>
          <w:rFonts w:asciiTheme="majorBidi" w:hAnsiTheme="majorBidi" w:cstheme="majorBidi"/>
          <w:szCs w:val="24"/>
        </w:rPr>
        <w:t>C was conducted prior to bringing the reactions to 10</w:t>
      </w:r>
      <w:r w:rsidRPr="0028587F">
        <w:rPr>
          <w:rFonts w:asciiTheme="majorBidi" w:hAnsiTheme="majorBidi" w:cstheme="majorBidi"/>
          <w:szCs w:val="24"/>
          <w:vertAlign w:val="superscript"/>
        </w:rPr>
        <w:t>º</w:t>
      </w:r>
      <w:r w:rsidRPr="0028587F">
        <w:rPr>
          <w:rFonts w:asciiTheme="majorBidi" w:hAnsiTheme="majorBidi" w:cstheme="majorBidi"/>
          <w:szCs w:val="24"/>
        </w:rPr>
        <w:t xml:space="preserve">C. </w:t>
      </w:r>
    </w:p>
    <w:p w14:paraId="6E0C8CAF" w14:textId="77777777" w:rsidR="00ED5CA4" w:rsidRPr="0028587F" w:rsidRDefault="00ED5CA4" w:rsidP="00A845AA">
      <w:pPr>
        <w:spacing w:line="480" w:lineRule="auto"/>
        <w:ind w:firstLine="720"/>
        <w:rPr>
          <w:rFonts w:asciiTheme="majorBidi" w:hAnsiTheme="majorBidi" w:cstheme="majorBidi"/>
          <w:szCs w:val="24"/>
        </w:rPr>
      </w:pPr>
      <w:r w:rsidRPr="0028587F">
        <w:rPr>
          <w:rFonts w:asciiTheme="majorBidi" w:hAnsiTheme="majorBidi" w:cstheme="majorBidi"/>
          <w:szCs w:val="24"/>
        </w:rPr>
        <w:t>If the turkey collective failed to amplify when spiked with any given ancient salmonid DNA eluate, we considered the eluate to be inhibited. In the case that spiking the ancient DNA permitted amplification of the turkey collective DNA, we considered that DNA eluate to be inhibitor “free”.</w:t>
      </w:r>
    </w:p>
    <w:p w14:paraId="0AD4871E" w14:textId="77777777" w:rsidR="00A845AA" w:rsidRDefault="00ED5CA4" w:rsidP="00A845AA">
      <w:pPr>
        <w:spacing w:line="480" w:lineRule="auto"/>
        <w:ind w:firstLine="720"/>
        <w:rPr>
          <w:rFonts w:asciiTheme="majorBidi" w:hAnsiTheme="majorBidi" w:cstheme="majorBidi"/>
          <w:szCs w:val="24"/>
        </w:rPr>
      </w:pPr>
      <w:r w:rsidRPr="0028587F">
        <w:rPr>
          <w:rFonts w:asciiTheme="majorBidi" w:hAnsiTheme="majorBidi" w:cstheme="majorBidi"/>
          <w:szCs w:val="24"/>
        </w:rPr>
        <w:t xml:space="preserve">Full concentration eluates deemed to be inhibited in the manner just described were subjected to repeat silica extraction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Uf1eArcf","properties":{"formattedCitation":"[3]","plainCitation":"[3]","noteIndex":0},"citationItems":[{"id":11429,"uris":["http://zotero.org/users/2116397/items/QYFN353C"],"uri":["http://zotero.org/users/2116397/items/QYFN353C"],"itemData":{"id":11429,"type":"article-journal","container-title":"Journal of Archaeological Science","DOI":"10.1016/j.jas.2013.11.023","ISSN":"03054403","journalAbbreviation":"Journal of Archaeological Science","language":"en","page":"373-380","source":"DOI.org (Crossref)","title":"Evaluation of methods that subdue the effects of polymerase chain reaction inhibitors in the study of ancient and degraded DNA","volume":"42","author":[{"family":"Kemp","given":"Brian M."},{"family":"Monroe","given":"Cara"},{"family":"Judd","given":"Kathleen G."},{"family":"Reams","given":"Erin"},{"family":"Grier","given":"Colin"}],"issued":{"date-parts":[["2014",2]]}}}],"schema":"https://github.com/citation-style-language/schema/raw/master/csl-citation.json"}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[3]</w:t>
      </w:r>
      <w:r w:rsidR="00A845AA">
        <w:rPr>
          <w:rFonts w:asciiTheme="majorBidi" w:hAnsiTheme="majorBidi" w:cstheme="majorBidi"/>
          <w:szCs w:val="24"/>
        </w:rPr>
        <w:fldChar w:fldCharType="end"/>
      </w:r>
      <w:r w:rsidRPr="0028587F">
        <w:rPr>
          <w:rFonts w:asciiTheme="majorBidi" w:hAnsiTheme="majorBidi" w:cstheme="majorBidi"/>
          <w:noProof/>
          <w:szCs w:val="24"/>
        </w:rPr>
        <w:t>.</w:t>
      </w:r>
      <w:r w:rsidRPr="0028587F">
        <w:rPr>
          <w:rFonts w:asciiTheme="majorBidi" w:hAnsiTheme="majorBidi" w:cstheme="majorBidi"/>
          <w:szCs w:val="24"/>
        </w:rPr>
        <w:t xml:space="preserve"> To the remaining volume of the eluate, 750 µl of 2.5% resin and 250 µl of 6 M guanidine HCl were added. The samples were vortexed numerous times over a 2 min period. The extraction then followed procedures described above, except that the volume used to elute the DNA from column matched the volume being repeat silica extracted. For example, if the starting volume was 87 µl, 43.5 µl of DNA-free water heated to 65</w:t>
      </w:r>
      <w:r w:rsidRPr="0028587F">
        <w:rPr>
          <w:rFonts w:asciiTheme="majorBidi" w:hAnsiTheme="majorBidi" w:cstheme="majorBidi"/>
          <w:szCs w:val="24"/>
          <w:vertAlign w:val="superscript"/>
        </w:rPr>
        <w:t>º</w:t>
      </w:r>
      <w:r w:rsidRPr="0028587F">
        <w:rPr>
          <w:rFonts w:asciiTheme="majorBidi" w:hAnsiTheme="majorBidi" w:cstheme="majorBidi"/>
          <w:szCs w:val="24"/>
        </w:rPr>
        <w:t xml:space="preserve">C was added to the </w:t>
      </w:r>
      <w:proofErr w:type="spellStart"/>
      <w:r w:rsidRPr="0028587F">
        <w:rPr>
          <w:rFonts w:asciiTheme="majorBidi" w:hAnsiTheme="majorBidi" w:cstheme="majorBidi"/>
          <w:szCs w:val="24"/>
        </w:rPr>
        <w:t>minicolumns</w:t>
      </w:r>
      <w:proofErr w:type="spellEnd"/>
      <w:r w:rsidRPr="0028587F">
        <w:rPr>
          <w:rFonts w:asciiTheme="majorBidi" w:hAnsiTheme="majorBidi" w:cstheme="majorBidi"/>
          <w:szCs w:val="24"/>
        </w:rPr>
        <w:t xml:space="preserve"> and left for 3 minutes before centrifugation. This step was repeated twice for a total volume of 87 µl. </w:t>
      </w:r>
    </w:p>
    <w:p w14:paraId="2050DB63" w14:textId="7FCA315C" w:rsidR="00ED5CA4" w:rsidRPr="0028587F" w:rsidRDefault="00ED5CA4" w:rsidP="00A845AA">
      <w:pPr>
        <w:spacing w:line="480" w:lineRule="auto"/>
        <w:ind w:firstLine="720"/>
        <w:rPr>
          <w:rFonts w:asciiTheme="majorBidi" w:hAnsiTheme="majorBidi" w:cstheme="majorBidi"/>
          <w:szCs w:val="24"/>
        </w:rPr>
      </w:pPr>
      <w:r w:rsidRPr="0028587F">
        <w:rPr>
          <w:rFonts w:asciiTheme="majorBidi" w:hAnsiTheme="majorBidi" w:cstheme="majorBidi"/>
          <w:szCs w:val="24"/>
        </w:rPr>
        <w:lastRenderedPageBreak/>
        <w:t>These repeat silica eluates were tested again for inhibition as described above. Those still deemed to be inhibited were once again repeat silica extracted and tested again for inhibition. This was carried out until all full concentration eluates were deemed to be uninhibited.</w:t>
      </w:r>
    </w:p>
    <w:p w14:paraId="0099B8FC" w14:textId="77777777" w:rsidR="00ED5CA4" w:rsidRPr="008F58AD" w:rsidRDefault="00ED5CA4" w:rsidP="0028587F">
      <w:pPr>
        <w:spacing w:line="480" w:lineRule="auto"/>
        <w:rPr>
          <w:rFonts w:asciiTheme="majorBidi" w:hAnsiTheme="majorBidi" w:cstheme="majorBidi"/>
          <w:b/>
          <w:bCs/>
          <w:iCs/>
          <w:sz w:val="32"/>
          <w:szCs w:val="32"/>
        </w:rPr>
      </w:pPr>
      <w:r w:rsidRPr="008F58AD">
        <w:rPr>
          <w:rFonts w:asciiTheme="majorBidi" w:hAnsiTheme="majorBidi" w:cstheme="majorBidi"/>
          <w:b/>
          <w:bCs/>
          <w:iCs/>
          <w:sz w:val="32"/>
          <w:szCs w:val="32"/>
        </w:rPr>
        <w:t>Fish Species Identification and PCR</w:t>
      </w:r>
    </w:p>
    <w:p w14:paraId="38C15D67" w14:textId="6A9D260E" w:rsidR="00ED5CA4" w:rsidRPr="0028587F" w:rsidRDefault="00ED5CA4" w:rsidP="0028587F">
      <w:pPr>
        <w:widowControl w:val="0"/>
        <w:autoSpaceDE w:val="0"/>
        <w:autoSpaceDN w:val="0"/>
        <w:adjustRightInd w:val="0"/>
        <w:spacing w:line="480" w:lineRule="auto"/>
        <w:rPr>
          <w:rFonts w:asciiTheme="majorBidi" w:hAnsiTheme="majorBidi" w:cstheme="majorBidi"/>
          <w:szCs w:val="24"/>
        </w:rPr>
      </w:pPr>
      <w:r w:rsidRPr="0028587F">
        <w:rPr>
          <w:rFonts w:asciiTheme="majorBidi" w:hAnsiTheme="majorBidi" w:cstheme="majorBidi"/>
          <w:szCs w:val="24"/>
        </w:rPr>
        <w:t xml:space="preserve">For fish species identification we used primers previously described by Jordan et al.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0AeXfBkw","properties":{"formattedCitation":"[5]","plainCitation":"[5]","noteIndex":0},"citationItems":[{"id":10730,"uris":["http://zotero.org/users/2116397/items/6L7Y2AN3"],"uri":["http://zotero.org/users/2116397/items/6L7Y2AN3"],"itemData":{"id":10730,"type":"article-journal","container-title":"Molecular Ecology Resources","DOI":"10.1111/j.1755-0998.2009.02739.x","ISSN":"1755098X, 17550998","issue":"1","language":"en","page":"225-228","source":"DOI.org (Crossref)","title":"Universal mtDNA primers for species identification of degraded bony fish samples: Molecular Diagnostics and DNA Taxonomy","title-short":"Universal mtDNA primers for species identification of degraded bony fish samples","volume":"10","author":[{"family":"Jordan","given":"Leah G."},{"family":"Steele","given":"Craig A."},{"family":"Thorgaard","given":"Gary H."}],"issued":{"date-parts":[["2010",1]]}}}],"schema":"https://github.com/citation-style-language/schema/raw/master/csl-citation.json"}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[5]</w:t>
      </w:r>
      <w:r w:rsidR="00A845AA">
        <w:rPr>
          <w:rFonts w:asciiTheme="majorBidi" w:hAnsiTheme="majorBidi" w:cstheme="majorBidi"/>
          <w:szCs w:val="24"/>
        </w:rPr>
        <w:fldChar w:fldCharType="end"/>
      </w:r>
      <w:r w:rsidRPr="0028587F">
        <w:rPr>
          <w:rFonts w:asciiTheme="majorBidi" w:hAnsiTheme="majorBidi" w:cstheme="majorBidi"/>
          <w:szCs w:val="24"/>
        </w:rPr>
        <w:t xml:space="preserve"> that amplify </w:t>
      </w:r>
      <w:r w:rsidR="001F4E44" w:rsidRPr="0028587F">
        <w:rPr>
          <w:rFonts w:asciiTheme="majorBidi" w:hAnsiTheme="majorBidi" w:cstheme="majorBidi"/>
          <w:szCs w:val="24"/>
        </w:rPr>
        <w:t>a</w:t>
      </w:r>
      <w:r w:rsidR="00BA1E46" w:rsidRPr="0028587F">
        <w:rPr>
          <w:rFonts w:asciiTheme="majorBidi" w:hAnsiTheme="majorBidi" w:cstheme="majorBidi"/>
          <w:szCs w:val="24"/>
        </w:rPr>
        <w:t>n</w:t>
      </w:r>
      <w:r w:rsidR="001F4E44" w:rsidRPr="0028587F">
        <w:rPr>
          <w:rFonts w:asciiTheme="majorBidi" w:hAnsiTheme="majorBidi" w:cstheme="majorBidi"/>
          <w:szCs w:val="24"/>
        </w:rPr>
        <w:t xml:space="preserve"> </w:t>
      </w:r>
      <w:r w:rsidRPr="0028587F">
        <w:rPr>
          <w:rFonts w:asciiTheme="majorBidi" w:hAnsiTheme="majorBidi" w:cstheme="majorBidi"/>
          <w:szCs w:val="24"/>
        </w:rPr>
        <w:t xml:space="preserve">189 bp </w:t>
      </w:r>
      <w:r w:rsidR="001F4E44" w:rsidRPr="0028587F">
        <w:rPr>
          <w:rFonts w:asciiTheme="majorBidi" w:hAnsiTheme="majorBidi" w:cstheme="majorBidi"/>
          <w:szCs w:val="24"/>
        </w:rPr>
        <w:t xml:space="preserve">section of </w:t>
      </w:r>
      <w:r w:rsidRPr="0028587F">
        <w:rPr>
          <w:rFonts w:asciiTheme="majorBidi" w:hAnsiTheme="majorBidi" w:cstheme="majorBidi"/>
          <w:szCs w:val="24"/>
        </w:rPr>
        <w:t xml:space="preserve">the mitochondrial 12S gene [relative to a </w:t>
      </w:r>
      <w:r w:rsidRPr="0028587F">
        <w:rPr>
          <w:rFonts w:asciiTheme="majorBidi" w:hAnsiTheme="majorBidi" w:cstheme="majorBidi"/>
          <w:iCs/>
          <w:szCs w:val="24"/>
        </w:rPr>
        <w:t xml:space="preserve">rainbow trout </w:t>
      </w:r>
      <w:r w:rsidRPr="0028587F">
        <w:rPr>
          <w:rFonts w:asciiTheme="majorBidi" w:hAnsiTheme="majorBidi" w:cstheme="majorBidi"/>
          <w:szCs w:val="24"/>
        </w:rPr>
        <w:t>(</w:t>
      </w:r>
      <w:r w:rsidRPr="0028587F">
        <w:rPr>
          <w:rFonts w:asciiTheme="majorBidi" w:hAnsiTheme="majorBidi" w:cstheme="majorBidi"/>
          <w:i/>
          <w:iCs/>
          <w:szCs w:val="24"/>
        </w:rPr>
        <w:t>Oncorhynchus mykiss</w:t>
      </w:r>
      <w:r w:rsidRPr="0028587F">
        <w:rPr>
          <w:rFonts w:asciiTheme="majorBidi" w:hAnsiTheme="majorBidi" w:cstheme="majorBidi"/>
          <w:iCs/>
          <w:szCs w:val="24"/>
        </w:rPr>
        <w:t>), reference sequence (</w:t>
      </w:r>
      <w:proofErr w:type="spellStart"/>
      <w:r w:rsidR="000A37EA">
        <w:rPr>
          <w:rFonts w:asciiTheme="majorBidi" w:hAnsiTheme="majorBidi" w:cstheme="majorBidi"/>
          <w:iCs/>
          <w:szCs w:val="24"/>
        </w:rPr>
        <w:t>Genbank</w:t>
      </w:r>
      <w:proofErr w:type="spellEnd"/>
      <w:r w:rsidR="000A37EA">
        <w:rPr>
          <w:rFonts w:asciiTheme="majorBidi" w:hAnsiTheme="majorBidi" w:cstheme="majorBidi"/>
          <w:iCs/>
          <w:szCs w:val="24"/>
        </w:rPr>
        <w:t xml:space="preserve"> accession number </w:t>
      </w:r>
      <w:r w:rsidRPr="0028587F">
        <w:rPr>
          <w:rFonts w:asciiTheme="majorBidi" w:hAnsiTheme="majorBidi" w:cstheme="majorBidi"/>
          <w:iCs/>
          <w:szCs w:val="24"/>
        </w:rPr>
        <w:t xml:space="preserve">DQ288271.1) </w:t>
      </w:r>
      <w:r w:rsidR="00A845AA">
        <w:rPr>
          <w:rFonts w:asciiTheme="majorBidi" w:hAnsiTheme="majorBidi" w:cstheme="majorBidi"/>
          <w:iCs/>
          <w:szCs w:val="24"/>
        </w:rPr>
        <w:fldChar w:fldCharType="begin"/>
      </w:r>
      <w:r w:rsidR="00A845AA">
        <w:rPr>
          <w:rFonts w:asciiTheme="majorBidi" w:hAnsiTheme="majorBidi" w:cstheme="majorBidi"/>
          <w:iCs/>
          <w:szCs w:val="24"/>
        </w:rPr>
        <w:instrText xml:space="preserve"> ADDIN ZOTERO_ITEM CSL_CITATION {"citationID":"usJZOE0N","properties":{"formattedCitation":"[6]","plainCitation":"[6]","noteIndex":0},"citationItems":[{"id":11432,"uris":["http://zotero.org/users/2116397/items/EW37TVU3"],"uri":["http://zotero.org/users/2116397/items/EW37TVU3"],"itemData":{"id":11432,"type":"article-journal","container-title":"Comparative Biochemistry and Physiology Part D: Genomics and Proteomics","DOI":"10.1016/j.cbd.2005.11.004","ISSN":"1744117X","issue":"2","journalAbbreviation":"Comparative Biochemistry and Physiology Part D: Genomics and Proteomics","language":"en","page":"219-226","source":"DOI.org (Crossref)","title":"Intraspecific variation in the rainbow trout mitochondrial DNA genome","volume":"1","author":[{"family":"Brown","given":"Kim H."},{"family":"Drew","given":"Robert E."},{"family":"Weber","given":"Lee A."},{"family":"Thorgaard","given":"Gary H."}],"issued":{"date-parts":[["2006",6]]}}}],"schema":"https://github.com/citation-style-language/schema/raw/master/csl-citation.json"} </w:instrText>
      </w:r>
      <w:r w:rsidR="00A845AA">
        <w:rPr>
          <w:rFonts w:asciiTheme="majorBidi" w:hAnsiTheme="majorBidi" w:cstheme="majorBidi"/>
          <w:iCs/>
          <w:szCs w:val="24"/>
        </w:rPr>
        <w:fldChar w:fldCharType="separate"/>
      </w:r>
      <w:r w:rsidR="00A845AA">
        <w:rPr>
          <w:rFonts w:asciiTheme="majorBidi" w:hAnsiTheme="majorBidi" w:cstheme="majorBidi"/>
          <w:iCs/>
          <w:noProof/>
          <w:szCs w:val="24"/>
        </w:rPr>
        <w:t>[6]</w:t>
      </w:r>
      <w:r w:rsidR="00A845AA">
        <w:rPr>
          <w:rFonts w:asciiTheme="majorBidi" w:hAnsiTheme="majorBidi" w:cstheme="majorBidi"/>
          <w:iCs/>
          <w:szCs w:val="24"/>
        </w:rPr>
        <w:fldChar w:fldCharType="end"/>
      </w:r>
      <w:r w:rsidRPr="0028587F">
        <w:rPr>
          <w:rFonts w:asciiTheme="majorBidi" w:hAnsiTheme="majorBidi" w:cstheme="majorBidi"/>
          <w:szCs w:val="24"/>
        </w:rPr>
        <w:t xml:space="preserve">. The 148 bp sequences produced from these amplicons are particularly useful for discriminating between salmonid species, but have also been demonstrated to be useful for identifying a wide range of non-salmonid species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9Bz8r4JD","properties":{"formattedCitation":"[7]","plainCitation":"[7]","noteIndex":0},"citationItems":[{"id":10729,"uris":["http://zotero.org/users/2116397/items/FFMQKMVJ"],"uri":["http://zotero.org/users/2116397/items/FFMQKMVJ"],"itemData":{"id":10729,"type":"article-journal","container-title":"Journal of Archaeological Science","DOI":"10.1016/j.jas.2012.07.013","ISSN":"03054403","issue":"1","journalAbbreviation":"Journal of Archaeological Science","language":"en","page":"544-555","source":"DOI.org (Crossref)","title":"Using ancient DNA identification and osteometric measures of archaeological Pacific salmon vertebrae for reconstructing salmon fisheries and site seasonality at Dionisio Point, British Columbia","volume":"40","author":[{"family":"Grier","given":"Colin"},{"family":"Flanigan","given":"Kelli"},{"family":"Winters","given":"Misa"},{"family":"Jordan","given":"Leah G."},{"family":"Lukowski","given":"Susan"},{"family":"Kemp","given":"Brian M."}],"issued":{"date-parts":[["2013",1]]}}}],"schema":"https://github.com/citation-style-language/schema/raw/master/csl-citation.json"}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[7]</w:t>
      </w:r>
      <w:r w:rsidR="00A845AA">
        <w:rPr>
          <w:rFonts w:asciiTheme="majorBidi" w:hAnsiTheme="majorBidi" w:cstheme="majorBidi"/>
          <w:szCs w:val="24"/>
        </w:rPr>
        <w:fldChar w:fldCharType="end"/>
      </w:r>
      <w:r w:rsidRPr="0028587F">
        <w:rPr>
          <w:rFonts w:asciiTheme="majorBidi" w:hAnsiTheme="majorBidi" w:cstheme="majorBidi"/>
          <w:szCs w:val="24"/>
        </w:rPr>
        <w:t xml:space="preserve">. Note that Jordan et al. originally described their reverse primer in the wrong orientation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CTPJu3L5","properties":{"formattedCitation":"[5]","plainCitation":"[5]","noteIndex":0},"citationItems":[{"id":10730,"uris":["http://zotero.org/users/2116397/items/6L7Y2AN3"],"uri":["http://zotero.org/users/2116397/items/6L7Y2AN3"],"itemData":{"id":10730,"type":"article-journal","container-title":"Molecular Ecology Resources","DOI":"10.1111/j.1755-0998.2009.02739.x","ISSN":"1755098X, 17550998","issue":"1","language":"en","page":"225-228","source":"DOI.org (Crossref)","title":"Universal mtDNA primers for species identification of degraded bony fish samples: Molecular Diagnostics and DNA Taxonomy","title-short":"Universal mtDNA primers for species identification of degraded bony fish samples","volume":"10","author":[{"family":"Jordan","given":"Leah G."},{"family":"Steele","given":"Craig A."},{"family":"Thorgaard","given":"Gary H."}],"issued":{"date-parts":[["2010",1]]}}}],"schema":"https://github.com/citation-style-language/schema/raw/master/csl-citation.json"}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[5]</w:t>
      </w:r>
      <w:r w:rsidR="00A845AA">
        <w:rPr>
          <w:rFonts w:asciiTheme="majorBidi" w:hAnsiTheme="majorBidi" w:cstheme="majorBidi"/>
          <w:szCs w:val="24"/>
        </w:rPr>
        <w:fldChar w:fldCharType="end"/>
      </w:r>
      <w:r w:rsidRPr="0028587F">
        <w:rPr>
          <w:rFonts w:asciiTheme="majorBidi" w:hAnsiTheme="majorBidi" w:cstheme="majorBidi"/>
          <w:szCs w:val="24"/>
        </w:rPr>
        <w:t xml:space="preserve">. The corrected primers are OST12S-F (5’-GCTTAAAACCCAAAGGACTTG-3’) and OST12S-R (5’-CTACACCTCGACCTGACGTT-3’). </w:t>
      </w:r>
    </w:p>
    <w:p w14:paraId="5C5947FD" w14:textId="77777777" w:rsidR="00ED5CA4" w:rsidRPr="0028587F" w:rsidRDefault="00ED5CA4" w:rsidP="00A845AA">
      <w:pPr>
        <w:widowControl w:val="0"/>
        <w:autoSpaceDE w:val="0"/>
        <w:autoSpaceDN w:val="0"/>
        <w:adjustRightInd w:val="0"/>
        <w:spacing w:line="480" w:lineRule="auto"/>
        <w:ind w:firstLine="720"/>
        <w:rPr>
          <w:rFonts w:asciiTheme="majorBidi" w:hAnsiTheme="majorBidi" w:cstheme="majorBidi"/>
          <w:szCs w:val="24"/>
        </w:rPr>
      </w:pPr>
      <w:r w:rsidRPr="0028587F">
        <w:rPr>
          <w:rFonts w:asciiTheme="majorBidi" w:hAnsiTheme="majorBidi" w:cstheme="majorBidi"/>
          <w:szCs w:val="24"/>
        </w:rPr>
        <w:t xml:space="preserve">Full concentration eluates (deemed to be uninhibited) and the 1:10 dilutions of the original full concentration DNA eluates were subjected to PCR amplification in 15 µl reactions as follows. First, “standard” PCRs contained 1X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Reaction Buffer, 0.32 mM dNTPs, 0.24 µM of each primer, 0.3 U of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LA polymerase, and 1.5 µl of template DNA. </w:t>
      </w:r>
    </w:p>
    <w:p w14:paraId="6E03FFE6" w14:textId="188CA045" w:rsidR="00ED5CA4" w:rsidRPr="0028587F" w:rsidRDefault="00ED5CA4" w:rsidP="00A845AA">
      <w:pPr>
        <w:widowControl w:val="0"/>
        <w:autoSpaceDE w:val="0"/>
        <w:autoSpaceDN w:val="0"/>
        <w:adjustRightInd w:val="0"/>
        <w:spacing w:line="480" w:lineRule="auto"/>
        <w:ind w:firstLine="720"/>
        <w:rPr>
          <w:rFonts w:asciiTheme="majorBidi" w:hAnsiTheme="majorBidi" w:cstheme="majorBidi"/>
          <w:szCs w:val="24"/>
        </w:rPr>
      </w:pPr>
      <w:r w:rsidRPr="0028587F">
        <w:rPr>
          <w:rFonts w:asciiTheme="majorBidi" w:hAnsiTheme="majorBidi" w:cstheme="majorBidi"/>
          <w:szCs w:val="24"/>
        </w:rPr>
        <w:t xml:space="preserve">Second, we employed PCR </w:t>
      </w:r>
      <w:r w:rsidR="001F4E44" w:rsidRPr="0028587F">
        <w:rPr>
          <w:rFonts w:asciiTheme="majorBidi" w:hAnsiTheme="majorBidi" w:cstheme="majorBidi"/>
          <w:szCs w:val="24"/>
        </w:rPr>
        <w:t xml:space="preserve">enhancer </w:t>
      </w:r>
      <w:r w:rsidRPr="0028587F">
        <w:rPr>
          <w:rFonts w:asciiTheme="majorBidi" w:hAnsiTheme="majorBidi" w:cstheme="majorBidi"/>
          <w:szCs w:val="24"/>
        </w:rPr>
        <w:t>cocktail</w:t>
      </w:r>
      <w:r w:rsidR="001F4E44" w:rsidRPr="0028587F">
        <w:rPr>
          <w:rFonts w:asciiTheme="majorBidi" w:hAnsiTheme="majorBidi" w:cstheme="majorBidi"/>
          <w:szCs w:val="24"/>
        </w:rPr>
        <w:t>-P</w:t>
      </w:r>
      <w:r w:rsidRPr="0028587F">
        <w:rPr>
          <w:rFonts w:asciiTheme="majorBidi" w:hAnsiTheme="majorBidi" w:cstheme="majorBidi"/>
          <w:szCs w:val="24"/>
        </w:rPr>
        <w:t xml:space="preserve"> </w:t>
      </w:r>
      <w:r w:rsidR="001F4E44" w:rsidRPr="0028587F">
        <w:rPr>
          <w:rFonts w:asciiTheme="majorBidi" w:hAnsiTheme="majorBidi" w:cstheme="majorBidi"/>
          <w:szCs w:val="24"/>
        </w:rPr>
        <w:t>(</w:t>
      </w:r>
      <w:r w:rsidRPr="0028587F">
        <w:rPr>
          <w:rFonts w:asciiTheme="majorBidi" w:hAnsiTheme="majorBidi" w:cstheme="majorBidi"/>
          <w:szCs w:val="24"/>
        </w:rPr>
        <w:t>PEC-P</w:t>
      </w:r>
      <w:r w:rsidR="001F4E44" w:rsidRPr="0028587F">
        <w:rPr>
          <w:rFonts w:asciiTheme="majorBidi" w:hAnsiTheme="majorBidi" w:cstheme="majorBidi"/>
          <w:szCs w:val="24"/>
        </w:rPr>
        <w:t xml:space="preserve">; </w:t>
      </w:r>
      <w:r w:rsidRPr="0028587F">
        <w:rPr>
          <w:rFonts w:asciiTheme="majorBidi" w:hAnsiTheme="majorBidi" w:cstheme="majorBidi"/>
          <w:szCs w:val="24"/>
        </w:rPr>
        <w:t xml:space="preserve">DNA Polymerase Technology) that has been found useful in amplifying aged and degraded DNA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enJ3dVHy","properties":{"formattedCitation":"[8]","plainCitation":"[8]","noteIndex":0},"citationItems":[{"id":11433,"uris":["http://zotero.org/users/2116397/items/76UGKJ8B"],"uri":["http://zotero.org/users/2116397/items/76UGKJ8B"],"itemData":{"id":11433,"type":"article-journal","container-title":"PLOS ONE","DOI":"10.1371/journal.pone.0234745","ISSN":"1932-6203","issue":"6","journalAbbreviation":"PLoS ONE","language":"en","page":"e0234745","source":"DOI.org (Crossref)","title":"Subduing the influence of PCR inhibitors on amplifying aged, degraded, and low copy number DNA: PCR enhancer cocktail-p and rescue PCR","title-short":"Subduing the influence of PCR inhibitors on amplifying aged, degraded, and low copy number DNA","volume":"15","author":[{"family":"Kemp","given":"Brian M."},{"family":"Bingham","given":"Brittany"},{"family":"Frome","given":"Ryan"},{"family":"Labonte","given":"Marie"},{"family":"Palmer","given":"Erica"},{"family":"Parsons","given":"Ella S."},{"family":"Gobalet","given":"Kenneth W."},{"family":"Rosenthal","given":"Jeffrey"}],"editor":[{"family":"Kalendar","given":"Ruslan"}],"issued":{"date-parts":[["2020",6,16]]}}}],"schema":"https://github.com/citation-style-language/schema/raw/master/csl-citation.json"}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[8]</w:t>
      </w:r>
      <w:r w:rsidR="00A845AA">
        <w:rPr>
          <w:rFonts w:asciiTheme="majorBidi" w:hAnsiTheme="majorBidi" w:cstheme="majorBidi"/>
          <w:szCs w:val="24"/>
        </w:rPr>
        <w:fldChar w:fldCharType="end"/>
      </w:r>
      <w:r w:rsidRPr="0028587F">
        <w:rPr>
          <w:rFonts w:asciiTheme="majorBidi" w:hAnsiTheme="majorBidi" w:cstheme="majorBidi"/>
          <w:szCs w:val="24"/>
        </w:rPr>
        <w:t>. Fifteen µ</w:t>
      </w:r>
      <w:r w:rsidR="001F4E44" w:rsidRPr="0028587F">
        <w:rPr>
          <w:rFonts w:asciiTheme="majorBidi" w:hAnsiTheme="majorBidi" w:cstheme="majorBidi"/>
          <w:szCs w:val="24"/>
        </w:rPr>
        <w:t>l</w:t>
      </w:r>
      <w:r w:rsidRPr="0028587F">
        <w:rPr>
          <w:rFonts w:asciiTheme="majorBidi" w:hAnsiTheme="majorBidi" w:cstheme="majorBidi"/>
          <w:szCs w:val="24"/>
        </w:rPr>
        <w:t xml:space="preserve"> PEC-P PCR reactions with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contained 1X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Reaction Buffer, 0.32 mM dNTPs, 0.24 µM of each primer, 0.3 U of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LA polymerase, 20% (v/v) PCR enhancer cocktail, and 1.5 µl of template DNA. Fifteen µl PEC-P PCR reactions with Platinum Taq contained 1X PCR </w:t>
      </w:r>
      <w:r w:rsidRPr="0028587F">
        <w:rPr>
          <w:rFonts w:asciiTheme="majorBidi" w:hAnsiTheme="majorBidi" w:cstheme="majorBidi"/>
          <w:szCs w:val="24"/>
        </w:rPr>
        <w:lastRenderedPageBreak/>
        <w:t>Buffer, 1.5 mM MgCl</w:t>
      </w:r>
      <w:r w:rsidRPr="0028587F">
        <w:rPr>
          <w:rFonts w:asciiTheme="majorBidi" w:hAnsiTheme="majorBidi" w:cstheme="majorBidi"/>
          <w:szCs w:val="24"/>
          <w:vertAlign w:val="subscript"/>
        </w:rPr>
        <w:t>2</w:t>
      </w:r>
      <w:r w:rsidRPr="0028587F">
        <w:rPr>
          <w:rFonts w:asciiTheme="majorBidi" w:hAnsiTheme="majorBidi" w:cstheme="majorBidi"/>
          <w:szCs w:val="24"/>
        </w:rPr>
        <w:t>, 0.32 mM dNTPs, 0.24 µM of each primer, 0.3 U of Platinum Taq, 20% (v/v) PCR enhancer cocktail, and 1.5 µl of template DNA.</w:t>
      </w:r>
    </w:p>
    <w:p w14:paraId="17BB4CCD" w14:textId="2BF02B68" w:rsidR="00ED5CA4" w:rsidRPr="0028587F" w:rsidRDefault="00ED5CA4" w:rsidP="00A845AA">
      <w:pPr>
        <w:widowControl w:val="0"/>
        <w:autoSpaceDE w:val="0"/>
        <w:autoSpaceDN w:val="0"/>
        <w:adjustRightInd w:val="0"/>
        <w:spacing w:line="480" w:lineRule="auto"/>
        <w:ind w:firstLine="720"/>
        <w:rPr>
          <w:rFonts w:asciiTheme="majorBidi" w:hAnsiTheme="majorBidi" w:cstheme="majorBidi"/>
          <w:szCs w:val="24"/>
        </w:rPr>
      </w:pPr>
      <w:r w:rsidRPr="0028587F">
        <w:rPr>
          <w:rFonts w:asciiTheme="majorBidi" w:hAnsiTheme="majorBidi" w:cstheme="majorBidi"/>
          <w:szCs w:val="24"/>
        </w:rPr>
        <w:t xml:space="preserve">Third, rescue PCR at a 25% increase was carried out as described by Johnson and Kemp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J502d55l","properties":{"formattedCitation":"[9]","plainCitation":"[9]","noteIndex":0},"citationItems":[{"id":11436,"uris":["http://zotero.org/users/2116397/items/QMYMCXDV"],"uri":["http://zotero.org/users/2116397/items/QMYMCXDV"],"itemData":{"id":11436,"type":"article-journal","container-title":"Journal of Archaeological Science: Reports","DOI":"10.1016/j.jasrep.2017.01.006","ISSN":"2352409X","journalAbbreviation":"Journal of Archaeological Science: Reports","language":"en","page":"683-694","source":"DOI.org (Crossref)","title":"Rescue PCR: Reagent-rich PCR recipe improves amplification of degraded DNA extracts","title-short":"Rescue PCR","volume":"11","author":[{"family":"Johnson","given":"Bobbi M."},{"family":"Kemp","given":"Brian M."}],"issued":{"date-parts":[["2017",2]]}}}],"schema":"https://github.com/citation-style-language/schema/raw/master/csl-citation.json"}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[9]</w:t>
      </w:r>
      <w:r w:rsidR="00A845AA">
        <w:rPr>
          <w:rFonts w:asciiTheme="majorBidi" w:hAnsiTheme="majorBidi" w:cstheme="majorBidi"/>
          <w:szCs w:val="24"/>
        </w:rPr>
        <w:fldChar w:fldCharType="end"/>
      </w:r>
      <w:r w:rsidRPr="0028587F">
        <w:rPr>
          <w:rFonts w:asciiTheme="majorBidi" w:hAnsiTheme="majorBidi" w:cstheme="majorBidi"/>
          <w:szCs w:val="24"/>
        </w:rPr>
        <w:t xml:space="preserve">. Rescue PCRs contained 1.25X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Reaction Buffer (including a final concentration of 4.375 mM MgCl</w:t>
      </w:r>
      <w:r w:rsidRPr="0028587F">
        <w:rPr>
          <w:rFonts w:asciiTheme="majorBidi" w:hAnsiTheme="majorBidi" w:cstheme="majorBidi"/>
          <w:szCs w:val="24"/>
          <w:vertAlign w:val="subscript"/>
        </w:rPr>
        <w:t>2</w:t>
      </w:r>
      <w:r w:rsidRPr="0028587F">
        <w:rPr>
          <w:rFonts w:asciiTheme="majorBidi" w:hAnsiTheme="majorBidi" w:cstheme="majorBidi"/>
          <w:szCs w:val="24"/>
        </w:rPr>
        <w:t xml:space="preserve">), 0.4 mM dNTPs, 0.3 µM of each primer, 0.375 U of Omni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LA polymerase, and 1.5 µl of template DNA. </w:t>
      </w:r>
    </w:p>
    <w:p w14:paraId="0BE685B7" w14:textId="77777777" w:rsidR="00ED5CA4" w:rsidRPr="0028587F" w:rsidRDefault="00ED5CA4" w:rsidP="00A845AA">
      <w:pPr>
        <w:widowControl w:val="0"/>
        <w:autoSpaceDE w:val="0"/>
        <w:autoSpaceDN w:val="0"/>
        <w:adjustRightInd w:val="0"/>
        <w:spacing w:line="480" w:lineRule="auto"/>
        <w:ind w:firstLine="720"/>
        <w:rPr>
          <w:rFonts w:asciiTheme="majorBidi" w:hAnsiTheme="majorBidi" w:cstheme="majorBidi"/>
          <w:szCs w:val="24"/>
        </w:rPr>
      </w:pPr>
      <w:r w:rsidRPr="0028587F">
        <w:rPr>
          <w:rFonts w:asciiTheme="majorBidi" w:hAnsiTheme="majorBidi" w:cstheme="majorBidi"/>
          <w:szCs w:val="24"/>
        </w:rPr>
        <w:t xml:space="preserve">When employing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PCR conditions were as follows: denaturing at 94</w:t>
      </w:r>
      <w:r w:rsidRPr="0028587F">
        <w:rPr>
          <w:rFonts w:asciiTheme="majorBidi" w:hAnsiTheme="majorBidi" w:cstheme="majorBidi"/>
          <w:szCs w:val="24"/>
          <w:vertAlign w:val="superscript"/>
        </w:rPr>
        <w:t>º</w:t>
      </w:r>
      <w:r w:rsidRPr="0028587F">
        <w:rPr>
          <w:rFonts w:asciiTheme="majorBidi" w:hAnsiTheme="majorBidi" w:cstheme="majorBidi"/>
          <w:szCs w:val="24"/>
        </w:rPr>
        <w:t>C for 3 minutes followed by 60 cycles of PCR conducted at 94</w:t>
      </w:r>
      <w:r w:rsidRPr="0028587F">
        <w:rPr>
          <w:rFonts w:asciiTheme="majorBidi" w:hAnsiTheme="majorBidi" w:cstheme="majorBidi"/>
          <w:szCs w:val="24"/>
          <w:vertAlign w:val="superscript"/>
        </w:rPr>
        <w:t>º</w:t>
      </w:r>
      <w:r w:rsidRPr="0028587F">
        <w:rPr>
          <w:rFonts w:asciiTheme="majorBidi" w:hAnsiTheme="majorBidi" w:cstheme="majorBidi"/>
          <w:szCs w:val="24"/>
        </w:rPr>
        <w:t>C for 15 s, 55</w:t>
      </w:r>
      <w:r w:rsidRPr="0028587F">
        <w:rPr>
          <w:rFonts w:asciiTheme="majorBidi" w:hAnsiTheme="majorBidi" w:cstheme="majorBidi"/>
          <w:szCs w:val="24"/>
          <w:vertAlign w:val="superscript"/>
        </w:rPr>
        <w:t>º</w:t>
      </w:r>
      <w:r w:rsidRPr="0028587F">
        <w:rPr>
          <w:rFonts w:asciiTheme="majorBidi" w:hAnsiTheme="majorBidi" w:cstheme="majorBidi"/>
          <w:szCs w:val="24"/>
        </w:rPr>
        <w:t>C for 15 s, and 68</w:t>
      </w:r>
      <w:r w:rsidRPr="0028587F">
        <w:rPr>
          <w:rFonts w:asciiTheme="majorBidi" w:hAnsiTheme="majorBidi" w:cstheme="majorBidi"/>
          <w:szCs w:val="24"/>
          <w:vertAlign w:val="superscript"/>
        </w:rPr>
        <w:t>º</w:t>
      </w:r>
      <w:r w:rsidRPr="0028587F">
        <w:rPr>
          <w:rFonts w:asciiTheme="majorBidi" w:hAnsiTheme="majorBidi" w:cstheme="majorBidi"/>
          <w:szCs w:val="24"/>
        </w:rPr>
        <w:t xml:space="preserve">C for 15 s. Finally, a </w:t>
      </w:r>
      <w:proofErr w:type="gramStart"/>
      <w:r w:rsidRPr="0028587F">
        <w:rPr>
          <w:rFonts w:asciiTheme="majorBidi" w:hAnsiTheme="majorBidi" w:cstheme="majorBidi"/>
          <w:szCs w:val="24"/>
        </w:rPr>
        <w:t>3 minute</w:t>
      </w:r>
      <w:proofErr w:type="gramEnd"/>
      <w:r w:rsidRPr="0028587F">
        <w:rPr>
          <w:rFonts w:asciiTheme="majorBidi" w:hAnsiTheme="majorBidi" w:cstheme="majorBidi"/>
          <w:szCs w:val="24"/>
        </w:rPr>
        <w:t xml:space="preserve"> extension period at 68</w:t>
      </w:r>
      <w:r w:rsidRPr="0028587F">
        <w:rPr>
          <w:rFonts w:asciiTheme="majorBidi" w:hAnsiTheme="majorBidi" w:cstheme="majorBidi"/>
          <w:szCs w:val="24"/>
          <w:vertAlign w:val="superscript"/>
        </w:rPr>
        <w:t>º</w:t>
      </w:r>
      <w:r w:rsidRPr="0028587F">
        <w:rPr>
          <w:rFonts w:asciiTheme="majorBidi" w:hAnsiTheme="majorBidi" w:cstheme="majorBidi"/>
          <w:szCs w:val="24"/>
        </w:rPr>
        <w:t>C was conducted prior to bringing the reactions to 10</w:t>
      </w:r>
      <w:r w:rsidRPr="0028587F">
        <w:rPr>
          <w:rFonts w:asciiTheme="majorBidi" w:hAnsiTheme="majorBidi" w:cstheme="majorBidi"/>
          <w:szCs w:val="24"/>
          <w:vertAlign w:val="superscript"/>
        </w:rPr>
        <w:t>º</w:t>
      </w:r>
      <w:r w:rsidRPr="0028587F">
        <w:rPr>
          <w:rFonts w:asciiTheme="majorBidi" w:hAnsiTheme="majorBidi" w:cstheme="majorBidi"/>
          <w:szCs w:val="24"/>
        </w:rPr>
        <w:t>C. When employing Platinum Taq, extension temperatures were 72</w:t>
      </w:r>
      <w:r w:rsidRPr="0028587F">
        <w:rPr>
          <w:rFonts w:asciiTheme="majorBidi" w:hAnsiTheme="majorBidi" w:cstheme="majorBidi"/>
          <w:szCs w:val="24"/>
          <w:vertAlign w:val="superscript"/>
        </w:rPr>
        <w:t>º</w:t>
      </w:r>
      <w:r w:rsidRPr="0028587F">
        <w:rPr>
          <w:rFonts w:asciiTheme="majorBidi" w:hAnsiTheme="majorBidi" w:cstheme="majorBidi"/>
          <w:szCs w:val="24"/>
        </w:rPr>
        <w:t>C.</w:t>
      </w:r>
    </w:p>
    <w:p w14:paraId="5AC3C6EA" w14:textId="62575D43" w:rsidR="00ED5CA4" w:rsidRPr="0028587F" w:rsidRDefault="00ED5CA4" w:rsidP="00A845AA">
      <w:pPr>
        <w:widowControl w:val="0"/>
        <w:autoSpaceDE w:val="0"/>
        <w:autoSpaceDN w:val="0"/>
        <w:adjustRightInd w:val="0"/>
        <w:spacing w:line="480" w:lineRule="auto"/>
        <w:ind w:firstLine="720"/>
        <w:rPr>
          <w:rFonts w:asciiTheme="majorBidi" w:hAnsiTheme="majorBidi" w:cstheme="majorBidi"/>
          <w:szCs w:val="24"/>
        </w:rPr>
      </w:pPr>
      <w:r w:rsidRPr="0028587F">
        <w:rPr>
          <w:rFonts w:asciiTheme="majorBidi" w:hAnsiTheme="majorBidi" w:cstheme="majorBidi"/>
          <w:szCs w:val="24"/>
        </w:rPr>
        <w:t xml:space="preserve">Positive amplification was confirmed by separating 2 µl of amplicons on 2% agarose gels stained with </w:t>
      </w:r>
      <w:proofErr w:type="spellStart"/>
      <w:r w:rsidRPr="0028587F">
        <w:rPr>
          <w:rFonts w:asciiTheme="majorBidi" w:hAnsiTheme="majorBidi" w:cstheme="majorBidi"/>
          <w:szCs w:val="24"/>
        </w:rPr>
        <w:t>Gelred</w:t>
      </w:r>
      <w:proofErr w:type="spellEnd"/>
      <w:r w:rsidRPr="0028587F">
        <w:rPr>
          <w:rFonts w:asciiTheme="majorBidi" w:hAnsiTheme="majorBidi" w:cstheme="majorBidi"/>
          <w:szCs w:val="24"/>
        </w:rPr>
        <w:t xml:space="preserve"> and visualized with UV light. Amplicons were sequenced in both directions at </w:t>
      </w:r>
      <w:proofErr w:type="spellStart"/>
      <w:r w:rsidRPr="0028587F">
        <w:rPr>
          <w:rFonts w:asciiTheme="majorBidi" w:hAnsiTheme="majorBidi" w:cstheme="majorBidi"/>
          <w:szCs w:val="24"/>
        </w:rPr>
        <w:t>Genewiz</w:t>
      </w:r>
      <w:proofErr w:type="spellEnd"/>
      <w:r w:rsidRPr="0028587F">
        <w:rPr>
          <w:rFonts w:asciiTheme="majorBidi" w:hAnsiTheme="majorBidi" w:cstheme="majorBidi"/>
          <w:szCs w:val="24"/>
        </w:rPr>
        <w:t xml:space="preserve"> (</w:t>
      </w:r>
      <w:hyperlink r:id="rId8" w:history="1">
        <w:r w:rsidRPr="0028587F">
          <w:rPr>
            <w:rStyle w:val="Hyperlink"/>
            <w:rFonts w:asciiTheme="majorBidi" w:hAnsiTheme="majorBidi" w:cstheme="majorBidi"/>
            <w:szCs w:val="24"/>
          </w:rPr>
          <w:t>www.genewiz.com</w:t>
        </w:r>
      </w:hyperlink>
      <w:r w:rsidRPr="0028587F">
        <w:rPr>
          <w:rFonts w:asciiTheme="majorBidi" w:hAnsiTheme="majorBidi" w:cstheme="majorBidi"/>
          <w:szCs w:val="24"/>
        </w:rPr>
        <w:t xml:space="preserve">). </w:t>
      </w:r>
      <w:r w:rsidRPr="0028587F">
        <w:rPr>
          <w:rFonts w:asciiTheme="majorBidi" w:hAnsiTheme="majorBidi" w:cstheme="majorBidi"/>
          <w:color w:val="000000"/>
          <w:szCs w:val="24"/>
        </w:rPr>
        <w:t>Sequences were aligned to a rainbow trout (</w:t>
      </w:r>
      <w:r w:rsidRPr="0028587F">
        <w:rPr>
          <w:rFonts w:asciiTheme="majorBidi" w:hAnsiTheme="majorBidi" w:cstheme="majorBidi"/>
          <w:i/>
          <w:color w:val="000000"/>
          <w:szCs w:val="24"/>
        </w:rPr>
        <w:t>O. mykiss</w:t>
      </w:r>
      <w:r w:rsidRPr="0028587F">
        <w:rPr>
          <w:rFonts w:asciiTheme="majorBidi" w:hAnsiTheme="majorBidi" w:cstheme="majorBidi"/>
          <w:color w:val="000000"/>
          <w:szCs w:val="24"/>
        </w:rPr>
        <w:t xml:space="preserve">) full mitochondrial genome </w:t>
      </w:r>
      <w:r w:rsidR="001F4E44" w:rsidRPr="0028587F">
        <w:rPr>
          <w:rFonts w:asciiTheme="majorBidi" w:hAnsiTheme="majorBidi" w:cstheme="majorBidi"/>
          <w:color w:val="000000"/>
          <w:szCs w:val="24"/>
        </w:rPr>
        <w:t xml:space="preserve">reference sequence </w:t>
      </w:r>
      <w:r w:rsidR="006A4A20">
        <w:rPr>
          <w:rFonts w:asciiTheme="majorBidi" w:hAnsiTheme="majorBidi" w:cstheme="majorBidi"/>
          <w:color w:val="000000"/>
          <w:szCs w:val="24"/>
        </w:rPr>
        <w:t>(</w:t>
      </w:r>
      <w:proofErr w:type="spellStart"/>
      <w:r w:rsidRPr="0028587F">
        <w:rPr>
          <w:rFonts w:asciiTheme="majorBidi" w:hAnsiTheme="majorBidi" w:cstheme="majorBidi"/>
          <w:color w:val="000000"/>
          <w:szCs w:val="24"/>
        </w:rPr>
        <w:t>Genbank</w:t>
      </w:r>
      <w:proofErr w:type="spellEnd"/>
      <w:r w:rsidRPr="0028587F">
        <w:rPr>
          <w:rFonts w:asciiTheme="majorBidi" w:hAnsiTheme="majorBidi" w:cstheme="majorBidi"/>
          <w:color w:val="000000"/>
          <w:szCs w:val="24"/>
        </w:rPr>
        <w:t xml:space="preserve"> accession DQ288271</w:t>
      </w:r>
      <w:r w:rsidR="006A4A20">
        <w:rPr>
          <w:rFonts w:asciiTheme="majorBidi" w:hAnsiTheme="majorBidi" w:cstheme="majorBidi"/>
          <w:color w:val="000000"/>
          <w:szCs w:val="24"/>
        </w:rPr>
        <w:t>.1)</w:t>
      </w:r>
      <w:r w:rsidRPr="0028587F">
        <w:rPr>
          <w:rFonts w:asciiTheme="majorBidi" w:hAnsiTheme="majorBidi" w:cstheme="majorBidi"/>
          <w:color w:val="000000"/>
          <w:szCs w:val="24"/>
        </w:rPr>
        <w:t xml:space="preserve"> </w:t>
      </w:r>
      <w:r w:rsidR="00A845AA">
        <w:rPr>
          <w:rFonts w:asciiTheme="majorBidi" w:hAnsiTheme="majorBidi" w:cstheme="majorBidi"/>
          <w:color w:val="000000"/>
          <w:szCs w:val="24"/>
        </w:rPr>
        <w:fldChar w:fldCharType="begin"/>
      </w:r>
      <w:r w:rsidR="00A845AA">
        <w:rPr>
          <w:rFonts w:asciiTheme="majorBidi" w:hAnsiTheme="majorBidi" w:cstheme="majorBidi"/>
          <w:color w:val="000000"/>
          <w:szCs w:val="24"/>
        </w:rPr>
        <w:instrText xml:space="preserve"> ADDIN ZOTERO_ITEM CSL_CITATION {"citationID":"sHZf2MeI","properties":{"formattedCitation":"[6]","plainCitation":"[6]","noteIndex":0},"citationItems":[{"id":11432,"uris":["http://zotero.org/users/2116397/items/EW37TVU3"],"uri":["http://zotero.org/users/2116397/items/EW37TVU3"],"itemData":{"id":11432,"type":"article-journal","container-title":"Comparative Biochemistry and Physiology Part D: Genomics and Proteomics","DOI":"10.1016/j.cbd.2005.11.004","ISSN":"1744117X","issue":"2","journalAbbreviation":"Comparative Biochemistry and Physiology Part D: Genomics and Proteomics","language":"en","page":"219-226","source":"DOI.org (Crossref)","title":"Intraspecific variation in the rainbow trout mitochondrial DNA genome","volume":"1","author":[{"family":"Brown","given":"Kim H."},{"family":"Drew","given":"Robert E."},{"family":"Weber","given":"Lee A."},{"family":"Thorgaard","given":"Gary H."}],"issued":{"date-parts":[["2006",6]]}}}],"schema":"https://github.com/citation-style-language/schema/raw/master/csl-citation.json"} </w:instrText>
      </w:r>
      <w:r w:rsidR="00A845AA">
        <w:rPr>
          <w:rFonts w:asciiTheme="majorBidi" w:hAnsiTheme="majorBidi" w:cstheme="majorBidi"/>
          <w:color w:val="000000"/>
          <w:szCs w:val="24"/>
        </w:rPr>
        <w:fldChar w:fldCharType="separate"/>
      </w:r>
      <w:r w:rsidR="00A845AA">
        <w:rPr>
          <w:rFonts w:asciiTheme="majorBidi" w:hAnsiTheme="majorBidi" w:cstheme="majorBidi"/>
          <w:noProof/>
          <w:color w:val="000000"/>
          <w:szCs w:val="24"/>
        </w:rPr>
        <w:t>[6]</w:t>
      </w:r>
      <w:r w:rsidR="00A845AA">
        <w:rPr>
          <w:rFonts w:asciiTheme="majorBidi" w:hAnsiTheme="majorBidi" w:cstheme="majorBidi"/>
          <w:color w:val="000000"/>
          <w:szCs w:val="24"/>
        </w:rPr>
        <w:fldChar w:fldCharType="end"/>
      </w:r>
      <w:r w:rsidRPr="0028587F">
        <w:rPr>
          <w:rFonts w:asciiTheme="majorBidi" w:hAnsiTheme="majorBidi" w:cstheme="majorBidi"/>
          <w:color w:val="000000"/>
          <w:szCs w:val="24"/>
        </w:rPr>
        <w:t xml:space="preserve"> in </w:t>
      </w:r>
      <w:proofErr w:type="spellStart"/>
      <w:r w:rsidRPr="0028587F">
        <w:rPr>
          <w:rFonts w:asciiTheme="majorBidi" w:hAnsiTheme="majorBidi" w:cstheme="majorBidi"/>
          <w:color w:val="000000"/>
          <w:szCs w:val="24"/>
        </w:rPr>
        <w:t>Sequencher</w:t>
      </w:r>
      <w:proofErr w:type="spellEnd"/>
      <w:r w:rsidRPr="0028587F">
        <w:rPr>
          <w:rFonts w:asciiTheme="majorBidi" w:hAnsiTheme="majorBidi" w:cstheme="majorBidi"/>
          <w:color w:val="000000"/>
          <w:szCs w:val="24"/>
        </w:rPr>
        <w:t xml:space="preserve"> v5.4.6. Salmonid species determinations</w:t>
      </w:r>
      <w:r w:rsidR="001F4E44" w:rsidRPr="0028587F">
        <w:rPr>
          <w:rFonts w:asciiTheme="majorBidi" w:hAnsiTheme="majorBidi" w:cstheme="majorBidi"/>
          <w:color w:val="000000"/>
          <w:szCs w:val="24"/>
        </w:rPr>
        <w:t xml:space="preserve"> </w:t>
      </w:r>
      <w:r w:rsidRPr="0028587F">
        <w:rPr>
          <w:rFonts w:asciiTheme="majorBidi" w:hAnsiTheme="majorBidi" w:cstheme="majorBidi"/>
          <w:color w:val="000000"/>
          <w:szCs w:val="24"/>
        </w:rPr>
        <w:t xml:space="preserve">were made following Jordan et al. (see their </w:t>
      </w:r>
      <w:r w:rsidRPr="0028587F">
        <w:rPr>
          <w:rFonts w:asciiTheme="majorBidi" w:hAnsiTheme="majorBidi" w:cstheme="majorBidi"/>
          <w:color w:val="000000" w:themeColor="text1"/>
          <w:szCs w:val="24"/>
        </w:rPr>
        <w:t>Table 2</w:t>
      </w:r>
      <w:r w:rsidRPr="0028587F">
        <w:rPr>
          <w:rFonts w:asciiTheme="majorBidi" w:hAnsiTheme="majorBidi" w:cstheme="majorBidi"/>
          <w:color w:val="000000"/>
          <w:szCs w:val="24"/>
        </w:rPr>
        <w:t xml:space="preserve">) </w:t>
      </w:r>
      <w:r w:rsidR="00A845AA">
        <w:rPr>
          <w:rFonts w:asciiTheme="majorBidi" w:hAnsiTheme="majorBidi" w:cstheme="majorBidi"/>
          <w:color w:val="000000"/>
          <w:szCs w:val="24"/>
        </w:rPr>
        <w:fldChar w:fldCharType="begin"/>
      </w:r>
      <w:r w:rsidR="00A845AA">
        <w:rPr>
          <w:rFonts w:asciiTheme="majorBidi" w:hAnsiTheme="majorBidi" w:cstheme="majorBidi"/>
          <w:color w:val="000000"/>
          <w:szCs w:val="24"/>
        </w:rPr>
        <w:instrText xml:space="preserve"> ADDIN ZOTERO_ITEM CSL_CITATION {"citationID":"FxNHl95J","properties":{"formattedCitation":"[5]","plainCitation":"[5]","noteIndex":0},"citationItems":[{"id":10730,"uris":["http://zotero.org/users/2116397/items/6L7Y2AN3"],"uri":["http://zotero.org/users/2116397/items/6L7Y2AN3"],"itemData":{"id":10730,"type":"article-journal","container-title":"Molecular Ecology Resources","DOI":"10.1111/j.1755-0998.2009.02739.x","ISSN":"1755098X, 17550998","issue":"1","language":"en","page":"225-228","source":"DOI.org (Crossref)","title":"Universal mtDNA primers for species identification of degraded bony fish samples: Molecular Diagnostics and DNA Taxonomy","title-short":"Universal mtDNA primers for species identification of degraded bony fish samples","volume":"10","author":[{"family":"Jordan","given":"Leah G."},{"family":"Steele","given":"Craig A."},{"family":"Thorgaard","given":"Gary H."}],"issued":{"date-parts":[["2010",1]]}}}],"schema":"https://github.com/citation-style-language/schema/raw/master/csl-citation.json"} </w:instrText>
      </w:r>
      <w:r w:rsidR="00A845AA">
        <w:rPr>
          <w:rFonts w:asciiTheme="majorBidi" w:hAnsiTheme="majorBidi" w:cstheme="majorBidi"/>
          <w:color w:val="000000"/>
          <w:szCs w:val="24"/>
        </w:rPr>
        <w:fldChar w:fldCharType="separate"/>
      </w:r>
      <w:r w:rsidR="00A845AA">
        <w:rPr>
          <w:rFonts w:asciiTheme="majorBidi" w:hAnsiTheme="majorBidi" w:cstheme="majorBidi"/>
          <w:noProof/>
          <w:color w:val="000000"/>
          <w:szCs w:val="24"/>
        </w:rPr>
        <w:t>[5]</w:t>
      </w:r>
      <w:r w:rsidR="00A845AA">
        <w:rPr>
          <w:rFonts w:asciiTheme="majorBidi" w:hAnsiTheme="majorBidi" w:cstheme="majorBidi"/>
          <w:color w:val="000000"/>
          <w:szCs w:val="24"/>
        </w:rPr>
        <w:fldChar w:fldCharType="end"/>
      </w:r>
      <w:r w:rsidRPr="0028587F">
        <w:rPr>
          <w:rFonts w:asciiTheme="majorBidi" w:hAnsiTheme="majorBidi" w:cstheme="majorBidi"/>
          <w:color w:val="000000"/>
          <w:szCs w:val="24"/>
        </w:rPr>
        <w:t>.</w:t>
      </w:r>
    </w:p>
    <w:p w14:paraId="22AB26AC" w14:textId="77777777" w:rsidR="00ED5CA4" w:rsidRPr="008F58AD" w:rsidRDefault="00ED5CA4" w:rsidP="0028587F">
      <w:pPr>
        <w:spacing w:line="480" w:lineRule="auto"/>
        <w:rPr>
          <w:rFonts w:asciiTheme="majorBidi" w:hAnsiTheme="majorBidi" w:cstheme="majorBidi"/>
          <w:b/>
          <w:color w:val="000000" w:themeColor="text1"/>
          <w:sz w:val="32"/>
          <w:szCs w:val="32"/>
        </w:rPr>
      </w:pPr>
      <w:r w:rsidRPr="008F58AD">
        <w:rPr>
          <w:rFonts w:asciiTheme="majorBidi" w:hAnsiTheme="majorBidi" w:cstheme="majorBidi"/>
          <w:b/>
          <w:color w:val="000000" w:themeColor="text1"/>
          <w:sz w:val="32"/>
          <w:szCs w:val="32"/>
        </w:rPr>
        <w:t>Additional Chinook salmon (</w:t>
      </w:r>
      <w:r w:rsidRPr="008F58AD">
        <w:rPr>
          <w:rFonts w:asciiTheme="majorBidi" w:hAnsiTheme="majorBidi" w:cstheme="majorBidi"/>
          <w:b/>
          <w:i/>
          <w:color w:val="000000" w:themeColor="text1"/>
          <w:sz w:val="32"/>
          <w:szCs w:val="32"/>
        </w:rPr>
        <w:t xml:space="preserve">O. </w:t>
      </w:r>
      <w:r w:rsidRPr="008F58AD">
        <w:rPr>
          <w:rStyle w:val="acopre"/>
          <w:rFonts w:asciiTheme="majorBidi" w:hAnsiTheme="majorBidi" w:cstheme="majorBidi"/>
          <w:b/>
          <w:i/>
          <w:color w:val="000000" w:themeColor="text1"/>
          <w:sz w:val="32"/>
          <w:szCs w:val="32"/>
        </w:rPr>
        <w:t>tshawytscha</w:t>
      </w:r>
      <w:r w:rsidRPr="008F58AD">
        <w:rPr>
          <w:rStyle w:val="acopre"/>
          <w:rFonts w:asciiTheme="majorBidi" w:hAnsiTheme="majorBidi" w:cstheme="majorBidi"/>
          <w:b/>
          <w:color w:val="000000" w:themeColor="text1"/>
          <w:sz w:val="32"/>
          <w:szCs w:val="32"/>
        </w:rPr>
        <w:t xml:space="preserve">) </w:t>
      </w:r>
      <w:r w:rsidRPr="008F58AD">
        <w:rPr>
          <w:rFonts w:asciiTheme="majorBidi" w:hAnsiTheme="majorBidi" w:cstheme="majorBidi"/>
          <w:b/>
          <w:color w:val="000000" w:themeColor="text1"/>
          <w:sz w:val="32"/>
          <w:szCs w:val="32"/>
        </w:rPr>
        <w:t>PCR Amplification and Sequencing</w:t>
      </w:r>
    </w:p>
    <w:p w14:paraId="20C07E4B" w14:textId="46B8C5CB" w:rsidR="00ED5CA4" w:rsidRPr="0028587F" w:rsidRDefault="00ED5CA4" w:rsidP="0028587F">
      <w:pPr>
        <w:spacing w:line="480" w:lineRule="auto"/>
        <w:rPr>
          <w:rStyle w:val="acopre"/>
          <w:rFonts w:asciiTheme="majorBidi" w:hAnsiTheme="majorBidi" w:cstheme="majorBidi"/>
          <w:color w:val="000000" w:themeColor="text1"/>
          <w:szCs w:val="24"/>
        </w:rPr>
      </w:pPr>
      <w:r w:rsidRPr="0028587F">
        <w:rPr>
          <w:rFonts w:asciiTheme="majorBidi" w:hAnsiTheme="majorBidi" w:cstheme="majorBidi"/>
          <w:color w:val="000000" w:themeColor="text1"/>
          <w:szCs w:val="24"/>
        </w:rPr>
        <w:t>Based on the 12S species identification procedures described above, three specimens (numbers 3.4, 3.6, and 7.4) were identified as Chinook salmon (</w:t>
      </w:r>
      <w:r w:rsidRPr="0028587F">
        <w:rPr>
          <w:rFonts w:asciiTheme="majorBidi" w:hAnsiTheme="majorBidi" w:cstheme="majorBidi"/>
          <w:i/>
          <w:color w:val="000000" w:themeColor="text1"/>
          <w:szCs w:val="24"/>
        </w:rPr>
        <w:t xml:space="preserve">O. </w:t>
      </w:r>
      <w:r w:rsidRPr="0028587F">
        <w:rPr>
          <w:rStyle w:val="acopre"/>
          <w:rFonts w:asciiTheme="majorBidi" w:hAnsiTheme="majorBidi" w:cstheme="majorBidi"/>
          <w:i/>
          <w:color w:val="000000" w:themeColor="text1"/>
          <w:szCs w:val="24"/>
        </w:rPr>
        <w:t>tshawytscha</w:t>
      </w:r>
      <w:r w:rsidRPr="0028587F">
        <w:rPr>
          <w:rStyle w:val="acopre"/>
          <w:rFonts w:asciiTheme="majorBidi" w:hAnsiTheme="majorBidi" w:cstheme="majorBidi"/>
          <w:color w:val="000000" w:themeColor="text1"/>
          <w:szCs w:val="24"/>
        </w:rPr>
        <w:t>). In order to gain additional phylogeographic information about these specimens, we employed the primers previously described to sequence a portion of the mitochondrial genome encompassing a 563 bp stretch from the end of the D-loop through tRNA-</w:t>
      </w:r>
      <w:proofErr w:type="spellStart"/>
      <w:r w:rsidRPr="0028587F">
        <w:rPr>
          <w:rStyle w:val="acopre"/>
          <w:rFonts w:asciiTheme="majorBidi" w:hAnsiTheme="majorBidi" w:cstheme="majorBidi"/>
          <w:color w:val="000000" w:themeColor="text1"/>
          <w:szCs w:val="24"/>
        </w:rPr>
        <w:t>Phe</w:t>
      </w:r>
      <w:proofErr w:type="spellEnd"/>
      <w:r w:rsidRPr="0028587F">
        <w:rPr>
          <w:rStyle w:val="acopre"/>
          <w:rFonts w:asciiTheme="majorBidi" w:hAnsiTheme="majorBidi" w:cstheme="majorBidi"/>
          <w:color w:val="000000" w:themeColor="text1"/>
          <w:szCs w:val="24"/>
        </w:rPr>
        <w:t xml:space="preserve"> and into the 12S gene </w:t>
      </w:r>
      <w:r w:rsidR="00A845AA">
        <w:rPr>
          <w:rStyle w:val="acopre"/>
          <w:rFonts w:asciiTheme="majorBidi" w:hAnsiTheme="majorBidi" w:cstheme="majorBidi"/>
          <w:color w:val="000000" w:themeColor="text1"/>
          <w:szCs w:val="24"/>
        </w:rPr>
        <w:fldChar w:fldCharType="begin"/>
      </w:r>
      <w:r w:rsidR="00A845AA">
        <w:rPr>
          <w:rStyle w:val="acopre"/>
          <w:rFonts w:asciiTheme="majorBidi" w:hAnsiTheme="majorBidi" w:cstheme="majorBidi"/>
          <w:color w:val="000000" w:themeColor="text1"/>
          <w:szCs w:val="24"/>
        </w:rPr>
        <w:instrText xml:space="preserve"> ADDIN ZOTERO_ITEM CSL_CITATION {"citationID":"LlFW9Pk6","properties":{"formattedCitation":"[10]","plainCitation":"[10]","noteIndex":0},"citationItems":[{"id":10727,"uris":["http://zotero.org/users/2116397/items/FNMNVPML"],"uri":["http://zotero.org/users/2116397/items/FNMNVPML"],"itemData":{"id":10727,"type":"article-journal","container-title":"PLOS ONE","DOI":"10.1371/journal.pone.0190059","ISSN":"1932-6203","issue":"1","journalAbbreviation":"PLoS ONE","language":"en","page":"e0190059","source":"DOI.org (Crossref)","title":"Increased mitochondrial DNA diversity in ancient Columbia River basin Chinook salmon Oncorhynchus tshawytscha","volume":"13","author":[{"family":"Johnson","given":"Bobbi M."},{"family":"Kemp","given":"Brian M."},{"family":"Thorgaard","given":"Gary H."}],"editor":[{"family":"Chiang","given":"Tzen-Yuh"}],"issued":{"date-parts":[["2018",1,10]]}}}],"schema":"https://github.com/citation-style-language/schema/raw/master/csl-citation.json"} </w:instrText>
      </w:r>
      <w:r w:rsidR="00A845AA">
        <w:rPr>
          <w:rStyle w:val="acopre"/>
          <w:rFonts w:asciiTheme="majorBidi" w:hAnsiTheme="majorBidi" w:cstheme="majorBidi"/>
          <w:color w:val="000000" w:themeColor="text1"/>
          <w:szCs w:val="24"/>
        </w:rPr>
        <w:fldChar w:fldCharType="separate"/>
      </w:r>
      <w:r w:rsidR="00A845AA">
        <w:rPr>
          <w:rStyle w:val="acopre"/>
          <w:rFonts w:asciiTheme="majorBidi" w:hAnsiTheme="majorBidi" w:cstheme="majorBidi"/>
          <w:noProof/>
          <w:color w:val="000000" w:themeColor="text1"/>
          <w:szCs w:val="24"/>
        </w:rPr>
        <w:t>[10]</w:t>
      </w:r>
      <w:r w:rsidR="00A845AA">
        <w:rPr>
          <w:rStyle w:val="acopre"/>
          <w:rFonts w:asciiTheme="majorBidi" w:hAnsiTheme="majorBidi" w:cstheme="majorBidi"/>
          <w:color w:val="000000" w:themeColor="text1"/>
          <w:szCs w:val="24"/>
        </w:rPr>
        <w:fldChar w:fldCharType="end"/>
      </w:r>
      <w:r w:rsidRPr="0028587F">
        <w:rPr>
          <w:rStyle w:val="acopre"/>
          <w:rFonts w:asciiTheme="majorBidi" w:hAnsiTheme="majorBidi" w:cstheme="majorBidi"/>
          <w:color w:val="000000" w:themeColor="text1"/>
          <w:szCs w:val="24"/>
        </w:rPr>
        <w:t>.</w:t>
      </w:r>
    </w:p>
    <w:p w14:paraId="58B49115" w14:textId="647A1310" w:rsidR="00ED5CA4" w:rsidRDefault="00ED5CA4" w:rsidP="00A845AA">
      <w:pPr>
        <w:spacing w:line="480" w:lineRule="auto"/>
        <w:ind w:firstLine="720"/>
        <w:rPr>
          <w:rFonts w:asciiTheme="majorBidi" w:hAnsiTheme="majorBidi" w:cstheme="majorBidi"/>
          <w:szCs w:val="24"/>
        </w:rPr>
      </w:pPr>
      <w:r w:rsidRPr="0028587F">
        <w:rPr>
          <w:rStyle w:val="acopre"/>
          <w:rFonts w:asciiTheme="majorBidi" w:hAnsiTheme="majorBidi" w:cstheme="majorBidi"/>
          <w:color w:val="000000" w:themeColor="text1"/>
          <w:szCs w:val="24"/>
        </w:rPr>
        <w:lastRenderedPageBreak/>
        <w:t xml:space="preserve">Four forms of PCR, as described above, were used to produce amplicons with these primer sets: 1) standard PCR, 2) PEC-P PCR with </w:t>
      </w:r>
      <w:proofErr w:type="spellStart"/>
      <w:r w:rsidRPr="0028587F">
        <w:rPr>
          <w:rStyle w:val="acopre"/>
          <w:rFonts w:asciiTheme="majorBidi" w:hAnsiTheme="majorBidi" w:cstheme="majorBidi"/>
          <w:color w:val="000000" w:themeColor="text1"/>
          <w:szCs w:val="24"/>
        </w:rPr>
        <w:t>Klentaq</w:t>
      </w:r>
      <w:proofErr w:type="spellEnd"/>
      <w:r w:rsidRPr="0028587F">
        <w:rPr>
          <w:rStyle w:val="acopre"/>
          <w:rFonts w:asciiTheme="majorBidi" w:hAnsiTheme="majorBidi" w:cstheme="majorBidi"/>
          <w:color w:val="000000" w:themeColor="text1"/>
          <w:szCs w:val="24"/>
        </w:rPr>
        <w:t xml:space="preserve">, 3) PEC-P PCR with Platinum Taq, and 4) Rescue PCR. Here we also used 1.5 or 3.0 </w:t>
      </w:r>
      <w:r w:rsidRPr="0028587F">
        <w:rPr>
          <w:rFonts w:asciiTheme="majorBidi" w:hAnsiTheme="majorBidi" w:cstheme="majorBidi"/>
          <w:szCs w:val="24"/>
        </w:rPr>
        <w:t xml:space="preserve">µl of template DNA in the reaction with </w:t>
      </w:r>
      <w:proofErr w:type="spellStart"/>
      <w:r w:rsidRPr="0028587F">
        <w:rPr>
          <w:rFonts w:asciiTheme="majorBidi" w:hAnsiTheme="majorBidi" w:cstheme="majorBidi"/>
          <w:szCs w:val="24"/>
        </w:rPr>
        <w:t>Klentaq</w:t>
      </w:r>
      <w:proofErr w:type="spellEnd"/>
      <w:r w:rsidRPr="0028587F">
        <w:rPr>
          <w:rFonts w:asciiTheme="majorBidi" w:hAnsiTheme="majorBidi" w:cstheme="majorBidi"/>
          <w:szCs w:val="24"/>
        </w:rPr>
        <w:t xml:space="preserve">. Sixty cycle PCRs were conducted as described above using the annealing temperatures described previously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S966sA2T","properties":{"formattedCitation":"[10]","plainCitation":"[10]","noteIndex":0},"citationItems":[{"id":10727,"uris":["http://zotero.org/users/2116397/items/FNMNVPML"],"uri":["http://zotero.org/users/2116397/items/FNMNVPML"],"itemData":{"id":10727,"type":"article-journal","container-title":"PLOS ONE","DOI":"10.1371/journal.pone.0190059","ISSN":"1932-6203","issue":"1","journalAbbreviation":"PLoS ONE","language":"en","page":"e0190059","source":"DOI.org (Crossref)","title":"Increased mitochondrial DNA diversity in ancient Columbia River basin Chinook salmon Oncorhynchus tshawytscha","volume":"13","author":[{"family":"Johnson","given":"Bobbi M."},{"family":"Kemp","given":"Brian M."},{"family":"Thorgaard","given":"Gary H."}],"editor":[{"family":"Chiang","given":"Tzen-Yuh"}],"issued":{"date-parts":[["2018",1,10]]}}}],"schema":"https://github.com/citation-style-language/schema/raw/master/csl-citation.json"}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[10]</w:t>
      </w:r>
      <w:r w:rsidR="00A845AA">
        <w:rPr>
          <w:rFonts w:asciiTheme="majorBidi" w:hAnsiTheme="majorBidi" w:cstheme="majorBidi"/>
          <w:szCs w:val="24"/>
        </w:rPr>
        <w:fldChar w:fldCharType="end"/>
      </w:r>
      <w:r w:rsidRPr="0028587F">
        <w:rPr>
          <w:rFonts w:asciiTheme="majorBidi" w:hAnsiTheme="majorBidi" w:cstheme="majorBidi"/>
          <w:szCs w:val="24"/>
        </w:rPr>
        <w:t>.</w:t>
      </w:r>
    </w:p>
    <w:p w14:paraId="30ED2EA0" w14:textId="71AE3336" w:rsidR="0068516C" w:rsidRDefault="0068516C" w:rsidP="0068516C">
      <w:pPr>
        <w:spacing w:line="480" w:lineRule="auto"/>
        <w:ind w:firstLine="720"/>
        <w:rPr>
          <w:rFonts w:asciiTheme="majorBidi" w:hAnsiTheme="majorBidi" w:cstheme="majorBidi"/>
          <w:color w:val="000000"/>
          <w:szCs w:val="24"/>
        </w:rPr>
      </w:pPr>
      <w:r w:rsidRPr="0028587F">
        <w:rPr>
          <w:rFonts w:asciiTheme="majorBidi" w:hAnsiTheme="majorBidi" w:cstheme="majorBidi"/>
          <w:color w:val="000000"/>
          <w:szCs w:val="24"/>
        </w:rPr>
        <w:t xml:space="preserve">Sequences were aligned to a </w:t>
      </w:r>
      <w:r>
        <w:rPr>
          <w:rFonts w:asciiTheme="majorBidi" w:hAnsiTheme="majorBidi" w:cstheme="majorBidi"/>
          <w:color w:val="000000"/>
          <w:szCs w:val="24"/>
        </w:rPr>
        <w:t>Chinook</w:t>
      </w:r>
      <w:r w:rsidRPr="0028587F">
        <w:rPr>
          <w:rFonts w:asciiTheme="majorBidi" w:hAnsiTheme="majorBidi" w:cstheme="majorBidi"/>
          <w:color w:val="000000"/>
          <w:szCs w:val="24"/>
        </w:rPr>
        <w:t xml:space="preserve"> full mitochondrial genome reference sequence </w:t>
      </w:r>
      <w:r>
        <w:rPr>
          <w:rFonts w:asciiTheme="majorBidi" w:hAnsiTheme="majorBidi" w:cstheme="majorBidi"/>
          <w:color w:val="000000"/>
          <w:szCs w:val="24"/>
        </w:rPr>
        <w:t>(</w:t>
      </w:r>
      <w:proofErr w:type="spellStart"/>
      <w:r w:rsidRPr="00CA5672">
        <w:rPr>
          <w:rFonts w:asciiTheme="majorBidi" w:hAnsiTheme="majorBidi" w:cstheme="majorBidi"/>
          <w:szCs w:val="24"/>
        </w:rPr>
        <w:t>Genbank</w:t>
      </w:r>
      <w:proofErr w:type="spellEnd"/>
      <w:r w:rsidRPr="00CA5672">
        <w:rPr>
          <w:rFonts w:asciiTheme="majorBidi" w:hAnsiTheme="majorBidi" w:cstheme="majorBidi"/>
          <w:szCs w:val="24"/>
        </w:rPr>
        <w:t xml:space="preserve"> accession number NC_002980.1</w:t>
      </w:r>
      <w:r>
        <w:rPr>
          <w:rFonts w:asciiTheme="majorBidi" w:hAnsiTheme="majorBidi" w:cstheme="majorBidi"/>
          <w:color w:val="000000"/>
          <w:szCs w:val="24"/>
        </w:rPr>
        <w:t xml:space="preserve">) </w:t>
      </w:r>
      <w:r>
        <w:rPr>
          <w:rFonts w:asciiTheme="majorBidi" w:hAnsiTheme="majorBidi" w:cstheme="majorBidi"/>
          <w:color w:val="000000"/>
          <w:szCs w:val="24"/>
        </w:rPr>
        <w:fldChar w:fldCharType="begin"/>
      </w:r>
      <w:r>
        <w:rPr>
          <w:rFonts w:asciiTheme="majorBidi" w:hAnsiTheme="majorBidi" w:cstheme="majorBidi"/>
          <w:color w:val="000000"/>
          <w:szCs w:val="24"/>
        </w:rPr>
        <w:instrText xml:space="preserve"> ADDIN ZOTERO_ITEM CSL_CITATION {"citationID":"pllRMro9","properties":{"formattedCitation":"[6]","plainCitation":"[6]","noteIndex":0},"citationItems":[{"id":11432,"uris":["http://zotero.org/users/2116397/items/EW37TVU3"],"uri":["http://zotero.org/users/2116397/items/EW37TVU3"],"itemData":{"id":11432,"type":"article-journal","container-title":"Comparative Biochemistry and Physiology Part D: Genomics and Proteomics","DOI":"10.1016/j.cbd.2005.11.004","ISSN":"1744117X","issue":"2","journalAbbreviation":"Comparative Biochemistry and Physiology Part D: Genomics and Proteomics","language":"en","page":"219-226","source":"DOI.org (Crossref)","title":"Intraspecific variation in the rainbow trout mitochondrial DNA genome","volume":"1","author":[{"family":"Brown","given":"Kim H."},{"family":"Drew","given":"Robert E."},{"family":"Weber","given":"Lee A."},{"family":"Thorgaard","given":"Gary H."}],"issued":{"date-parts":[["2006",6]]}}}],"schema":"https://github.com/citation-style-language/schema/raw/master/csl-citation.json"} </w:instrText>
      </w:r>
      <w:r>
        <w:rPr>
          <w:rFonts w:asciiTheme="majorBidi" w:hAnsiTheme="majorBidi" w:cstheme="majorBidi"/>
          <w:color w:val="000000"/>
          <w:szCs w:val="24"/>
        </w:rPr>
        <w:fldChar w:fldCharType="separate"/>
      </w:r>
      <w:r>
        <w:rPr>
          <w:rFonts w:asciiTheme="majorBidi" w:hAnsiTheme="majorBidi" w:cstheme="majorBidi"/>
          <w:noProof/>
          <w:color w:val="000000"/>
          <w:szCs w:val="24"/>
        </w:rPr>
        <w:t>[6]</w:t>
      </w:r>
      <w:r>
        <w:rPr>
          <w:rFonts w:asciiTheme="majorBidi" w:hAnsiTheme="majorBidi" w:cstheme="majorBidi"/>
          <w:color w:val="000000"/>
          <w:szCs w:val="24"/>
        </w:rPr>
        <w:fldChar w:fldCharType="end"/>
      </w:r>
      <w:r>
        <w:rPr>
          <w:rFonts w:asciiTheme="majorBidi" w:hAnsiTheme="majorBidi" w:cstheme="majorBidi"/>
          <w:color w:val="000000"/>
          <w:szCs w:val="24"/>
        </w:rPr>
        <w:t xml:space="preserve"> </w:t>
      </w:r>
      <w:r w:rsidRPr="0028587F">
        <w:rPr>
          <w:rFonts w:asciiTheme="majorBidi" w:hAnsiTheme="majorBidi" w:cstheme="majorBidi"/>
          <w:color w:val="000000"/>
          <w:szCs w:val="24"/>
        </w:rPr>
        <w:t xml:space="preserve">in </w:t>
      </w:r>
      <w:proofErr w:type="spellStart"/>
      <w:r w:rsidRPr="0028587F">
        <w:rPr>
          <w:rFonts w:asciiTheme="majorBidi" w:hAnsiTheme="majorBidi" w:cstheme="majorBidi"/>
          <w:color w:val="000000"/>
          <w:szCs w:val="24"/>
        </w:rPr>
        <w:t>Sequencher</w:t>
      </w:r>
      <w:proofErr w:type="spellEnd"/>
      <w:r w:rsidRPr="0028587F">
        <w:rPr>
          <w:rFonts w:asciiTheme="majorBidi" w:hAnsiTheme="majorBidi" w:cstheme="majorBidi"/>
          <w:color w:val="000000"/>
          <w:szCs w:val="24"/>
        </w:rPr>
        <w:t xml:space="preserve"> v5.4.6. Salmonid species determinations were made following Jordan et al. (see their </w:t>
      </w:r>
      <w:r w:rsidRPr="0028587F">
        <w:rPr>
          <w:rFonts w:asciiTheme="majorBidi" w:hAnsiTheme="majorBidi" w:cstheme="majorBidi"/>
          <w:color w:val="000000" w:themeColor="text1"/>
          <w:szCs w:val="24"/>
        </w:rPr>
        <w:t>Table 2</w:t>
      </w:r>
      <w:r w:rsidRPr="0028587F">
        <w:rPr>
          <w:rFonts w:asciiTheme="majorBidi" w:hAnsiTheme="majorBidi" w:cstheme="majorBidi"/>
          <w:color w:val="000000"/>
          <w:szCs w:val="24"/>
        </w:rPr>
        <w:t xml:space="preserve">) </w:t>
      </w:r>
      <w:r>
        <w:rPr>
          <w:rFonts w:asciiTheme="majorBidi" w:hAnsiTheme="majorBidi" w:cstheme="majorBidi"/>
          <w:color w:val="000000"/>
          <w:szCs w:val="24"/>
        </w:rPr>
        <w:fldChar w:fldCharType="begin"/>
      </w:r>
      <w:r>
        <w:rPr>
          <w:rFonts w:asciiTheme="majorBidi" w:hAnsiTheme="majorBidi" w:cstheme="majorBidi"/>
          <w:color w:val="000000"/>
          <w:szCs w:val="24"/>
        </w:rPr>
        <w:instrText xml:space="preserve"> ADDIN ZOTERO_ITEM CSL_CITATION {"citationID":"tHolTKte","properties":{"formattedCitation":"[5]","plainCitation":"[5]","noteIndex":0},"citationItems":[{"id":10730,"uris":["http://zotero.org/users/2116397/items/6L7Y2AN3"],"uri":["http://zotero.org/users/2116397/items/6L7Y2AN3"],"itemData":{"id":10730,"type":"article-journal","container-title":"Molecular Ecology Resources","DOI":"10.1111/j.1755-0998.2009.02739.x","ISSN":"1755098X, 17550998","issue":"1","language":"en","page":"225-228","source":"DOI.org (Crossref)","title":"Universal mtDNA primers for species identification of degraded bony fish samples: Molecular Diagnostics and DNA Taxonomy","title-short":"Universal mtDNA primers for species identification of degraded bony fish samples","volume":"10","author":[{"family":"Jordan","given":"Leah G."},{"family":"Steele","given":"Craig A."},{"family":"Thorgaard","given":"Gary H."}],"issued":{"date-parts":[["2010",1]]}}}],"schema":"https://github.com/citation-style-language/schema/raw/master/csl-citation.json"} </w:instrText>
      </w:r>
      <w:r>
        <w:rPr>
          <w:rFonts w:asciiTheme="majorBidi" w:hAnsiTheme="majorBidi" w:cstheme="majorBidi"/>
          <w:color w:val="000000"/>
          <w:szCs w:val="24"/>
        </w:rPr>
        <w:fldChar w:fldCharType="separate"/>
      </w:r>
      <w:r>
        <w:rPr>
          <w:rFonts w:asciiTheme="majorBidi" w:hAnsiTheme="majorBidi" w:cstheme="majorBidi"/>
          <w:noProof/>
          <w:color w:val="000000"/>
          <w:szCs w:val="24"/>
        </w:rPr>
        <w:t>[5]</w:t>
      </w:r>
      <w:r>
        <w:rPr>
          <w:rFonts w:asciiTheme="majorBidi" w:hAnsiTheme="majorBidi" w:cstheme="majorBidi"/>
          <w:color w:val="000000"/>
          <w:szCs w:val="24"/>
        </w:rPr>
        <w:fldChar w:fldCharType="end"/>
      </w:r>
      <w:r>
        <w:rPr>
          <w:rFonts w:asciiTheme="majorBidi" w:hAnsiTheme="majorBidi" w:cstheme="majorBidi"/>
          <w:color w:val="000000"/>
          <w:szCs w:val="24"/>
        </w:rPr>
        <w:t>.</w:t>
      </w:r>
      <w:r w:rsidR="004C3202">
        <w:rPr>
          <w:rFonts w:asciiTheme="majorBidi" w:hAnsiTheme="majorBidi" w:cstheme="majorBidi"/>
          <w:color w:val="000000"/>
          <w:szCs w:val="24"/>
        </w:rPr>
        <w:fldChar w:fldCharType="begin"/>
      </w:r>
      <w:r w:rsidR="004C3202">
        <w:rPr>
          <w:rFonts w:asciiTheme="majorBidi" w:hAnsiTheme="majorBidi" w:cstheme="majorBidi"/>
          <w:color w:val="000000"/>
          <w:szCs w:val="24"/>
        </w:rPr>
        <w:instrText xml:space="preserve"> ADDIN ZOTERO_ITEM CSL_CITATION {"citationID":"YJB04avZ","properties":{"formattedCitation":"[11]","plainCitation":"[11]","noteIndex":0},"citationItems":[{"id":14231,"uris":["http://zotero.org/users/2116397/items/6VCRH9TM"],"uri":["http://zotero.org/users/2116397/items/6VCRH9TM"],"itemData":{"id":14231,"type":"article-journal","container-title":"Molecular Biology and Evolution","DOI":"10.1093/oxfordjournals.molbev.a026036","ISSN":"0737-4038, 1537-1719","issue":"1","journalAbbreviation":"Molecular Biology and Evolution","language":"en","page":"37-48","source":"DOI.org (Crossref)","title":"Median-joining networks for inferring intraspecific phylogenies","volume":"16","author":[{"family":"Bandelt","given":"H. J."},{"family":"Forster","given":"P."},{"family":"Rohl","given":"A."}],"issued":{"date-parts":[["1999",1,1]]}}}],"schema":"https://github.com/citation-style-language/schema/raw/master/csl-citation.json"} </w:instrText>
      </w:r>
      <w:r w:rsidR="004C3202">
        <w:rPr>
          <w:rFonts w:asciiTheme="majorBidi" w:hAnsiTheme="majorBidi" w:cstheme="majorBidi"/>
          <w:color w:val="000000"/>
          <w:szCs w:val="24"/>
        </w:rPr>
        <w:fldChar w:fldCharType="separate"/>
      </w:r>
      <w:r w:rsidR="004C3202">
        <w:rPr>
          <w:rFonts w:asciiTheme="majorBidi" w:hAnsiTheme="majorBidi" w:cstheme="majorBidi"/>
          <w:noProof/>
          <w:color w:val="000000"/>
          <w:szCs w:val="24"/>
        </w:rPr>
        <w:t>[11]</w:t>
      </w:r>
      <w:r w:rsidR="004C3202">
        <w:rPr>
          <w:rFonts w:asciiTheme="majorBidi" w:hAnsiTheme="majorBidi" w:cstheme="majorBidi"/>
          <w:color w:val="000000"/>
          <w:szCs w:val="24"/>
        </w:rPr>
        <w:fldChar w:fldCharType="end"/>
      </w:r>
    </w:p>
    <w:p w14:paraId="741589CE" w14:textId="6327CB67" w:rsidR="0068516C" w:rsidRDefault="0068516C" w:rsidP="0068516C">
      <w:pPr>
        <w:spacing w:line="480" w:lineRule="auto"/>
        <w:rPr>
          <w:rFonts w:asciiTheme="majorBidi" w:hAnsiTheme="majorBidi" w:cstheme="majorBidi"/>
          <w:b/>
          <w:bCs/>
          <w:sz w:val="32"/>
          <w:szCs w:val="32"/>
        </w:rPr>
      </w:pPr>
      <w:r>
        <w:rPr>
          <w:rFonts w:asciiTheme="majorBidi" w:hAnsiTheme="majorBidi" w:cstheme="majorBidi"/>
          <w:b/>
          <w:bCs/>
          <w:sz w:val="32"/>
          <w:szCs w:val="32"/>
        </w:rPr>
        <w:t>Median-joining Network Construction</w:t>
      </w:r>
    </w:p>
    <w:p w14:paraId="26CDE322" w14:textId="6F2B10D0" w:rsidR="004C3202" w:rsidRPr="004C3202" w:rsidRDefault="0068516C" w:rsidP="004C3202">
      <w:pPr>
        <w:widowControl w:val="0"/>
        <w:autoSpaceDE w:val="0"/>
        <w:autoSpaceDN w:val="0"/>
        <w:adjustRightInd w:val="0"/>
        <w:spacing w:line="480" w:lineRule="auto"/>
        <w:rPr>
          <w:color w:val="0000FF"/>
          <w:szCs w:val="24"/>
        </w:rPr>
      </w:pPr>
      <w:r w:rsidRPr="00CA5672">
        <w:rPr>
          <w:rStyle w:val="acopre"/>
          <w:rFonts w:asciiTheme="majorBidi" w:hAnsiTheme="majorBidi" w:cstheme="majorBidi"/>
          <w:color w:val="000000" w:themeColor="text1"/>
          <w:szCs w:val="24"/>
        </w:rPr>
        <w:t xml:space="preserve">The </w:t>
      </w:r>
      <w:r>
        <w:rPr>
          <w:rStyle w:val="acopre"/>
          <w:rFonts w:asciiTheme="majorBidi" w:hAnsiTheme="majorBidi" w:cstheme="majorBidi"/>
          <w:color w:val="000000" w:themeColor="text1"/>
          <w:szCs w:val="24"/>
        </w:rPr>
        <w:t xml:space="preserve">sequences of the </w:t>
      </w:r>
      <w:r w:rsidRPr="00CA5672">
        <w:rPr>
          <w:rStyle w:val="acopre"/>
          <w:rFonts w:asciiTheme="majorBidi" w:hAnsiTheme="majorBidi" w:cstheme="majorBidi"/>
          <w:color w:val="000000" w:themeColor="text1"/>
          <w:szCs w:val="24"/>
        </w:rPr>
        <w:t xml:space="preserve">D-loop </w:t>
      </w:r>
      <w:r>
        <w:rPr>
          <w:rStyle w:val="acopre"/>
          <w:rFonts w:asciiTheme="majorBidi" w:hAnsiTheme="majorBidi" w:cstheme="majorBidi"/>
          <w:color w:val="000000" w:themeColor="text1"/>
          <w:szCs w:val="24"/>
        </w:rPr>
        <w:t>spanning</w:t>
      </w:r>
      <w:r w:rsidRPr="00CA5672">
        <w:rPr>
          <w:rStyle w:val="acopre"/>
          <w:rFonts w:asciiTheme="majorBidi" w:hAnsiTheme="majorBidi" w:cstheme="majorBidi"/>
          <w:color w:val="000000" w:themeColor="text1"/>
          <w:szCs w:val="24"/>
        </w:rPr>
        <w:t xml:space="preserve"> into the 12S gene from specimens </w:t>
      </w:r>
      <w:r w:rsidRPr="00CA5672">
        <w:rPr>
          <w:rFonts w:asciiTheme="majorBidi" w:hAnsiTheme="majorBidi" w:cstheme="majorBidi"/>
          <w:color w:val="000000" w:themeColor="text1"/>
          <w:szCs w:val="24"/>
        </w:rPr>
        <w:t>3.4, 3.6, and 7.4</w:t>
      </w:r>
      <w:r>
        <w:rPr>
          <w:rFonts w:asciiTheme="majorBidi" w:hAnsiTheme="majorBidi" w:cstheme="majorBidi"/>
          <w:color w:val="000000" w:themeColor="text1"/>
          <w:szCs w:val="24"/>
        </w:rPr>
        <w:t xml:space="preserve"> (</w:t>
      </w:r>
      <w:proofErr w:type="spellStart"/>
      <w:r>
        <w:rPr>
          <w:rFonts w:asciiTheme="majorBidi" w:hAnsiTheme="majorBidi" w:cstheme="majorBidi"/>
          <w:color w:val="000000" w:themeColor="text1"/>
          <w:szCs w:val="24"/>
        </w:rPr>
        <w:t>Genbank</w:t>
      </w:r>
      <w:proofErr w:type="spellEnd"/>
      <w:r>
        <w:rPr>
          <w:rFonts w:asciiTheme="majorBidi" w:hAnsiTheme="majorBidi" w:cstheme="majorBidi"/>
          <w:color w:val="000000" w:themeColor="text1"/>
          <w:szCs w:val="24"/>
        </w:rPr>
        <w:t xml:space="preserve"> accession numbers </w:t>
      </w:r>
      <w:r w:rsidRPr="000E5EFD">
        <w:rPr>
          <w:rFonts w:asciiTheme="majorBidi" w:hAnsiTheme="majorBidi" w:cstheme="majorBidi"/>
          <w:color w:val="000000"/>
          <w:szCs w:val="24"/>
        </w:rPr>
        <w:t>MW113717</w:t>
      </w:r>
      <w:r>
        <w:rPr>
          <w:rFonts w:asciiTheme="majorBidi" w:hAnsiTheme="majorBidi" w:cstheme="majorBidi"/>
          <w:color w:val="000000"/>
          <w:szCs w:val="24"/>
        </w:rPr>
        <w:t>–</w:t>
      </w:r>
      <w:r w:rsidRPr="000E5EFD">
        <w:rPr>
          <w:rFonts w:asciiTheme="majorBidi" w:hAnsiTheme="majorBidi" w:cstheme="majorBidi"/>
          <w:color w:val="000000"/>
          <w:szCs w:val="24"/>
        </w:rPr>
        <w:t>MW113719</w:t>
      </w:r>
      <w:r>
        <w:rPr>
          <w:rFonts w:asciiTheme="majorBidi" w:hAnsiTheme="majorBidi" w:cstheme="majorBidi"/>
          <w:color w:val="000000"/>
          <w:szCs w:val="24"/>
        </w:rPr>
        <w:t>)</w:t>
      </w:r>
      <w:r w:rsidRPr="00CA5672">
        <w:rPr>
          <w:rFonts w:asciiTheme="majorBidi" w:hAnsiTheme="majorBidi" w:cstheme="majorBidi"/>
          <w:color w:val="000000" w:themeColor="text1"/>
          <w:szCs w:val="24"/>
        </w:rPr>
        <w:t xml:space="preserve"> were aligned with comparative Chinook sequences from Martin et al. and Johnson et al</w:t>
      </w:r>
      <w:r w:rsidR="004C3202">
        <w:rPr>
          <w:rFonts w:asciiTheme="majorBidi" w:hAnsiTheme="majorBidi" w:cstheme="majorBidi"/>
          <w:color w:val="000000" w:themeColor="text1"/>
          <w:szCs w:val="24"/>
        </w:rPr>
        <w:t xml:space="preserve"> </w:t>
      </w:r>
      <w:r w:rsidR="004C3202">
        <w:rPr>
          <w:rFonts w:asciiTheme="majorBidi" w:hAnsiTheme="majorBidi" w:cstheme="majorBidi"/>
          <w:color w:val="000000" w:themeColor="text1"/>
          <w:szCs w:val="24"/>
        </w:rPr>
        <w:fldChar w:fldCharType="begin"/>
      </w:r>
      <w:r w:rsidR="004C3202">
        <w:rPr>
          <w:rFonts w:asciiTheme="majorBidi" w:hAnsiTheme="majorBidi" w:cstheme="majorBidi"/>
          <w:color w:val="000000" w:themeColor="text1"/>
          <w:szCs w:val="24"/>
        </w:rPr>
        <w:instrText xml:space="preserve"> ADDIN ZOTERO_ITEM CSL_CITATION {"citationID":"Cr7352ag","properties":{"formattedCitation":"[10,12]","plainCitation":"[10,12]","noteIndex":0},"citationItems":[{"id":10727,"uris":["http://zotero.org/users/2116397/items/FNMNVPML"],"uri":["http://zotero.org/users/2116397/items/FNMNVPML"],"itemData":{"id":10727,"type":"article-journal","container-title":"PLOS ONE","DOI":"10.1371/journal.pone.0190059","ISSN":"1932-6203","issue":"1","journalAbbreviation":"PLoS ONE","language":"en","page":"e0190059","source":"DOI.org (Crossref)","title":"Increased mitochondrial DNA diversity in ancient Columbia River basin Chinook salmon Oncorhynchus tshawytscha","volume":"13","author":[{"family":"Johnson","given":"Bobbi M."},{"family":"Kemp","given":"Brian M."},{"family":"Thorgaard","given":"Gary H."}],"editor":[{"family":"Chiang","given":"Tzen-Yuh"}],"issued":{"date-parts":[["2018",1,10]]}}},{"id":11437,"uris":["http://zotero.org/users/2116397/items/9ANW5B7E"],"uri":["http://zotero.org/users/2116397/items/9ANW5B7E"],"itemData":{"id":11437,"type":"article-journal","container-title":"Transactions of the American Fisheries Society","DOI":"10.1577/T09-080.1","ISSN":"0002-8487, 1548-8659","issue":"3","journalAbbreviation":"Transactions of the American Fisheries Society","language":"en","page":"792-802","source":"DOI.org (Crossref)","title":"Mitochondrial Variation and Biogeographic History of Chinook Salmon","volume":"139","author":[{"family":"Martin","given":"Kyle E."},{"family":"Steele","given":"Craig A."},{"family":"Brunelli","given":"Joseph P."},{"family":"Thorgaard","given":"Gary H."}],"issued":{"date-parts":[["2010",5]]}}}],"schema":"https://github.com/citation-style-language/schema/raw/master/csl-citation.json"} </w:instrText>
      </w:r>
      <w:r w:rsidR="004C3202">
        <w:rPr>
          <w:rFonts w:asciiTheme="majorBidi" w:hAnsiTheme="majorBidi" w:cstheme="majorBidi"/>
          <w:color w:val="000000" w:themeColor="text1"/>
          <w:szCs w:val="24"/>
        </w:rPr>
        <w:fldChar w:fldCharType="separate"/>
      </w:r>
      <w:r w:rsidR="004C3202">
        <w:rPr>
          <w:rFonts w:asciiTheme="majorBidi" w:hAnsiTheme="majorBidi" w:cstheme="majorBidi"/>
          <w:noProof/>
          <w:color w:val="000000" w:themeColor="text1"/>
          <w:szCs w:val="24"/>
        </w:rPr>
        <w:t>[10,12]</w:t>
      </w:r>
      <w:r w:rsidR="004C3202">
        <w:rPr>
          <w:rFonts w:asciiTheme="majorBidi" w:hAnsiTheme="majorBidi" w:cstheme="majorBidi"/>
          <w:color w:val="000000" w:themeColor="text1"/>
          <w:szCs w:val="24"/>
        </w:rPr>
        <w:fldChar w:fldCharType="end"/>
      </w:r>
      <w:r w:rsidRPr="00CA5672">
        <w:rPr>
          <w:rFonts w:asciiTheme="majorBidi" w:hAnsiTheme="majorBidi" w:cstheme="majorBidi"/>
          <w:color w:val="000000" w:themeColor="text1"/>
          <w:szCs w:val="24"/>
        </w:rPr>
        <w:t>.</w:t>
      </w:r>
      <w:r>
        <w:rPr>
          <w:rFonts w:asciiTheme="majorBidi" w:hAnsiTheme="majorBidi" w:cstheme="majorBidi"/>
          <w:color w:val="000000" w:themeColor="text1"/>
          <w:szCs w:val="24"/>
        </w:rPr>
        <w:t xml:space="preserve">  </w:t>
      </w:r>
      <w:r w:rsidR="004C3202">
        <w:rPr>
          <w:rFonts w:asciiTheme="majorBidi" w:hAnsiTheme="majorBidi" w:cstheme="majorBidi"/>
          <w:color w:val="000000" w:themeColor="text1"/>
          <w:szCs w:val="24"/>
        </w:rPr>
        <w:t>The combined data set was</w:t>
      </w:r>
      <w:r w:rsidR="004C3202" w:rsidRPr="00CA5672">
        <w:rPr>
          <w:rFonts w:asciiTheme="majorBidi" w:hAnsiTheme="majorBidi" w:cstheme="majorBidi"/>
          <w:color w:val="000000" w:themeColor="text1"/>
          <w:szCs w:val="24"/>
        </w:rPr>
        <w:t xml:space="preserve"> truncated to nucleotide positions</w:t>
      </w:r>
      <w:r w:rsidR="004C3202">
        <w:rPr>
          <w:rFonts w:asciiTheme="majorBidi" w:hAnsiTheme="majorBidi" w:cstheme="majorBidi"/>
          <w:color w:val="000000" w:themeColor="text1"/>
          <w:szCs w:val="24"/>
        </w:rPr>
        <w:t xml:space="preserve"> (</w:t>
      </w:r>
      <w:proofErr w:type="spellStart"/>
      <w:r w:rsidR="004C3202">
        <w:rPr>
          <w:rFonts w:asciiTheme="majorBidi" w:hAnsiTheme="majorBidi" w:cstheme="majorBidi"/>
          <w:color w:val="000000" w:themeColor="text1"/>
          <w:szCs w:val="24"/>
        </w:rPr>
        <w:t>nps</w:t>
      </w:r>
      <w:proofErr w:type="spellEnd"/>
      <w:r w:rsidR="004C3202">
        <w:rPr>
          <w:rFonts w:asciiTheme="majorBidi" w:hAnsiTheme="majorBidi" w:cstheme="majorBidi"/>
          <w:color w:val="000000" w:themeColor="text1"/>
          <w:szCs w:val="24"/>
        </w:rPr>
        <w:t>)</w:t>
      </w:r>
      <w:r w:rsidR="004C3202" w:rsidRPr="00CA5672">
        <w:rPr>
          <w:rFonts w:asciiTheme="majorBidi" w:hAnsiTheme="majorBidi" w:cstheme="majorBidi"/>
          <w:color w:val="000000" w:themeColor="text1"/>
          <w:szCs w:val="24"/>
        </w:rPr>
        <w:t xml:space="preserve"> 573-1121, </w:t>
      </w:r>
      <w:r w:rsidR="004C3202" w:rsidRPr="00CA5672">
        <w:rPr>
          <w:rFonts w:asciiTheme="majorBidi" w:hAnsiTheme="majorBidi" w:cstheme="majorBidi"/>
          <w:szCs w:val="24"/>
        </w:rPr>
        <w:t>relative to a comparative full mitochondrial genome of Chinook salmon (</w:t>
      </w:r>
      <w:proofErr w:type="spellStart"/>
      <w:r w:rsidR="004C3202" w:rsidRPr="00CA5672">
        <w:rPr>
          <w:rFonts w:asciiTheme="majorBidi" w:hAnsiTheme="majorBidi" w:cstheme="majorBidi"/>
          <w:szCs w:val="24"/>
        </w:rPr>
        <w:t>Genbank</w:t>
      </w:r>
      <w:proofErr w:type="spellEnd"/>
      <w:r w:rsidR="004C3202" w:rsidRPr="00CA5672">
        <w:rPr>
          <w:rFonts w:asciiTheme="majorBidi" w:hAnsiTheme="majorBidi" w:cstheme="majorBidi"/>
          <w:szCs w:val="24"/>
        </w:rPr>
        <w:t xml:space="preserve"> accession number NC_002980.1).  Haplotype </w:t>
      </w:r>
      <w:r w:rsidR="004C3202">
        <w:rPr>
          <w:rFonts w:asciiTheme="majorBidi" w:hAnsiTheme="majorBidi" w:cstheme="majorBidi"/>
          <w:szCs w:val="24"/>
        </w:rPr>
        <w:t>“</w:t>
      </w:r>
      <w:r w:rsidR="004C3202" w:rsidRPr="00CA5672">
        <w:rPr>
          <w:rFonts w:asciiTheme="majorBidi" w:hAnsiTheme="majorBidi" w:cstheme="majorBidi"/>
          <w:szCs w:val="24"/>
        </w:rPr>
        <w:t>TSA2a</w:t>
      </w:r>
      <w:r w:rsidR="004C3202">
        <w:rPr>
          <w:rFonts w:asciiTheme="majorBidi" w:hAnsiTheme="majorBidi" w:cstheme="majorBidi"/>
          <w:szCs w:val="24"/>
        </w:rPr>
        <w:t>”</w:t>
      </w:r>
      <w:r w:rsidR="004C3202" w:rsidRPr="00CA5672">
        <w:rPr>
          <w:rFonts w:asciiTheme="majorBidi" w:hAnsiTheme="majorBidi" w:cstheme="majorBidi"/>
          <w:szCs w:val="24"/>
        </w:rPr>
        <w:t xml:space="preserve"> described by Martin et al.</w:t>
      </w:r>
      <w:r w:rsidR="004C3202">
        <w:rPr>
          <w:rFonts w:asciiTheme="majorBidi" w:hAnsiTheme="majorBidi" w:cstheme="majorBidi"/>
          <w:szCs w:val="24"/>
        </w:rPr>
        <w:t xml:space="preserve"> </w:t>
      </w:r>
      <w:r w:rsidR="004C3202">
        <w:rPr>
          <w:rFonts w:asciiTheme="majorBidi" w:hAnsiTheme="majorBidi" w:cstheme="majorBidi"/>
          <w:szCs w:val="24"/>
        </w:rPr>
        <w:fldChar w:fldCharType="begin"/>
      </w:r>
      <w:r w:rsidR="004C3202">
        <w:rPr>
          <w:rFonts w:asciiTheme="majorBidi" w:hAnsiTheme="majorBidi" w:cstheme="majorBidi"/>
          <w:szCs w:val="24"/>
        </w:rPr>
        <w:instrText xml:space="preserve"> ADDIN ZOTERO_ITEM CSL_CITATION {"citationID":"Jj5JK0xb","properties":{"formattedCitation":"[12]","plainCitation":"[12]","noteIndex":0},"citationItems":[{"id":11437,"uris":["http://zotero.org/users/2116397/items/9ANW5B7E"],"uri":["http://zotero.org/users/2116397/items/9ANW5B7E"],"itemData":{"id":11437,"type":"article-journal","container-title":"Transactions of the American Fisheries Society","DOI":"10.1577/T09-080.1","ISSN":"0002-8487, 1548-8659","issue":"3","journalAbbreviation":"Transactions of the American Fisheries Society","language":"en","page":"792-802","source":"DOI.org (Crossref)","title":"Mitochondrial Variation and Biogeographic History of Chinook Salmon","volume":"139","author":[{"family":"Martin","given":"Kyle E."},{"family":"Steele","given":"Craig A."},{"family":"Brunelli","given":"Joseph P."},{"family":"Thorgaard","given":"Gary H."}],"issued":{"date-parts":[["2010",5]]}}}],"schema":"https://github.com/citation-style-language/schema/raw/master/csl-citation.json"} </w:instrText>
      </w:r>
      <w:r w:rsidR="004C3202">
        <w:rPr>
          <w:rFonts w:asciiTheme="majorBidi" w:hAnsiTheme="majorBidi" w:cstheme="majorBidi"/>
          <w:szCs w:val="24"/>
        </w:rPr>
        <w:fldChar w:fldCharType="separate"/>
      </w:r>
      <w:r w:rsidR="004C3202">
        <w:rPr>
          <w:rFonts w:asciiTheme="majorBidi" w:hAnsiTheme="majorBidi" w:cstheme="majorBidi"/>
          <w:noProof/>
          <w:szCs w:val="24"/>
        </w:rPr>
        <w:t>[12]</w:t>
      </w:r>
      <w:r w:rsidR="004C3202">
        <w:rPr>
          <w:rFonts w:asciiTheme="majorBidi" w:hAnsiTheme="majorBidi" w:cstheme="majorBidi"/>
          <w:szCs w:val="24"/>
        </w:rPr>
        <w:fldChar w:fldCharType="end"/>
      </w:r>
      <w:r w:rsidR="004C3202">
        <w:rPr>
          <w:rFonts w:asciiTheme="majorBidi" w:hAnsiTheme="majorBidi" w:cstheme="majorBidi"/>
          <w:szCs w:val="24"/>
        </w:rPr>
        <w:t xml:space="preserve"> </w:t>
      </w:r>
      <w:r w:rsidR="004C3202" w:rsidRPr="00CA5672">
        <w:rPr>
          <w:rFonts w:asciiTheme="majorBidi" w:hAnsiTheme="majorBidi" w:cstheme="majorBidi"/>
          <w:szCs w:val="24"/>
        </w:rPr>
        <w:t>was removed from this analysis</w:t>
      </w:r>
      <w:r w:rsidR="004C3202">
        <w:rPr>
          <w:rFonts w:asciiTheme="majorBidi" w:hAnsiTheme="majorBidi" w:cstheme="majorBidi"/>
          <w:szCs w:val="24"/>
        </w:rPr>
        <w:t xml:space="preserve"> due to missing data (Ns) at </w:t>
      </w:r>
      <w:proofErr w:type="spellStart"/>
      <w:r w:rsidR="004C3202">
        <w:rPr>
          <w:rFonts w:asciiTheme="majorBidi" w:hAnsiTheme="majorBidi" w:cstheme="majorBidi"/>
          <w:szCs w:val="24"/>
        </w:rPr>
        <w:t>nps</w:t>
      </w:r>
      <w:proofErr w:type="spellEnd"/>
      <w:r w:rsidR="004C3202">
        <w:rPr>
          <w:rFonts w:asciiTheme="majorBidi" w:hAnsiTheme="majorBidi" w:cstheme="majorBidi"/>
          <w:szCs w:val="24"/>
        </w:rPr>
        <w:t xml:space="preserve"> 587 and 612</w:t>
      </w:r>
      <w:r w:rsidR="004C3202" w:rsidRPr="00CA5672">
        <w:rPr>
          <w:rFonts w:asciiTheme="majorBidi" w:hAnsiTheme="majorBidi" w:cstheme="majorBidi"/>
          <w:szCs w:val="24"/>
        </w:rPr>
        <w:t xml:space="preserve">.  </w:t>
      </w:r>
      <w:r w:rsidR="004C3202" w:rsidRPr="00CA5672">
        <w:rPr>
          <w:color w:val="000000"/>
          <w:szCs w:val="24"/>
        </w:rPr>
        <w:t>D</w:t>
      </w:r>
      <w:r w:rsidR="004C3202">
        <w:rPr>
          <w:color w:val="000000"/>
          <w:szCs w:val="24"/>
        </w:rPr>
        <w:t>NA Alignment (version 1.3.3.2) was used to convert the data</w:t>
      </w:r>
      <w:r w:rsidR="004C3202" w:rsidRPr="00CA5672">
        <w:rPr>
          <w:color w:val="000000"/>
          <w:szCs w:val="24"/>
        </w:rPr>
        <w:t xml:space="preserve"> to a Nexus file,</w:t>
      </w:r>
      <w:r w:rsidR="004C3202">
        <w:rPr>
          <w:color w:val="000000"/>
          <w:szCs w:val="24"/>
        </w:rPr>
        <w:t xml:space="preserve"> which was then </w:t>
      </w:r>
      <w:r w:rsidR="004C3202" w:rsidRPr="00CA5672">
        <w:rPr>
          <w:color w:val="000000"/>
          <w:szCs w:val="24"/>
        </w:rPr>
        <w:t xml:space="preserve">imported into </w:t>
      </w:r>
      <w:proofErr w:type="spellStart"/>
      <w:r w:rsidR="004C3202" w:rsidRPr="00CA5672">
        <w:rPr>
          <w:color w:val="000000"/>
          <w:szCs w:val="24"/>
        </w:rPr>
        <w:t>PopART</w:t>
      </w:r>
      <w:proofErr w:type="spellEnd"/>
      <w:r w:rsidR="004C3202" w:rsidRPr="00CA5672">
        <w:rPr>
          <w:color w:val="000000"/>
          <w:szCs w:val="24"/>
        </w:rPr>
        <w:t xml:space="preserve"> </w:t>
      </w:r>
      <w:r w:rsidR="004C3202">
        <w:rPr>
          <w:color w:val="000000"/>
          <w:szCs w:val="24"/>
        </w:rPr>
        <w:t>(</w:t>
      </w:r>
      <w:r w:rsidR="004C3202" w:rsidRPr="00CA5672">
        <w:rPr>
          <w:color w:val="000000"/>
          <w:szCs w:val="24"/>
        </w:rPr>
        <w:t>version 1.7</w:t>
      </w:r>
      <w:r w:rsidR="004C3202" w:rsidRPr="00CA5672">
        <w:rPr>
          <w:color w:val="0000FF"/>
          <w:szCs w:val="24"/>
        </w:rPr>
        <w:t>24</w:t>
      </w:r>
      <w:r w:rsidR="004C3202">
        <w:rPr>
          <w:color w:val="0000FF"/>
          <w:szCs w:val="24"/>
        </w:rPr>
        <w:t xml:space="preserve">; </w:t>
      </w:r>
      <w:r w:rsidR="004C3202">
        <w:rPr>
          <w:color w:val="0000FF"/>
          <w:szCs w:val="24"/>
        </w:rPr>
        <w:fldChar w:fldCharType="begin"/>
      </w:r>
      <w:r w:rsidR="004C3202">
        <w:rPr>
          <w:color w:val="0000FF"/>
          <w:szCs w:val="24"/>
        </w:rPr>
        <w:instrText xml:space="preserve"> ADDIN ZOTERO_ITEM CSL_CITATION {"citationID":"OxMuDiPe","properties":{"formattedCitation":"[13]","plainCitation":"[13]","noteIndex":0},"citationItems":[{"id":14229,"uris":["http://zotero.org/users/2116397/items/WARYP8T4"],"uri":["http://zotero.org/users/2116397/items/WARYP8T4"],"itemData":{"id":14229,"type":"article-journal","container-title":"Methods in Ecology and Evolution","DOI":"10.1111/2041-210X.12410","ISSN":"2041-210X, 2041-210X","issue":"9","journalAbbreviation":"Methods Ecol Evol","language":"en","page":"1110-1116","source":"DOI.org (Crossref)","title":"&lt;span style=\"font-variant:small-caps;\"&gt;popart&lt;/span&gt; : full‐feature software for haplotype network construction","title-short":"&lt;span style=\"font-variant","volume":"6","author":[{"family":"Leigh","given":"Jessica W."},{"family":"Bryant","given":"David"}],"editor":[{"family":"Nakagawa","given":"Shinichi"}],"issued":{"date-parts":[["2015",9]]}}}],"schema":"https://github.com/citation-style-language/schema/raw/master/csl-citation.json"} </w:instrText>
      </w:r>
      <w:r w:rsidR="004C3202">
        <w:rPr>
          <w:color w:val="0000FF"/>
          <w:szCs w:val="24"/>
        </w:rPr>
        <w:fldChar w:fldCharType="separate"/>
      </w:r>
      <w:r w:rsidR="004C3202">
        <w:rPr>
          <w:noProof/>
          <w:color w:val="0000FF"/>
          <w:szCs w:val="24"/>
        </w:rPr>
        <w:t>[13]</w:t>
      </w:r>
      <w:r w:rsidR="004C3202">
        <w:rPr>
          <w:color w:val="0000FF"/>
          <w:szCs w:val="24"/>
        </w:rPr>
        <w:fldChar w:fldCharType="end"/>
      </w:r>
      <w:r w:rsidR="004C3202">
        <w:rPr>
          <w:color w:val="0000FF"/>
          <w:szCs w:val="24"/>
        </w:rPr>
        <w:t>)</w:t>
      </w:r>
      <w:r w:rsidR="004C3202" w:rsidRPr="00CA5672">
        <w:rPr>
          <w:color w:val="000000"/>
          <w:szCs w:val="24"/>
        </w:rPr>
        <w:t>. A median-joining network was created using the default parameters in</w:t>
      </w:r>
      <w:r w:rsidR="004C3202">
        <w:rPr>
          <w:color w:val="000000"/>
          <w:szCs w:val="24"/>
        </w:rPr>
        <w:t xml:space="preserve"> </w:t>
      </w:r>
      <w:proofErr w:type="spellStart"/>
      <w:r w:rsidR="004C3202" w:rsidRPr="00CA5672">
        <w:rPr>
          <w:color w:val="000000"/>
          <w:szCs w:val="24"/>
        </w:rPr>
        <w:t>PopART</w:t>
      </w:r>
      <w:proofErr w:type="spellEnd"/>
      <w:r w:rsidR="004C3202">
        <w:rPr>
          <w:color w:val="000000"/>
          <w:szCs w:val="24"/>
        </w:rPr>
        <w:t xml:space="preserve"> </w:t>
      </w:r>
      <w:r w:rsidR="00257749">
        <w:rPr>
          <w:color w:val="000000"/>
          <w:szCs w:val="24"/>
        </w:rPr>
        <w:fldChar w:fldCharType="begin"/>
      </w:r>
      <w:r w:rsidR="00257749">
        <w:rPr>
          <w:color w:val="000000"/>
          <w:szCs w:val="24"/>
        </w:rPr>
        <w:instrText xml:space="preserve"> ADDIN ZOTERO_ITEM CSL_CITATION {"citationID":"DrDpdpFO","properties":{"formattedCitation":"[11]","plainCitation":"[11]","noteIndex":0},"citationItems":[{"id":14231,"uris":["http://zotero.org/users/2116397/items/6VCRH9TM"],"uri":["http://zotero.org/users/2116397/items/6VCRH9TM"],"itemData":{"id":14231,"type":"article-journal","container-title":"Molecular Biology and Evolution","DOI":"10.1093/oxfordjournals.molbev.a026036","ISSN":"0737-4038, 1537-1719","issue":"1","journalAbbreviation":"Molecular Biology and Evolution","language":"en","page":"37-48","source":"DOI.org (Crossref)","title":"Median-joining networks for inferring intraspecific phylogenies","volume":"16","author":[{"family":"Bandelt","given":"H. J."},{"family":"Forster","given":"P."},{"family":"Rohl","given":"A."}],"issued":{"date-parts":[["1999",1,1]]}}}],"schema":"https://github.com/citation-style-language/schema/raw/master/csl-citation.json"} </w:instrText>
      </w:r>
      <w:r w:rsidR="00257749">
        <w:rPr>
          <w:color w:val="000000"/>
          <w:szCs w:val="24"/>
        </w:rPr>
        <w:fldChar w:fldCharType="separate"/>
      </w:r>
      <w:r w:rsidR="00257749">
        <w:rPr>
          <w:noProof/>
          <w:color w:val="000000"/>
          <w:szCs w:val="24"/>
        </w:rPr>
        <w:t>[11]</w:t>
      </w:r>
      <w:r w:rsidR="00257749">
        <w:rPr>
          <w:color w:val="000000"/>
          <w:szCs w:val="24"/>
        </w:rPr>
        <w:fldChar w:fldCharType="end"/>
      </w:r>
      <w:r w:rsidR="004C3202" w:rsidRPr="00CA5672">
        <w:rPr>
          <w:color w:val="000000"/>
          <w:szCs w:val="24"/>
        </w:rPr>
        <w:t>.</w:t>
      </w:r>
      <w:r w:rsidR="004C3202">
        <w:rPr>
          <w:color w:val="000000"/>
          <w:szCs w:val="24"/>
        </w:rPr>
        <w:t xml:space="preserve">  Insertions and deletions were omitted from network construction.</w:t>
      </w:r>
    </w:p>
    <w:p w14:paraId="08B3264F" w14:textId="0703480A" w:rsidR="0068516C" w:rsidRDefault="0068516C" w:rsidP="0068516C">
      <w:pPr>
        <w:spacing w:line="480" w:lineRule="auto"/>
        <w:rPr>
          <w:rFonts w:asciiTheme="majorBidi" w:hAnsiTheme="majorBidi" w:cstheme="majorBidi"/>
          <w:color w:val="000000" w:themeColor="text1"/>
          <w:szCs w:val="24"/>
        </w:rPr>
      </w:pPr>
    </w:p>
    <w:p w14:paraId="039726AB" w14:textId="77777777" w:rsidR="004C3202" w:rsidRDefault="004C3202" w:rsidP="0068516C">
      <w:pPr>
        <w:spacing w:line="480" w:lineRule="auto"/>
        <w:rPr>
          <w:rFonts w:asciiTheme="majorBidi" w:hAnsiTheme="majorBidi" w:cstheme="majorBidi"/>
          <w:b/>
          <w:bCs/>
          <w:sz w:val="32"/>
          <w:szCs w:val="32"/>
        </w:rPr>
      </w:pPr>
    </w:p>
    <w:p w14:paraId="74E2FA85" w14:textId="50C0F907" w:rsidR="00ED5CA4" w:rsidRPr="008F58AD" w:rsidRDefault="00ED5CA4" w:rsidP="0068516C">
      <w:pPr>
        <w:spacing w:line="480" w:lineRule="auto"/>
        <w:rPr>
          <w:rFonts w:asciiTheme="majorBidi" w:hAnsiTheme="majorBidi" w:cstheme="majorBidi"/>
          <w:b/>
          <w:bCs/>
          <w:sz w:val="32"/>
          <w:szCs w:val="32"/>
        </w:rPr>
      </w:pPr>
      <w:r w:rsidRPr="008F58AD">
        <w:rPr>
          <w:rFonts w:asciiTheme="majorBidi" w:hAnsiTheme="majorBidi" w:cstheme="majorBidi"/>
          <w:b/>
          <w:bCs/>
          <w:sz w:val="32"/>
          <w:szCs w:val="32"/>
        </w:rPr>
        <w:lastRenderedPageBreak/>
        <w:t>Results of aDNA Amplification and Sequencing of the Three Chinook Salmon Samples</w:t>
      </w:r>
      <w:r w:rsidR="004C3202" w:rsidRPr="004C3202">
        <w:rPr>
          <w:rFonts w:asciiTheme="majorBidi" w:hAnsiTheme="majorBidi" w:cstheme="majorBidi"/>
          <w:b/>
          <w:bCs/>
          <w:sz w:val="32"/>
          <w:szCs w:val="32"/>
        </w:rPr>
        <w:t xml:space="preserve"> </w:t>
      </w:r>
      <w:r w:rsidR="004C3202">
        <w:rPr>
          <w:rFonts w:asciiTheme="majorBidi" w:hAnsiTheme="majorBidi" w:cstheme="majorBidi"/>
          <w:b/>
          <w:bCs/>
          <w:sz w:val="32"/>
          <w:szCs w:val="32"/>
        </w:rPr>
        <w:t>and Median-Joining Network Construction</w:t>
      </w:r>
    </w:p>
    <w:p w14:paraId="36B81123" w14:textId="5ABC527F" w:rsidR="00ED5CA4" w:rsidRDefault="00ED5CA4" w:rsidP="0028587F">
      <w:pPr>
        <w:spacing w:line="480" w:lineRule="auto"/>
        <w:rPr>
          <w:rFonts w:asciiTheme="majorBidi" w:hAnsiTheme="majorBidi" w:cstheme="majorBidi"/>
          <w:szCs w:val="24"/>
        </w:rPr>
      </w:pPr>
      <w:r w:rsidRPr="0028587F">
        <w:rPr>
          <w:rFonts w:asciiTheme="majorBidi" w:hAnsiTheme="majorBidi" w:cstheme="majorBidi"/>
          <w:szCs w:val="24"/>
        </w:rPr>
        <w:t xml:space="preserve">Specimen 3.4 exhibits the following mutations: 592delG, T596A, 608delT, 884delG, 974.1C, and T1028G. A BLAST search of this haplotype at NCBI reveals a 100% match to a Chinook salmon haplotype called “TSA 1A”, one that has previously been observed in Chinook salmon originating from rivers located in the states of Washington, Oregon, and California (United States of America) </w:t>
      </w:r>
      <w:r w:rsidR="00A845AA">
        <w:rPr>
          <w:rFonts w:asciiTheme="majorBidi" w:hAnsiTheme="majorBidi" w:cstheme="majorBidi"/>
          <w:szCs w:val="24"/>
        </w:rPr>
        <w:fldChar w:fldCharType="begin"/>
      </w:r>
      <w:r w:rsidR="004C3202">
        <w:rPr>
          <w:rFonts w:asciiTheme="majorBidi" w:hAnsiTheme="majorBidi" w:cstheme="majorBidi"/>
          <w:szCs w:val="24"/>
        </w:rPr>
        <w:instrText xml:space="preserve"> ADDIN ZOTERO_ITEM CSL_CITATION {"citationID":"s7pqfccb","properties":{"formattedCitation":"[12]","plainCitation":"[12]","noteIndex":0},"citationItems":[{"id":11437,"uris":["http://zotero.org/users/2116397/items/9ANW5B7E"],"uri":["http://zotero.org/users/2116397/items/9ANW5B7E"],"itemData":{"id":11437,"type":"article-journal","container-title":"Transactions of the American Fisheries Society","DOI":"10.1577/T09-080.1","ISSN":"0002-8487, 1548-8659","issue":"3","journalAbbreviation":"Transactions of the American Fisheries Society","language":"en","page":"792-802","source":"DOI.org (Crossref)","title":"Mitochondrial Variation and Biogeographic History of Chinook Salmon","volume":"139","author":[{"family":"Martin","given":"Kyle E."},{"family":"Steele","given":"Craig A."},{"family":"Brunelli","given":"Joseph P."},{"family":"Thorgaard","given":"Gary H."}],"issued":{"date-parts":[["2010",5]]}}}],"schema":"https://github.com/citation-style-language/schema/raw/master/csl-citation.json"} </w:instrText>
      </w:r>
      <w:r w:rsidR="00A845AA">
        <w:rPr>
          <w:rFonts w:asciiTheme="majorBidi" w:hAnsiTheme="majorBidi" w:cstheme="majorBidi"/>
          <w:szCs w:val="24"/>
        </w:rPr>
        <w:fldChar w:fldCharType="separate"/>
      </w:r>
      <w:r w:rsidR="004C3202">
        <w:rPr>
          <w:rFonts w:asciiTheme="majorBidi" w:hAnsiTheme="majorBidi" w:cstheme="majorBidi"/>
          <w:noProof/>
          <w:szCs w:val="24"/>
        </w:rPr>
        <w:t>[12]</w:t>
      </w:r>
      <w:r w:rsidR="00A845AA">
        <w:rPr>
          <w:rFonts w:asciiTheme="majorBidi" w:hAnsiTheme="majorBidi" w:cstheme="majorBidi"/>
          <w:szCs w:val="24"/>
        </w:rPr>
        <w:fldChar w:fldCharType="end"/>
      </w:r>
      <w:r w:rsidRPr="0028587F">
        <w:rPr>
          <w:rFonts w:asciiTheme="majorBidi" w:hAnsiTheme="majorBidi" w:cstheme="majorBidi"/>
          <w:szCs w:val="24"/>
        </w:rPr>
        <w:t xml:space="preserve">. Specimen 3.6 exhibits the following mutations: 592delG, T596A, 608delT, 884delG, T1028G. A BLAST search of this haplotype in reveals a 100% match to a Chinook salmon haplotype called “TSA 10” that has previously been observed in Chinook salmon originating from rivers in the same states </w:t>
      </w:r>
      <w:r w:rsidR="00A845AA">
        <w:rPr>
          <w:rFonts w:asciiTheme="majorBidi" w:hAnsiTheme="majorBidi" w:cstheme="majorBidi"/>
          <w:szCs w:val="24"/>
        </w:rPr>
        <w:fldChar w:fldCharType="begin"/>
      </w:r>
      <w:r w:rsidR="004C3202">
        <w:rPr>
          <w:rFonts w:asciiTheme="majorBidi" w:hAnsiTheme="majorBidi" w:cstheme="majorBidi"/>
          <w:szCs w:val="24"/>
        </w:rPr>
        <w:instrText xml:space="preserve"> ADDIN ZOTERO_ITEM CSL_CITATION {"citationID":"PLmfCNeN","properties":{"formattedCitation":"[12]","plainCitation":"[12]","noteIndex":0},"citationItems":[{"id":11437,"uris":["http://zotero.org/users/2116397/items/9ANW5B7E"],"uri":["http://zotero.org/users/2116397/items/9ANW5B7E"],"itemData":{"id":11437,"type":"article-journal","container-title":"Transactions of the American Fisheries Society","DOI":"10.1577/T09-080.1","ISSN":"0002-8487, 1548-8659","issue":"3","journalAbbreviation":"Transactions of the American Fisheries Society","language":"en","page":"792-802","source":"DOI.org (Crossref)","title":"Mitochondrial Variation and Biogeographic History of Chinook Salmon","volume":"139","author":[{"family":"Martin","given":"Kyle E."},{"family":"Steele","given":"Craig A."},{"family":"Brunelli","given":"Joseph P."},{"family":"Thorgaard","given":"Gary H."}],"issued":{"date-parts":[["2010",5]]}}}],"schema":"https://github.com/citation-style-language/schema/raw/master/csl-citation.json"} </w:instrText>
      </w:r>
      <w:r w:rsidR="00A845AA">
        <w:rPr>
          <w:rFonts w:asciiTheme="majorBidi" w:hAnsiTheme="majorBidi" w:cstheme="majorBidi"/>
          <w:szCs w:val="24"/>
        </w:rPr>
        <w:fldChar w:fldCharType="separate"/>
      </w:r>
      <w:r w:rsidR="004C3202">
        <w:rPr>
          <w:rFonts w:asciiTheme="majorBidi" w:hAnsiTheme="majorBidi" w:cstheme="majorBidi"/>
          <w:noProof/>
          <w:szCs w:val="24"/>
        </w:rPr>
        <w:t>[12]</w:t>
      </w:r>
      <w:r w:rsidR="00A845AA">
        <w:rPr>
          <w:rFonts w:asciiTheme="majorBidi" w:hAnsiTheme="majorBidi" w:cstheme="majorBidi"/>
          <w:szCs w:val="24"/>
        </w:rPr>
        <w:fldChar w:fldCharType="end"/>
      </w:r>
      <w:r w:rsidRPr="0028587F">
        <w:rPr>
          <w:rFonts w:asciiTheme="majorBidi" w:hAnsiTheme="majorBidi" w:cstheme="majorBidi"/>
          <w:szCs w:val="24"/>
        </w:rPr>
        <w:t xml:space="preserve">. Specimen 7.4 exhibits the following mutations: 592delG, T596A, 608delT, G869A, 884delG, 974.1C, T1028G. A BLAST search of this haplotype reveals it to be unique. However, it is one mutational step from “TSA 1” (which lacks the lacks G869A mutation) and one mutational step from “TSA 22 (which is derived by a G641A mutation). These are the two closest related lineages in </w:t>
      </w:r>
      <w:proofErr w:type="spellStart"/>
      <w:r w:rsidRPr="0028587F">
        <w:rPr>
          <w:rFonts w:asciiTheme="majorBidi" w:hAnsiTheme="majorBidi" w:cstheme="majorBidi"/>
          <w:szCs w:val="24"/>
        </w:rPr>
        <w:t>Genbank</w:t>
      </w:r>
      <w:proofErr w:type="spellEnd"/>
      <w:r w:rsidRPr="0028587F">
        <w:rPr>
          <w:rFonts w:asciiTheme="majorBidi" w:hAnsiTheme="majorBidi" w:cstheme="majorBidi"/>
          <w:szCs w:val="24"/>
        </w:rPr>
        <w:t xml:space="preserve">. “TSA 22” has been observed in prehistoric Chinook salmon from the Columbia River </w:t>
      </w:r>
      <w:r w:rsidR="00A845AA">
        <w:rPr>
          <w:rFonts w:asciiTheme="majorBidi" w:hAnsiTheme="majorBidi" w:cstheme="majorBidi"/>
          <w:szCs w:val="24"/>
        </w:rPr>
        <w:fldChar w:fldCharType="begin"/>
      </w:r>
      <w:r w:rsidR="00A845AA">
        <w:rPr>
          <w:rFonts w:asciiTheme="majorBidi" w:hAnsiTheme="majorBidi" w:cstheme="majorBidi"/>
          <w:szCs w:val="24"/>
        </w:rPr>
        <w:instrText xml:space="preserve"> ADDIN ZOTERO_ITEM CSL_CITATION {"citationID":"syKMvVor","properties":{"formattedCitation":"[10]","plainCitation":"[10]","noteIndex":0},"citationItems":[{"id":10727,"uris":["http://zotero.org/users/2116397/items/FNMNVPML"],"uri":["http://zotero.org/users/2116397/items/FNMNVPML"],"itemData":{"id":10727,"type":"article-journal","container-title":"PLOS ONE","DOI":"10.1371/journal.pone.0190059","ISSN":"1932-6203","issue":"1","journalAbbreviation":"PLoS ONE","language":"en","page":"e0190059","source":"DOI.org (Crossref)","title":"Increased mitochondrial DNA diversity in ancient Columbia River basin Chinook salmon Oncorhynchus tshawytscha","volume":"13","author":[{"family":"Johnson","given":"Bobbi M."},{"family":"Kemp","given":"Brian M."},{"family":"Thorgaard","given":"Gary H."}],"editor":[{"family":"Chiang","given":"Tzen-Yuh"}],"issued":{"date-parts":[["2018",1,10]]}}}],"schema":"https://github.com/citation-style-language/schema/raw/master/csl-citation.json"} </w:instrText>
      </w:r>
      <w:r w:rsidR="00A845AA">
        <w:rPr>
          <w:rFonts w:asciiTheme="majorBidi" w:hAnsiTheme="majorBidi" w:cstheme="majorBidi"/>
          <w:szCs w:val="24"/>
        </w:rPr>
        <w:fldChar w:fldCharType="separate"/>
      </w:r>
      <w:r w:rsidR="00A845AA">
        <w:rPr>
          <w:rFonts w:asciiTheme="majorBidi" w:hAnsiTheme="majorBidi" w:cstheme="majorBidi"/>
          <w:noProof/>
          <w:szCs w:val="24"/>
        </w:rPr>
        <w:t>[10]</w:t>
      </w:r>
      <w:r w:rsidR="00A845AA">
        <w:rPr>
          <w:rFonts w:asciiTheme="majorBidi" w:hAnsiTheme="majorBidi" w:cstheme="majorBidi"/>
          <w:szCs w:val="24"/>
        </w:rPr>
        <w:fldChar w:fldCharType="end"/>
      </w:r>
      <w:r w:rsidRPr="0028587F">
        <w:rPr>
          <w:rFonts w:asciiTheme="majorBidi" w:hAnsiTheme="majorBidi" w:cstheme="majorBidi"/>
          <w:szCs w:val="24"/>
        </w:rPr>
        <w:t xml:space="preserve">. </w:t>
      </w:r>
    </w:p>
    <w:p w14:paraId="29DD7617" w14:textId="7714DD7D" w:rsidR="004C3202" w:rsidRDefault="004C3202" w:rsidP="004C3202">
      <w:pPr>
        <w:spacing w:line="480" w:lineRule="auto"/>
        <w:ind w:firstLine="720"/>
        <w:rPr>
          <w:rFonts w:asciiTheme="majorBidi" w:hAnsiTheme="majorBidi" w:cstheme="majorBidi"/>
          <w:szCs w:val="24"/>
        </w:rPr>
      </w:pPr>
      <w:r>
        <w:rPr>
          <w:rFonts w:asciiTheme="majorBidi" w:hAnsiTheme="majorBidi" w:cstheme="majorBidi"/>
          <w:szCs w:val="24"/>
        </w:rPr>
        <w:t xml:space="preserve">The median-joining network is found in </w:t>
      </w:r>
      <w:r w:rsidR="00597C82">
        <w:rPr>
          <w:rFonts w:asciiTheme="majorBidi" w:hAnsiTheme="majorBidi" w:cstheme="majorBidi"/>
          <w:szCs w:val="24"/>
        </w:rPr>
        <w:t>S1 Fig</w:t>
      </w:r>
      <w:r>
        <w:rPr>
          <w:rFonts w:asciiTheme="majorBidi" w:hAnsiTheme="majorBidi" w:cstheme="majorBidi"/>
          <w:szCs w:val="24"/>
        </w:rPr>
        <w:t xml:space="preserve">.  This analysis further supports close mitochondrial relations between the Chinook sampled from </w:t>
      </w:r>
      <w:r w:rsidRPr="000E5EFD">
        <w:rPr>
          <w:rFonts w:asciiTheme="majorBidi" w:hAnsiTheme="majorBidi" w:cstheme="majorBidi"/>
          <w:szCs w:val="24"/>
        </w:rPr>
        <w:t xml:space="preserve">Mission Santa Clara de </w:t>
      </w:r>
      <w:proofErr w:type="spellStart"/>
      <w:r w:rsidRPr="000E5EFD">
        <w:rPr>
          <w:rFonts w:asciiTheme="majorBidi" w:hAnsiTheme="majorBidi" w:cstheme="majorBidi"/>
          <w:szCs w:val="24"/>
        </w:rPr>
        <w:t>Asís</w:t>
      </w:r>
      <w:proofErr w:type="spellEnd"/>
      <w:r>
        <w:rPr>
          <w:rFonts w:asciiTheme="majorBidi" w:hAnsiTheme="majorBidi" w:cstheme="majorBidi"/>
          <w:szCs w:val="24"/>
        </w:rPr>
        <w:t xml:space="preserve"> (</w:t>
      </w:r>
      <w:r w:rsidRPr="000E5EFD">
        <w:rPr>
          <w:rFonts w:asciiTheme="majorBidi" w:hAnsiTheme="majorBidi" w:cstheme="majorBidi"/>
          <w:szCs w:val="24"/>
        </w:rPr>
        <w:t>CA-SCL-30H</w:t>
      </w:r>
      <w:r>
        <w:rPr>
          <w:rFonts w:asciiTheme="majorBidi" w:hAnsiTheme="majorBidi" w:cstheme="majorBidi"/>
          <w:szCs w:val="24"/>
        </w:rPr>
        <w:t xml:space="preserve">) and other Chinook lineages observed throughout their range.  This lends further credibility to our results, as they make phylogenetic sense </w:t>
      </w:r>
      <w:r>
        <w:rPr>
          <w:rFonts w:asciiTheme="majorBidi" w:hAnsiTheme="majorBidi" w:cstheme="majorBidi"/>
          <w:szCs w:val="24"/>
        </w:rPr>
        <w:fldChar w:fldCharType="begin"/>
      </w:r>
      <w:r>
        <w:rPr>
          <w:rFonts w:asciiTheme="majorBidi" w:hAnsiTheme="majorBidi" w:cstheme="majorBidi"/>
          <w:szCs w:val="24"/>
        </w:rPr>
        <w:instrText xml:space="preserve"> ADDIN ZOTERO_ITEM CSL_CITATION {"citationID":"IS4NZ6zD","properties":{"formattedCitation":"[14]","plainCitation":"[14]","noteIndex":0},"citationItems":[{"id":14233,"uris":["http://zotero.org/users/2116397/items/MDDGHRKV"],"uri":["http://zotero.org/users/2116397/items/MDDGHRKV"],"itemData":{"id":14233,"type":"article-journal","container-title":"Trends in Ecology &amp; Evolution","DOI":"10.1016/j.tree.2005.07.005","ISSN":"01695347","issue":"10","journalAbbreviation":"Trends in Ecology &amp; Evolution","language":"en","page":"541-544","source":"DOI.org (Crossref)","title":"Assessing ancient DNA studies","volume":"20","author":[{"family":"Gilbert","given":"M. Thomas P."},{"family":"Bandelt","given":"Hans-Jürgen"},{"family":"Hofreiter","given":"Michael"},{"family":"Barnes","given":"Ian"}],"issued":{"date-parts":[["2005",10]]}}}],"schema":"https://github.com/citation-style-language/schema/raw/master/csl-citation.json"} </w:instrText>
      </w:r>
      <w:r>
        <w:rPr>
          <w:rFonts w:asciiTheme="majorBidi" w:hAnsiTheme="majorBidi" w:cstheme="majorBidi"/>
          <w:szCs w:val="24"/>
        </w:rPr>
        <w:fldChar w:fldCharType="separate"/>
      </w:r>
      <w:r>
        <w:rPr>
          <w:rFonts w:asciiTheme="majorBidi" w:hAnsiTheme="majorBidi" w:cstheme="majorBidi"/>
          <w:noProof/>
          <w:szCs w:val="24"/>
        </w:rPr>
        <w:t>[14]</w:t>
      </w:r>
      <w:r>
        <w:rPr>
          <w:rFonts w:asciiTheme="majorBidi" w:hAnsiTheme="majorBidi" w:cstheme="majorBidi"/>
          <w:szCs w:val="24"/>
        </w:rPr>
        <w:fldChar w:fldCharType="end"/>
      </w:r>
      <w:r>
        <w:rPr>
          <w:rFonts w:asciiTheme="majorBidi" w:hAnsiTheme="majorBidi" w:cstheme="majorBidi"/>
          <w:szCs w:val="24"/>
        </w:rPr>
        <w:t>.</w:t>
      </w:r>
    </w:p>
    <w:p w14:paraId="7681FF4A" w14:textId="43566E8E" w:rsidR="00597C82" w:rsidRPr="00597C82" w:rsidRDefault="00597C82" w:rsidP="00597C82">
      <w:pPr>
        <w:spacing w:line="480" w:lineRule="auto"/>
        <w:rPr>
          <w:rFonts w:asciiTheme="majorBidi" w:hAnsiTheme="majorBidi" w:cstheme="majorBidi"/>
          <w:b/>
          <w:bCs/>
          <w:szCs w:val="24"/>
        </w:rPr>
      </w:pPr>
      <w:r w:rsidRPr="00597C82">
        <w:rPr>
          <w:rFonts w:asciiTheme="majorBidi" w:hAnsiTheme="majorBidi" w:cstheme="majorBidi"/>
          <w:b/>
          <w:bCs/>
          <w:szCs w:val="24"/>
        </w:rPr>
        <w:t>S1 Fig. Median-joining network.</w:t>
      </w:r>
    </w:p>
    <w:p w14:paraId="05B5C89A" w14:textId="77777777" w:rsidR="004C3202" w:rsidRPr="0028587F" w:rsidRDefault="004C3202" w:rsidP="0028587F">
      <w:pPr>
        <w:spacing w:line="480" w:lineRule="auto"/>
        <w:rPr>
          <w:rFonts w:asciiTheme="majorBidi" w:hAnsiTheme="majorBidi" w:cstheme="majorBidi"/>
          <w:szCs w:val="24"/>
        </w:rPr>
      </w:pPr>
    </w:p>
    <w:p w14:paraId="2699F553" w14:textId="04AAA530" w:rsidR="00ED5CA4" w:rsidRPr="008F58AD" w:rsidRDefault="00ED5CA4" w:rsidP="0028587F">
      <w:pPr>
        <w:spacing w:line="480" w:lineRule="auto"/>
        <w:rPr>
          <w:rFonts w:asciiTheme="majorBidi" w:hAnsiTheme="majorBidi" w:cstheme="majorBidi"/>
          <w:b/>
          <w:bCs/>
          <w:sz w:val="32"/>
          <w:szCs w:val="32"/>
        </w:rPr>
      </w:pPr>
      <w:r w:rsidRPr="008F58AD">
        <w:rPr>
          <w:rFonts w:asciiTheme="majorBidi" w:hAnsiTheme="majorBidi" w:cstheme="majorBidi"/>
          <w:b/>
          <w:bCs/>
          <w:sz w:val="32"/>
          <w:szCs w:val="32"/>
        </w:rPr>
        <w:lastRenderedPageBreak/>
        <w:t xml:space="preserve">References for </w:t>
      </w:r>
      <w:r w:rsidR="00596912" w:rsidRPr="008F58AD">
        <w:rPr>
          <w:rFonts w:asciiTheme="majorBidi" w:hAnsiTheme="majorBidi" w:cstheme="majorBidi"/>
          <w:b/>
          <w:bCs/>
          <w:sz w:val="32"/>
          <w:szCs w:val="32"/>
        </w:rPr>
        <w:t>Supporting Information</w:t>
      </w:r>
    </w:p>
    <w:p w14:paraId="6D4619DC" w14:textId="77777777" w:rsidR="00257749" w:rsidRPr="00257749" w:rsidRDefault="00A845AA" w:rsidP="00257749">
      <w:pPr>
        <w:pStyle w:val="Bibliography"/>
        <w:rPr>
          <w:rFonts w:hAnsiTheme="majorHAnsi"/>
          <w:color w:val="000000"/>
        </w:rPr>
      </w:pPr>
      <w:r>
        <w:rPr>
          <w:rFonts w:asciiTheme="majorBidi" w:hAnsiTheme="majorBidi" w:cstheme="majorBidi"/>
          <w:color w:val="000000"/>
          <w:szCs w:val="24"/>
        </w:rPr>
        <w:fldChar w:fldCharType="begin"/>
      </w:r>
      <w:r>
        <w:rPr>
          <w:rFonts w:asciiTheme="majorBidi" w:hAnsiTheme="majorBidi" w:cstheme="majorBidi"/>
          <w:color w:val="000000"/>
          <w:szCs w:val="24"/>
        </w:rPr>
        <w:instrText xml:space="preserve"> ADDIN ZOTERO_BIBL {"uncited":[],"omitted":[],"custom":[]} CSL_BIBLIOGRAPHY </w:instrText>
      </w:r>
      <w:r>
        <w:rPr>
          <w:rFonts w:asciiTheme="majorBidi" w:hAnsiTheme="majorBidi" w:cstheme="majorBidi"/>
          <w:color w:val="000000"/>
          <w:szCs w:val="24"/>
        </w:rPr>
        <w:fldChar w:fldCharType="separate"/>
      </w:r>
      <w:r w:rsidR="00257749" w:rsidRPr="00257749">
        <w:rPr>
          <w:rFonts w:hAnsiTheme="majorHAnsi"/>
          <w:color w:val="000000"/>
        </w:rPr>
        <w:t xml:space="preserve">1. </w:t>
      </w:r>
      <w:r w:rsidR="00257749" w:rsidRPr="00257749">
        <w:rPr>
          <w:rFonts w:hAnsiTheme="majorHAnsi"/>
          <w:color w:val="000000"/>
        </w:rPr>
        <w:tab/>
        <w:t xml:space="preserve">Peelo, S., Hylkema, L., Blount, C., Garlinghouse, T., Ellison, J., Boone, C. M., et al. The Indian Rancheria at Mission Santa Clara de Asis: Cultural Resources Mitigation for the Edward M. Dowd Art and Art History Building and Parking Structure, edited by S. Peelo and L. Hylkema. Santa Clara University Cultural Resource Management Heritage Stewardship Reports, L. Hylkema, general editor. Santa Clara, California: Santa Clara University; In Press. </w:t>
      </w:r>
    </w:p>
    <w:p w14:paraId="355AEC4E" w14:textId="77777777" w:rsidR="00257749" w:rsidRPr="00257749" w:rsidRDefault="00257749" w:rsidP="00257749">
      <w:pPr>
        <w:pStyle w:val="Bibliography"/>
        <w:rPr>
          <w:rFonts w:hAnsiTheme="majorHAnsi"/>
          <w:color w:val="000000"/>
        </w:rPr>
      </w:pPr>
      <w:r w:rsidRPr="00257749">
        <w:rPr>
          <w:rFonts w:hAnsiTheme="majorHAnsi"/>
          <w:color w:val="000000"/>
        </w:rPr>
        <w:t xml:space="preserve">2. </w:t>
      </w:r>
      <w:r w:rsidRPr="00257749">
        <w:rPr>
          <w:rFonts w:hAnsiTheme="majorHAnsi"/>
          <w:color w:val="000000"/>
        </w:rPr>
        <w:tab/>
        <w:t>Barta JL, Monroe C, Kemp BM. Further evaluation of the efficacy of contamination removal from bone surfaces. Forensic Sci Int. 2013;231: 340</w:t>
      </w:r>
      <w:r w:rsidRPr="00257749">
        <w:rPr>
          <w:rFonts w:hAnsiTheme="majorHAnsi"/>
          <w:color w:val="000000"/>
        </w:rPr>
        <w:t>–</w:t>
      </w:r>
      <w:r w:rsidRPr="00257749">
        <w:rPr>
          <w:rFonts w:hAnsiTheme="majorHAnsi"/>
          <w:color w:val="000000"/>
        </w:rPr>
        <w:t>348. doi:10.1016/j.forsciint.2013.06.004</w:t>
      </w:r>
    </w:p>
    <w:p w14:paraId="7C284F03" w14:textId="77777777" w:rsidR="00257749" w:rsidRPr="00257749" w:rsidRDefault="00257749" w:rsidP="00257749">
      <w:pPr>
        <w:pStyle w:val="Bibliography"/>
        <w:rPr>
          <w:rFonts w:hAnsiTheme="majorHAnsi"/>
          <w:color w:val="000000"/>
        </w:rPr>
      </w:pPr>
      <w:r w:rsidRPr="00257749">
        <w:rPr>
          <w:rFonts w:hAnsiTheme="majorHAnsi"/>
          <w:color w:val="000000"/>
        </w:rPr>
        <w:t xml:space="preserve">3. </w:t>
      </w:r>
      <w:r w:rsidRPr="00257749">
        <w:rPr>
          <w:rFonts w:hAnsiTheme="majorHAnsi"/>
          <w:color w:val="000000"/>
        </w:rPr>
        <w:tab/>
        <w:t>Kemp BM, Monroe C, Judd KG, Reams E, Grier C. Evaluation of methods that subdue the effects of polymerase chain reaction inhibitors in the study of ancient and degraded DNA. J Archaeol Sci. 2014;42: 373</w:t>
      </w:r>
      <w:r w:rsidRPr="00257749">
        <w:rPr>
          <w:rFonts w:hAnsiTheme="majorHAnsi"/>
          <w:color w:val="000000"/>
        </w:rPr>
        <w:t>–</w:t>
      </w:r>
      <w:r w:rsidRPr="00257749">
        <w:rPr>
          <w:rFonts w:hAnsiTheme="majorHAnsi"/>
          <w:color w:val="000000"/>
        </w:rPr>
        <w:t>380. doi:10.1016/j.jas.2013.11.023</w:t>
      </w:r>
    </w:p>
    <w:p w14:paraId="316C2EC3" w14:textId="77777777" w:rsidR="00257749" w:rsidRPr="00257749" w:rsidRDefault="00257749" w:rsidP="00257749">
      <w:pPr>
        <w:pStyle w:val="Bibliography"/>
        <w:rPr>
          <w:rFonts w:hAnsiTheme="majorHAnsi"/>
          <w:color w:val="000000"/>
        </w:rPr>
      </w:pPr>
      <w:r w:rsidRPr="00257749">
        <w:rPr>
          <w:rFonts w:hAnsiTheme="majorHAnsi"/>
          <w:color w:val="000000"/>
        </w:rPr>
        <w:t xml:space="preserve">4. </w:t>
      </w:r>
      <w:r w:rsidRPr="00257749">
        <w:rPr>
          <w:rFonts w:hAnsiTheme="majorHAnsi"/>
          <w:color w:val="000000"/>
        </w:rPr>
        <w:tab/>
        <w:t>Kemp BM, Judd K, Monroe C, Eerkens JW, Hilldorfer L, Cordray C, et al. Prehistoric mitochondrial DNA of domesticate animals supports a 13th century exodus from the northern US southwest. Caramelli D, editor. PLOS ONE. 2017;12: e0178882. doi:10.1371/journal.pone.0178882</w:t>
      </w:r>
    </w:p>
    <w:p w14:paraId="1E4AAE4E" w14:textId="77777777" w:rsidR="00257749" w:rsidRPr="00257749" w:rsidRDefault="00257749" w:rsidP="00257749">
      <w:pPr>
        <w:pStyle w:val="Bibliography"/>
        <w:rPr>
          <w:rFonts w:hAnsiTheme="majorHAnsi"/>
          <w:color w:val="000000"/>
        </w:rPr>
      </w:pPr>
      <w:r w:rsidRPr="00257749">
        <w:rPr>
          <w:rFonts w:hAnsiTheme="majorHAnsi"/>
          <w:color w:val="000000"/>
        </w:rPr>
        <w:t xml:space="preserve">5. </w:t>
      </w:r>
      <w:r w:rsidRPr="00257749">
        <w:rPr>
          <w:rFonts w:hAnsiTheme="majorHAnsi"/>
          <w:color w:val="000000"/>
        </w:rPr>
        <w:tab/>
        <w:t>Jordan LG, Steele CA, Thorgaard GH. Universal mtDNA primers for species identification of degraded bony fish samples: Molecular Diagnostics and DNA Taxonomy. Mol Ecol Resour. 2010;10: 225</w:t>
      </w:r>
      <w:r w:rsidRPr="00257749">
        <w:rPr>
          <w:rFonts w:hAnsiTheme="majorHAnsi"/>
          <w:color w:val="000000"/>
        </w:rPr>
        <w:t>–</w:t>
      </w:r>
      <w:r w:rsidRPr="00257749">
        <w:rPr>
          <w:rFonts w:hAnsiTheme="majorHAnsi"/>
          <w:color w:val="000000"/>
        </w:rPr>
        <w:t>228. doi:10.1111/j.1755-0998.2009.02739.x</w:t>
      </w:r>
    </w:p>
    <w:p w14:paraId="320DBA68" w14:textId="77777777" w:rsidR="00257749" w:rsidRPr="00257749" w:rsidRDefault="00257749" w:rsidP="00257749">
      <w:pPr>
        <w:pStyle w:val="Bibliography"/>
        <w:rPr>
          <w:rFonts w:hAnsiTheme="majorHAnsi"/>
          <w:color w:val="000000"/>
        </w:rPr>
      </w:pPr>
      <w:r w:rsidRPr="00257749">
        <w:rPr>
          <w:rFonts w:hAnsiTheme="majorHAnsi"/>
          <w:color w:val="000000"/>
        </w:rPr>
        <w:t xml:space="preserve">6. </w:t>
      </w:r>
      <w:r w:rsidRPr="00257749">
        <w:rPr>
          <w:rFonts w:hAnsiTheme="majorHAnsi"/>
          <w:color w:val="000000"/>
        </w:rPr>
        <w:tab/>
        <w:t>Brown KH, Drew RE, Weber LA, Thorgaard GH. Intraspecific variation in the rainbow trout mitochondrial DNA genome. Comp Biochem Physiol Part D Genomics Proteomics. 2006;1: 219</w:t>
      </w:r>
      <w:r w:rsidRPr="00257749">
        <w:rPr>
          <w:rFonts w:hAnsiTheme="majorHAnsi"/>
          <w:color w:val="000000"/>
        </w:rPr>
        <w:t>–</w:t>
      </w:r>
      <w:r w:rsidRPr="00257749">
        <w:rPr>
          <w:rFonts w:hAnsiTheme="majorHAnsi"/>
          <w:color w:val="000000"/>
        </w:rPr>
        <w:t>226. doi:10.1016/j.cbd.2005.11.004</w:t>
      </w:r>
    </w:p>
    <w:p w14:paraId="53B4F9FA" w14:textId="77777777" w:rsidR="00257749" w:rsidRPr="00257749" w:rsidRDefault="00257749" w:rsidP="00257749">
      <w:pPr>
        <w:pStyle w:val="Bibliography"/>
        <w:rPr>
          <w:rFonts w:hAnsiTheme="majorHAnsi"/>
          <w:color w:val="000000"/>
        </w:rPr>
      </w:pPr>
      <w:r w:rsidRPr="00257749">
        <w:rPr>
          <w:rFonts w:hAnsiTheme="majorHAnsi"/>
          <w:color w:val="000000"/>
        </w:rPr>
        <w:t xml:space="preserve">7. </w:t>
      </w:r>
      <w:r w:rsidRPr="00257749">
        <w:rPr>
          <w:rFonts w:hAnsiTheme="majorHAnsi"/>
          <w:color w:val="000000"/>
        </w:rPr>
        <w:tab/>
        <w:t>Grier C, Flanigan K, Winters M, Jordan LG, Lukowski S, Kemp BM. Using ancient DNA identification and osteometric measures of archaeological Pacific salmon vertebrae for reconstructing salmon fisheries and site seasonality at Dionisio Point, British Columbia. J Archaeol Sci. 2013;40: 544</w:t>
      </w:r>
      <w:r w:rsidRPr="00257749">
        <w:rPr>
          <w:rFonts w:hAnsiTheme="majorHAnsi"/>
          <w:color w:val="000000"/>
        </w:rPr>
        <w:t>–</w:t>
      </w:r>
      <w:r w:rsidRPr="00257749">
        <w:rPr>
          <w:rFonts w:hAnsiTheme="majorHAnsi"/>
          <w:color w:val="000000"/>
        </w:rPr>
        <w:t>555. doi:10.1016/j.jas.2012.07.013</w:t>
      </w:r>
    </w:p>
    <w:p w14:paraId="60E6CFA0" w14:textId="77777777" w:rsidR="00257749" w:rsidRPr="00257749" w:rsidRDefault="00257749" w:rsidP="00257749">
      <w:pPr>
        <w:pStyle w:val="Bibliography"/>
        <w:rPr>
          <w:rFonts w:hAnsiTheme="majorHAnsi"/>
          <w:color w:val="000000"/>
        </w:rPr>
      </w:pPr>
      <w:r w:rsidRPr="00257749">
        <w:rPr>
          <w:rFonts w:hAnsiTheme="majorHAnsi"/>
          <w:color w:val="000000"/>
        </w:rPr>
        <w:t xml:space="preserve">8. </w:t>
      </w:r>
      <w:r w:rsidRPr="00257749">
        <w:rPr>
          <w:rFonts w:hAnsiTheme="majorHAnsi"/>
          <w:color w:val="000000"/>
        </w:rPr>
        <w:tab/>
        <w:t>Kemp BM, Bingham B, Frome R, Labonte M, Palmer E, Parsons ES, et al. Subduing the influence of PCR inhibitors on amplifying aged, degraded, and low copy number DNA: PCR enhancer cocktail-p and rescue PCR. Kalendar R, editor. PLOS ONE. 2020;15: e0234745. doi:10.1371/journal.pone.0234745</w:t>
      </w:r>
    </w:p>
    <w:p w14:paraId="11B804DF" w14:textId="77777777" w:rsidR="00257749" w:rsidRPr="00257749" w:rsidRDefault="00257749" w:rsidP="00257749">
      <w:pPr>
        <w:pStyle w:val="Bibliography"/>
        <w:rPr>
          <w:rFonts w:hAnsiTheme="majorHAnsi"/>
          <w:color w:val="000000"/>
        </w:rPr>
      </w:pPr>
      <w:r w:rsidRPr="00257749">
        <w:rPr>
          <w:rFonts w:hAnsiTheme="majorHAnsi"/>
          <w:color w:val="000000"/>
        </w:rPr>
        <w:t xml:space="preserve">9. </w:t>
      </w:r>
      <w:r w:rsidRPr="00257749">
        <w:rPr>
          <w:rFonts w:hAnsiTheme="majorHAnsi"/>
          <w:color w:val="000000"/>
        </w:rPr>
        <w:tab/>
        <w:t>Johnson BM, Kemp BM. Rescue PCR: Reagent-rich PCR recipe improves amplification of degraded DNA extracts. J Archaeol Sci Rep. 2017;11: 683</w:t>
      </w:r>
      <w:r w:rsidRPr="00257749">
        <w:rPr>
          <w:rFonts w:hAnsiTheme="majorHAnsi"/>
          <w:color w:val="000000"/>
        </w:rPr>
        <w:t>–</w:t>
      </w:r>
      <w:r w:rsidRPr="00257749">
        <w:rPr>
          <w:rFonts w:hAnsiTheme="majorHAnsi"/>
          <w:color w:val="000000"/>
        </w:rPr>
        <w:t>694. doi:10.1016/j.jasrep.2017.01.006</w:t>
      </w:r>
    </w:p>
    <w:p w14:paraId="5B9F8706" w14:textId="77777777" w:rsidR="00257749" w:rsidRPr="00257749" w:rsidRDefault="00257749" w:rsidP="00257749">
      <w:pPr>
        <w:pStyle w:val="Bibliography"/>
        <w:rPr>
          <w:rFonts w:hAnsiTheme="majorHAnsi"/>
          <w:color w:val="000000"/>
        </w:rPr>
      </w:pPr>
      <w:r w:rsidRPr="00257749">
        <w:rPr>
          <w:rFonts w:hAnsiTheme="majorHAnsi"/>
          <w:color w:val="000000"/>
        </w:rPr>
        <w:t xml:space="preserve">10. </w:t>
      </w:r>
      <w:r w:rsidRPr="00257749">
        <w:rPr>
          <w:rFonts w:hAnsiTheme="majorHAnsi"/>
          <w:color w:val="000000"/>
        </w:rPr>
        <w:tab/>
        <w:t>Johnson BM, Kemp BM, Thorgaard GH. Increased mitochondrial DNA diversity in ancient Columbia River basin Chinook salmon Oncorhynchus tshawytscha. Chiang T-Y, editor. PLOS ONE. 2018;13: e0190059. doi:10.1371/journal.pone.0190059</w:t>
      </w:r>
    </w:p>
    <w:p w14:paraId="120BCADF" w14:textId="77777777" w:rsidR="00257749" w:rsidRPr="00257749" w:rsidRDefault="00257749" w:rsidP="00257749">
      <w:pPr>
        <w:pStyle w:val="Bibliography"/>
        <w:rPr>
          <w:rFonts w:hAnsiTheme="majorHAnsi"/>
          <w:color w:val="000000"/>
        </w:rPr>
      </w:pPr>
      <w:r w:rsidRPr="00257749">
        <w:rPr>
          <w:rFonts w:hAnsiTheme="majorHAnsi"/>
          <w:color w:val="000000"/>
        </w:rPr>
        <w:lastRenderedPageBreak/>
        <w:t xml:space="preserve">11. </w:t>
      </w:r>
      <w:r w:rsidRPr="00257749">
        <w:rPr>
          <w:rFonts w:hAnsiTheme="majorHAnsi"/>
          <w:color w:val="000000"/>
        </w:rPr>
        <w:tab/>
        <w:t>Bandelt HJ, Forster P, Rohl A. Median-joining networks for inferring intraspecific phylogenies. Mol Biol Evol. 1999;16: 37</w:t>
      </w:r>
      <w:r w:rsidRPr="00257749">
        <w:rPr>
          <w:rFonts w:hAnsiTheme="majorHAnsi"/>
          <w:color w:val="000000"/>
        </w:rPr>
        <w:t>–</w:t>
      </w:r>
      <w:r w:rsidRPr="00257749">
        <w:rPr>
          <w:rFonts w:hAnsiTheme="majorHAnsi"/>
          <w:color w:val="000000"/>
        </w:rPr>
        <w:t>48. doi:10.1093/oxfordjournals.molbev.a026036</w:t>
      </w:r>
    </w:p>
    <w:p w14:paraId="697290BF" w14:textId="77777777" w:rsidR="00257749" w:rsidRPr="00257749" w:rsidRDefault="00257749" w:rsidP="00257749">
      <w:pPr>
        <w:pStyle w:val="Bibliography"/>
        <w:rPr>
          <w:rFonts w:hAnsiTheme="majorHAnsi"/>
          <w:color w:val="000000"/>
        </w:rPr>
      </w:pPr>
      <w:r w:rsidRPr="00257749">
        <w:rPr>
          <w:rFonts w:hAnsiTheme="majorHAnsi"/>
          <w:color w:val="000000"/>
        </w:rPr>
        <w:t xml:space="preserve">12. </w:t>
      </w:r>
      <w:r w:rsidRPr="00257749">
        <w:rPr>
          <w:rFonts w:hAnsiTheme="majorHAnsi"/>
          <w:color w:val="000000"/>
        </w:rPr>
        <w:tab/>
        <w:t>Martin KE, Steele CA, Brunelli JP, Thorgaard GH. Mitochondrial Variation and Biogeographic History of Chinook Salmon. Trans Am Fish Soc. 2010;139: 792</w:t>
      </w:r>
      <w:r w:rsidRPr="00257749">
        <w:rPr>
          <w:rFonts w:hAnsiTheme="majorHAnsi"/>
          <w:color w:val="000000"/>
        </w:rPr>
        <w:t>–</w:t>
      </w:r>
      <w:r w:rsidRPr="00257749">
        <w:rPr>
          <w:rFonts w:hAnsiTheme="majorHAnsi"/>
          <w:color w:val="000000"/>
        </w:rPr>
        <w:t>802. doi:10.1577/T09-080.1</w:t>
      </w:r>
    </w:p>
    <w:p w14:paraId="6B27D104" w14:textId="77777777" w:rsidR="00257749" w:rsidRPr="00257749" w:rsidRDefault="00257749" w:rsidP="00257749">
      <w:pPr>
        <w:pStyle w:val="Bibliography"/>
        <w:rPr>
          <w:rFonts w:hAnsiTheme="majorHAnsi"/>
          <w:color w:val="000000"/>
        </w:rPr>
      </w:pPr>
      <w:r w:rsidRPr="00257749">
        <w:rPr>
          <w:rFonts w:hAnsiTheme="majorHAnsi"/>
          <w:color w:val="000000"/>
        </w:rPr>
        <w:t xml:space="preserve">13. </w:t>
      </w:r>
      <w:r w:rsidRPr="00257749">
        <w:rPr>
          <w:rFonts w:hAnsiTheme="majorHAnsi"/>
          <w:color w:val="000000"/>
        </w:rPr>
        <w:tab/>
        <w:t xml:space="preserve">Leigh JW, Bryant D. </w:t>
      </w:r>
      <w:r w:rsidRPr="00257749">
        <w:rPr>
          <w:rFonts w:hAnsiTheme="majorHAnsi"/>
          <w:smallCaps/>
          <w:color w:val="000000"/>
        </w:rPr>
        <w:t>popart</w:t>
      </w:r>
      <w:r w:rsidRPr="00257749">
        <w:rPr>
          <w:rFonts w:hAnsiTheme="majorHAnsi"/>
          <w:color w:val="000000"/>
        </w:rPr>
        <w:t> </w:t>
      </w:r>
      <w:r w:rsidRPr="00257749">
        <w:rPr>
          <w:rFonts w:hAnsiTheme="majorHAnsi"/>
          <w:color w:val="000000"/>
        </w:rPr>
        <w:t>: full</w:t>
      </w:r>
      <w:r w:rsidRPr="00257749">
        <w:rPr>
          <w:rFonts w:hAnsiTheme="majorHAnsi"/>
          <w:color w:val="000000"/>
        </w:rPr>
        <w:t>‐</w:t>
      </w:r>
      <w:r w:rsidRPr="00257749">
        <w:rPr>
          <w:rFonts w:hAnsiTheme="majorHAnsi"/>
          <w:color w:val="000000"/>
        </w:rPr>
        <w:t>feature software for haplotype network construction. Nakagawa S, editor. Methods Ecol Evol. 2015;6: 1110</w:t>
      </w:r>
      <w:r w:rsidRPr="00257749">
        <w:rPr>
          <w:rFonts w:hAnsiTheme="majorHAnsi"/>
          <w:color w:val="000000"/>
        </w:rPr>
        <w:t>–</w:t>
      </w:r>
      <w:r w:rsidRPr="00257749">
        <w:rPr>
          <w:rFonts w:hAnsiTheme="majorHAnsi"/>
          <w:color w:val="000000"/>
        </w:rPr>
        <w:t>1116. doi:10.1111/2041-210X.12410</w:t>
      </w:r>
    </w:p>
    <w:p w14:paraId="718A7A4A" w14:textId="77777777" w:rsidR="00257749" w:rsidRPr="00257749" w:rsidRDefault="00257749" w:rsidP="00257749">
      <w:pPr>
        <w:pStyle w:val="Bibliography"/>
        <w:rPr>
          <w:rFonts w:hAnsiTheme="majorHAnsi"/>
          <w:color w:val="000000"/>
        </w:rPr>
      </w:pPr>
      <w:r w:rsidRPr="00257749">
        <w:rPr>
          <w:rFonts w:hAnsiTheme="majorHAnsi"/>
          <w:color w:val="000000"/>
        </w:rPr>
        <w:t xml:space="preserve">14. </w:t>
      </w:r>
      <w:r w:rsidRPr="00257749">
        <w:rPr>
          <w:rFonts w:hAnsiTheme="majorHAnsi"/>
          <w:color w:val="000000"/>
        </w:rPr>
        <w:tab/>
        <w:t>Gilbert MTP, Bandelt H-J, Hofreiter M, Barnes I. Assessing ancient DNA studies. Trends Ecol Evol. 2005;20: 541</w:t>
      </w:r>
      <w:r w:rsidRPr="00257749">
        <w:rPr>
          <w:rFonts w:hAnsiTheme="majorHAnsi"/>
          <w:color w:val="000000"/>
        </w:rPr>
        <w:t>–</w:t>
      </w:r>
      <w:r w:rsidRPr="00257749">
        <w:rPr>
          <w:rFonts w:hAnsiTheme="majorHAnsi"/>
          <w:color w:val="000000"/>
        </w:rPr>
        <w:t>544. doi:10.1016/j.tree.2005.07.005</w:t>
      </w:r>
    </w:p>
    <w:p w14:paraId="10BF7DE9" w14:textId="6CFDCEA2" w:rsidR="00B9440A" w:rsidRPr="0028587F" w:rsidRDefault="00A845AA" w:rsidP="00A14F57">
      <w:pPr>
        <w:pStyle w:val="Bibliography"/>
        <w:rPr>
          <w:rFonts w:asciiTheme="majorBidi" w:hAnsiTheme="majorBidi" w:cstheme="majorBidi"/>
          <w:color w:val="000000"/>
          <w:szCs w:val="24"/>
        </w:rPr>
      </w:pPr>
      <w:r>
        <w:rPr>
          <w:rFonts w:asciiTheme="majorBidi" w:hAnsiTheme="majorBidi" w:cstheme="majorBidi"/>
          <w:color w:val="000000"/>
          <w:szCs w:val="24"/>
        </w:rPr>
        <w:fldChar w:fldCharType="end"/>
      </w:r>
    </w:p>
    <w:sectPr w:rsidR="00B9440A" w:rsidRPr="0028587F" w:rsidSect="00561985">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E8D0" w14:textId="77777777" w:rsidR="0041081A" w:rsidRDefault="0041081A">
      <w:r>
        <w:separator/>
      </w:r>
    </w:p>
  </w:endnote>
  <w:endnote w:type="continuationSeparator" w:id="0">
    <w:p w14:paraId="7BD286A6" w14:textId="77777777" w:rsidR="0041081A" w:rsidRDefault="0041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EA3E" w14:textId="32DFF1A6" w:rsidR="00F125EE" w:rsidRDefault="00114193">
    <w:pPr>
      <w:pStyle w:val="Footer"/>
      <w:jc w:val="right"/>
    </w:pPr>
    <w:r>
      <w:fldChar w:fldCharType="begin"/>
    </w:r>
    <w:r>
      <w:instrText xml:space="preserve"> PAGE   \* MERGEFORMAT </w:instrText>
    </w:r>
    <w:r>
      <w:fldChar w:fldCharType="separate"/>
    </w:r>
    <w:r w:rsidR="001F4E44">
      <w:rPr>
        <w:noProof/>
      </w:rPr>
      <w:t>1</w:t>
    </w:r>
    <w:r>
      <w:fldChar w:fldCharType="end"/>
    </w:r>
  </w:p>
  <w:p w14:paraId="211F3547"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07DB" w14:textId="77777777" w:rsidR="0041081A" w:rsidRDefault="0041081A">
      <w:r>
        <w:separator/>
      </w:r>
    </w:p>
  </w:footnote>
  <w:footnote w:type="continuationSeparator" w:id="0">
    <w:p w14:paraId="2BC6AC25" w14:textId="77777777" w:rsidR="0041081A" w:rsidRDefault="0041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1F95" w14:textId="77777777" w:rsidR="003A2FD8" w:rsidRPr="005001AC" w:rsidRDefault="003A2FD8" w:rsidP="005001AC">
    <w:pPr>
      <w:jc w:val="right"/>
      <w:rPr>
        <w:sz w:val="20"/>
      </w:rPr>
    </w:pPr>
  </w:p>
  <w:p w14:paraId="3CD866EE"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462BB7"/>
    <w:multiLevelType w:val="multilevel"/>
    <w:tmpl w:val="F358182E"/>
    <w:lvl w:ilvl="0">
      <w:start w:val="4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73A4A"/>
    <w:multiLevelType w:val="hybridMultilevel"/>
    <w:tmpl w:val="9A3219B4"/>
    <w:lvl w:ilvl="0" w:tplc="401854D8">
      <w:start w:val="4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0F"/>
    <w:rsid w:val="00015F74"/>
    <w:rsid w:val="00065EBD"/>
    <w:rsid w:val="00083B44"/>
    <w:rsid w:val="000850DC"/>
    <w:rsid w:val="000A37EA"/>
    <w:rsid w:val="000C2771"/>
    <w:rsid w:val="000D46F4"/>
    <w:rsid w:val="000E460E"/>
    <w:rsid w:val="000F0DCE"/>
    <w:rsid w:val="000F6BE3"/>
    <w:rsid w:val="00112C5B"/>
    <w:rsid w:val="00114193"/>
    <w:rsid w:val="00115A38"/>
    <w:rsid w:val="0011687B"/>
    <w:rsid w:val="00124F82"/>
    <w:rsid w:val="0016337A"/>
    <w:rsid w:val="00164269"/>
    <w:rsid w:val="001A1BDE"/>
    <w:rsid w:val="001F0876"/>
    <w:rsid w:val="001F167C"/>
    <w:rsid w:val="001F4E44"/>
    <w:rsid w:val="001F5E91"/>
    <w:rsid w:val="002077B9"/>
    <w:rsid w:val="00257749"/>
    <w:rsid w:val="00262D72"/>
    <w:rsid w:val="0028587F"/>
    <w:rsid w:val="00294FBB"/>
    <w:rsid w:val="002C030F"/>
    <w:rsid w:val="003000B2"/>
    <w:rsid w:val="00331D75"/>
    <w:rsid w:val="003355BD"/>
    <w:rsid w:val="00355362"/>
    <w:rsid w:val="00363E44"/>
    <w:rsid w:val="00395E86"/>
    <w:rsid w:val="003A2FD8"/>
    <w:rsid w:val="003B40E6"/>
    <w:rsid w:val="003D1C80"/>
    <w:rsid w:val="003E74FB"/>
    <w:rsid w:val="003F6E14"/>
    <w:rsid w:val="00405336"/>
    <w:rsid w:val="0041081A"/>
    <w:rsid w:val="004571D5"/>
    <w:rsid w:val="00461D81"/>
    <w:rsid w:val="0046356B"/>
    <w:rsid w:val="00477182"/>
    <w:rsid w:val="004779CB"/>
    <w:rsid w:val="004C3202"/>
    <w:rsid w:val="004D0598"/>
    <w:rsid w:val="004E42D8"/>
    <w:rsid w:val="004E7BA2"/>
    <w:rsid w:val="004F7EDF"/>
    <w:rsid w:val="005001AC"/>
    <w:rsid w:val="00527D71"/>
    <w:rsid w:val="0053190A"/>
    <w:rsid w:val="005520A8"/>
    <w:rsid w:val="005607DD"/>
    <w:rsid w:val="00560BB0"/>
    <w:rsid w:val="00561985"/>
    <w:rsid w:val="00571987"/>
    <w:rsid w:val="005926C7"/>
    <w:rsid w:val="00596912"/>
    <w:rsid w:val="00597C82"/>
    <w:rsid w:val="005A558C"/>
    <w:rsid w:val="005E28F8"/>
    <w:rsid w:val="005E6513"/>
    <w:rsid w:val="00651114"/>
    <w:rsid w:val="00664560"/>
    <w:rsid w:val="00670299"/>
    <w:rsid w:val="0068516C"/>
    <w:rsid w:val="00691985"/>
    <w:rsid w:val="006A1B64"/>
    <w:rsid w:val="006A2CAF"/>
    <w:rsid w:val="006A4A20"/>
    <w:rsid w:val="006E424B"/>
    <w:rsid w:val="00707133"/>
    <w:rsid w:val="007108F5"/>
    <w:rsid w:val="00713E5B"/>
    <w:rsid w:val="007402FC"/>
    <w:rsid w:val="007411A1"/>
    <w:rsid w:val="00767530"/>
    <w:rsid w:val="00772140"/>
    <w:rsid w:val="007870F8"/>
    <w:rsid w:val="00793072"/>
    <w:rsid w:val="00807D35"/>
    <w:rsid w:val="008218C4"/>
    <w:rsid w:val="00867A98"/>
    <w:rsid w:val="00870867"/>
    <w:rsid w:val="00885C9B"/>
    <w:rsid w:val="00893462"/>
    <w:rsid w:val="008D5D2A"/>
    <w:rsid w:val="008F58AD"/>
    <w:rsid w:val="00914B63"/>
    <w:rsid w:val="009354F3"/>
    <w:rsid w:val="009447DC"/>
    <w:rsid w:val="00961BA5"/>
    <w:rsid w:val="009743A9"/>
    <w:rsid w:val="009A5287"/>
    <w:rsid w:val="009B2AC5"/>
    <w:rsid w:val="009B7984"/>
    <w:rsid w:val="009D76C8"/>
    <w:rsid w:val="009F4BED"/>
    <w:rsid w:val="009F7D93"/>
    <w:rsid w:val="00A14F57"/>
    <w:rsid w:val="00A3403B"/>
    <w:rsid w:val="00A51A12"/>
    <w:rsid w:val="00A627D4"/>
    <w:rsid w:val="00A74DA2"/>
    <w:rsid w:val="00A845AA"/>
    <w:rsid w:val="00A90260"/>
    <w:rsid w:val="00AB399E"/>
    <w:rsid w:val="00AC59D0"/>
    <w:rsid w:val="00AD16B1"/>
    <w:rsid w:val="00AD499C"/>
    <w:rsid w:val="00B36869"/>
    <w:rsid w:val="00B43B31"/>
    <w:rsid w:val="00B47CFA"/>
    <w:rsid w:val="00B57F00"/>
    <w:rsid w:val="00B77B2A"/>
    <w:rsid w:val="00B82C22"/>
    <w:rsid w:val="00B93DBA"/>
    <w:rsid w:val="00B9440A"/>
    <w:rsid w:val="00BA1E46"/>
    <w:rsid w:val="00BB2D2A"/>
    <w:rsid w:val="00BC28AA"/>
    <w:rsid w:val="00BC3E04"/>
    <w:rsid w:val="00BD58CF"/>
    <w:rsid w:val="00BF0C92"/>
    <w:rsid w:val="00C04CC1"/>
    <w:rsid w:val="00C4096C"/>
    <w:rsid w:val="00C50C6D"/>
    <w:rsid w:val="00C600D9"/>
    <w:rsid w:val="00C92B22"/>
    <w:rsid w:val="00C95902"/>
    <w:rsid w:val="00CC1384"/>
    <w:rsid w:val="00CD3720"/>
    <w:rsid w:val="00CF1848"/>
    <w:rsid w:val="00CF5C2F"/>
    <w:rsid w:val="00D04BCF"/>
    <w:rsid w:val="00D143D9"/>
    <w:rsid w:val="00D5511B"/>
    <w:rsid w:val="00D700AE"/>
    <w:rsid w:val="00D766F1"/>
    <w:rsid w:val="00D9483D"/>
    <w:rsid w:val="00E257C8"/>
    <w:rsid w:val="00E41512"/>
    <w:rsid w:val="00E4519A"/>
    <w:rsid w:val="00E853D5"/>
    <w:rsid w:val="00E9773B"/>
    <w:rsid w:val="00EA118E"/>
    <w:rsid w:val="00EA6F42"/>
    <w:rsid w:val="00EC13A3"/>
    <w:rsid w:val="00EC7C85"/>
    <w:rsid w:val="00ED5CA4"/>
    <w:rsid w:val="00EF7AD7"/>
    <w:rsid w:val="00F125EE"/>
    <w:rsid w:val="00F12E98"/>
    <w:rsid w:val="00F150B2"/>
    <w:rsid w:val="00F22029"/>
    <w:rsid w:val="00F515FB"/>
    <w:rsid w:val="00F5622D"/>
    <w:rsid w:val="00F5715A"/>
    <w:rsid w:val="00F630EA"/>
    <w:rsid w:val="00F63D27"/>
    <w:rsid w:val="00F7007E"/>
    <w:rsid w:val="00F73193"/>
    <w:rsid w:val="00F74F95"/>
    <w:rsid w:val="00F80705"/>
    <w:rsid w:val="00FA1481"/>
    <w:rsid w:val="00FE070F"/>
    <w:rsid w:val="00FF04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97622"/>
  <w15:docId w15:val="{F1B70E6C-176B-E446-A151-C56490C2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pPr>
      <w:tabs>
        <w:tab w:val="left" w:pos="500"/>
      </w:tabs>
      <w:spacing w:after="240"/>
      <w:ind w:left="504" w:hanging="504"/>
    </w:pPr>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customStyle="1" w:styleId="UnresolvedMention1">
    <w:name w:val="Unresolved Mention1"/>
    <w:basedOn w:val="DefaultParagraphFont"/>
    <w:uiPriority w:val="99"/>
    <w:semiHidden/>
    <w:unhideWhenUsed/>
    <w:rsid w:val="008218C4"/>
    <w:rPr>
      <w:color w:val="808080"/>
      <w:shd w:val="clear" w:color="auto" w:fill="E6E6E6"/>
    </w:rPr>
  </w:style>
  <w:style w:type="paragraph" w:customStyle="1" w:styleId="Authors">
    <w:name w:val="Authors"/>
    <w:basedOn w:val="Normal"/>
    <w:rsid w:val="003D1C80"/>
    <w:pPr>
      <w:spacing w:before="120" w:after="360"/>
      <w:jc w:val="center"/>
    </w:pPr>
    <w:rPr>
      <w:szCs w:val="24"/>
    </w:rPr>
  </w:style>
  <w:style w:type="character" w:customStyle="1" w:styleId="acopre">
    <w:name w:val="acopre"/>
    <w:basedOn w:val="DefaultParagraphFont"/>
    <w:rsid w:val="00ED5CA4"/>
  </w:style>
  <w:style w:type="character" w:styleId="LineNumber">
    <w:name w:val="line number"/>
    <w:basedOn w:val="DefaultParagraphFont"/>
    <w:semiHidden/>
    <w:unhideWhenUsed/>
    <w:rsid w:val="00BA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wiz.com" TargetMode="External"/><Relationship Id="rId3" Type="http://schemas.openxmlformats.org/officeDocument/2006/relationships/settings" Target="settings.xml"/><Relationship Id="rId7" Type="http://schemas.openxmlformats.org/officeDocument/2006/relationships/hyperlink" Target="mailto:ricklanm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7297</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48793</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Richard Lanman</cp:lastModifiedBy>
  <cp:revision>3</cp:revision>
  <cp:lastPrinted>2018-01-11T19:53:00Z</cp:lastPrinted>
  <dcterms:created xsi:type="dcterms:W3CDTF">2021-03-13T00:17:00Z</dcterms:created>
  <dcterms:modified xsi:type="dcterms:W3CDTF">2021-03-13T00:30:00Z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id="kWsGCAdF"/&gt;&lt;style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